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spacing w:before="360" w:afterLines="100"/>
        <w:jc w:val="center"/>
        <w:outlineLvl w:val="3"/>
        <w:rPr>
          <w:rFonts w:ascii="黑体" w:hAnsi="黑体" w:eastAsia="黑体" w:cs="黑体"/>
          <w:color w:val="auto"/>
          <w:spacing w:val="70"/>
          <w:sz w:val="44"/>
          <w:szCs w:val="44"/>
          <w:highlight w:val="none"/>
          <w:lang w:val="zh-CN" w:bidi="zh-CN"/>
        </w:rPr>
      </w:pPr>
    </w:p>
    <w:p>
      <w:pPr>
        <w:autoSpaceDE w:val="0"/>
        <w:autoSpaceDN w:val="0"/>
        <w:spacing w:before="360" w:afterLines="100"/>
        <w:jc w:val="center"/>
        <w:outlineLvl w:val="3"/>
        <w:rPr>
          <w:rFonts w:ascii="黑体" w:hAnsi="黑体" w:eastAsia="黑体" w:cs="黑体"/>
          <w:color w:val="auto"/>
          <w:spacing w:val="70"/>
          <w:sz w:val="44"/>
          <w:szCs w:val="44"/>
          <w:highlight w:val="none"/>
          <w:lang w:val="zh-CN" w:bidi="zh-CN"/>
        </w:rPr>
      </w:pPr>
    </w:p>
    <w:p>
      <w:pPr>
        <w:autoSpaceDE w:val="0"/>
        <w:autoSpaceDN w:val="0"/>
        <w:spacing w:before="360" w:afterLines="100"/>
        <w:jc w:val="center"/>
        <w:outlineLvl w:val="3"/>
        <w:rPr>
          <w:rFonts w:ascii="黑体" w:hAnsi="黑体" w:eastAsia="黑体" w:cs="黑体"/>
          <w:color w:val="auto"/>
          <w:spacing w:val="70"/>
          <w:sz w:val="44"/>
          <w:szCs w:val="44"/>
          <w:highlight w:val="none"/>
          <w:lang w:val="zh-CN" w:bidi="zh-CN"/>
        </w:rPr>
      </w:pPr>
    </w:p>
    <w:p>
      <w:pPr>
        <w:autoSpaceDE w:val="0"/>
        <w:autoSpaceDN w:val="0"/>
        <w:spacing w:before="360" w:afterLines="100"/>
        <w:jc w:val="center"/>
        <w:outlineLvl w:val="3"/>
        <w:rPr>
          <w:rFonts w:ascii="黑体" w:hAnsi="黑体" w:eastAsia="黑体" w:cs="黑体"/>
          <w:color w:val="auto"/>
          <w:sz w:val="44"/>
          <w:szCs w:val="44"/>
          <w:highlight w:val="none"/>
          <w:lang w:val="zh-CN" w:bidi="zh-CN"/>
        </w:rPr>
      </w:pPr>
      <w:r>
        <w:rPr>
          <w:rFonts w:hint="eastAsia" w:ascii="黑体" w:hAnsi="黑体" w:eastAsia="黑体" w:cs="黑体"/>
          <w:color w:val="auto"/>
          <w:spacing w:val="70"/>
          <w:sz w:val="44"/>
          <w:szCs w:val="44"/>
          <w:highlight w:val="none"/>
          <w:lang w:val="zh-CN" w:bidi="zh-CN"/>
        </w:rPr>
        <w:t>厦门市</w:t>
      </w:r>
    </w:p>
    <w:p>
      <w:pPr>
        <w:autoSpaceDE w:val="0"/>
        <w:autoSpaceDN w:val="0"/>
        <w:spacing w:line="360" w:lineRule="auto"/>
        <w:jc w:val="center"/>
        <w:rPr>
          <w:rFonts w:ascii="黑体" w:hAnsi="黑体" w:eastAsia="黑体" w:cs="宋体"/>
          <w:color w:val="auto"/>
          <w:sz w:val="52"/>
          <w:highlight w:val="none"/>
          <w:lang w:val="zh-CN" w:bidi="zh-CN"/>
        </w:rPr>
      </w:pPr>
      <w:r>
        <w:rPr>
          <w:rFonts w:hint="eastAsia" w:ascii="黑体" w:hAnsi="黑体" w:eastAsia="黑体" w:cs="宋体"/>
          <w:color w:val="auto"/>
          <w:sz w:val="52"/>
          <w:highlight w:val="none"/>
          <w:lang w:val="zh-CN" w:bidi="zh-CN"/>
        </w:rPr>
        <w:t>房屋建筑和市政基础设施工程</w:t>
      </w:r>
    </w:p>
    <w:p>
      <w:pPr>
        <w:autoSpaceDE w:val="0"/>
        <w:autoSpaceDN w:val="0"/>
        <w:spacing w:line="242" w:lineRule="auto"/>
        <w:jc w:val="center"/>
        <w:rPr>
          <w:rFonts w:ascii="黑体" w:eastAsia="黑体" w:cs="宋体"/>
          <w:b/>
          <w:color w:val="auto"/>
          <w:spacing w:val="77"/>
          <w:sz w:val="72"/>
          <w:szCs w:val="72"/>
          <w:highlight w:val="none"/>
          <w:lang w:val="zh-CN" w:bidi="zh-CN"/>
        </w:rPr>
      </w:pPr>
      <w:r>
        <w:rPr>
          <w:rFonts w:hint="eastAsia" w:ascii="黑体" w:eastAsia="黑体" w:cs="宋体"/>
          <w:b/>
          <w:color w:val="auto"/>
          <w:spacing w:val="77"/>
          <w:sz w:val="72"/>
          <w:szCs w:val="72"/>
          <w:highlight w:val="none"/>
          <w:lang w:val="zh-CN" w:bidi="zh-CN"/>
        </w:rPr>
        <w:t>标准施工招标文件</w:t>
      </w:r>
    </w:p>
    <w:p>
      <w:pPr>
        <w:autoSpaceDE w:val="0"/>
        <w:autoSpaceDN w:val="0"/>
        <w:spacing w:line="242" w:lineRule="auto"/>
        <w:jc w:val="center"/>
        <w:rPr>
          <w:rFonts w:ascii="黑体" w:eastAsia="黑体" w:cs="宋体"/>
          <w:b/>
          <w:color w:val="auto"/>
          <w:sz w:val="72"/>
          <w:szCs w:val="72"/>
          <w:highlight w:val="none"/>
          <w:lang w:val="zh-CN" w:bidi="zh-CN"/>
        </w:rPr>
      </w:pPr>
      <w:r>
        <w:rPr>
          <w:rFonts w:hint="eastAsia" w:ascii="黑体" w:hAnsi="黑体" w:eastAsia="黑体" w:cs="宋体"/>
          <w:color w:val="auto"/>
          <w:sz w:val="32"/>
          <w:highlight w:val="none"/>
          <w:lang w:val="zh-CN" w:bidi="zh-CN"/>
        </w:rPr>
        <w:t>（“评定分离”版）</w:t>
      </w:r>
    </w:p>
    <w:p>
      <w:pPr>
        <w:spacing w:beforeLines="100" w:afterLines="100" w:line="360" w:lineRule="auto"/>
        <w:ind w:left="2104" w:hanging="1820"/>
        <w:jc w:val="center"/>
        <w:rPr>
          <w:color w:val="auto"/>
          <w:sz w:val="28"/>
          <w:highlight w:val="none"/>
        </w:rPr>
      </w:pPr>
    </w:p>
    <w:p>
      <w:pPr>
        <w:spacing w:beforeLines="100" w:afterLines="100" w:line="360" w:lineRule="auto"/>
        <w:ind w:left="2104" w:hanging="1820"/>
        <w:jc w:val="center"/>
        <w:rPr>
          <w:color w:val="auto"/>
          <w:sz w:val="28"/>
          <w:highlight w:val="none"/>
        </w:rPr>
      </w:pPr>
    </w:p>
    <w:p>
      <w:pPr>
        <w:spacing w:beforeLines="100" w:afterLines="100" w:line="360" w:lineRule="auto"/>
        <w:ind w:left="2104" w:hanging="1820"/>
        <w:jc w:val="center"/>
        <w:rPr>
          <w:color w:val="auto"/>
          <w:sz w:val="28"/>
          <w:highlight w:val="none"/>
        </w:rPr>
      </w:pPr>
    </w:p>
    <w:p>
      <w:pPr>
        <w:spacing w:beforeLines="100" w:afterLines="100" w:line="360" w:lineRule="auto"/>
        <w:ind w:left="2104" w:hanging="1820"/>
        <w:jc w:val="center"/>
        <w:rPr>
          <w:color w:val="auto"/>
          <w:sz w:val="28"/>
          <w:highlight w:val="none"/>
        </w:rPr>
      </w:pPr>
    </w:p>
    <w:p>
      <w:pPr>
        <w:spacing w:beforeLines="100" w:afterLines="100" w:line="360" w:lineRule="auto"/>
        <w:ind w:left="2104" w:hanging="1820"/>
        <w:jc w:val="center"/>
        <w:rPr>
          <w:color w:val="auto"/>
          <w:sz w:val="28"/>
          <w:highlight w:val="none"/>
        </w:rPr>
      </w:pPr>
    </w:p>
    <w:p>
      <w:pPr>
        <w:spacing w:beforeLines="100" w:afterLines="100" w:line="360" w:lineRule="auto"/>
        <w:ind w:left="2104" w:hanging="1820"/>
        <w:jc w:val="center"/>
        <w:rPr>
          <w:color w:val="auto"/>
          <w:sz w:val="28"/>
          <w:highlight w:val="none"/>
        </w:rPr>
      </w:pPr>
    </w:p>
    <w:p>
      <w:pPr>
        <w:spacing w:beforeLines="100" w:afterLines="100" w:line="360" w:lineRule="auto"/>
        <w:ind w:left="2104" w:hanging="1820"/>
        <w:jc w:val="center"/>
        <w:rPr>
          <w:color w:val="auto"/>
          <w:sz w:val="28"/>
          <w:highlight w:val="none"/>
        </w:rPr>
      </w:pPr>
      <w:r>
        <w:rPr>
          <w:rFonts w:hint="eastAsia"/>
          <w:color w:val="auto"/>
          <w:sz w:val="28"/>
          <w:highlight w:val="none"/>
        </w:rPr>
        <w:t>202</w:t>
      </w:r>
      <w:r>
        <w:rPr>
          <w:rFonts w:hint="eastAsia"/>
          <w:color w:val="auto"/>
          <w:sz w:val="28"/>
          <w:highlight w:val="none"/>
          <w:lang w:val="en-US" w:eastAsia="zh-CN"/>
        </w:rPr>
        <w:t>3</w:t>
      </w:r>
      <w:r>
        <w:rPr>
          <w:rFonts w:hint="eastAsia"/>
          <w:color w:val="auto"/>
          <w:sz w:val="28"/>
          <w:highlight w:val="none"/>
        </w:rPr>
        <w:t>年</w:t>
      </w:r>
      <w:r>
        <w:rPr>
          <w:rFonts w:hint="eastAsia"/>
          <w:color w:val="auto"/>
          <w:sz w:val="28"/>
          <w:highlight w:val="none"/>
          <w:lang w:val="en-US" w:eastAsia="zh-CN"/>
        </w:rPr>
        <w:t>8</w:t>
      </w:r>
      <w:r>
        <w:rPr>
          <w:rFonts w:hint="eastAsia"/>
          <w:color w:val="auto"/>
          <w:sz w:val="28"/>
          <w:highlight w:val="none"/>
        </w:rPr>
        <w:t>月修订</w:t>
      </w:r>
    </w:p>
    <w:p>
      <w:pPr>
        <w:spacing w:beforeLines="100" w:afterLines="100" w:line="360" w:lineRule="auto"/>
        <w:ind w:left="2104" w:hanging="1820"/>
        <w:jc w:val="center"/>
        <w:rPr>
          <w:rFonts w:ascii="黑体" w:hAnsi="黑体" w:eastAsia="黑体"/>
          <w:color w:val="auto"/>
          <w:sz w:val="44"/>
          <w:szCs w:val="44"/>
          <w:highlight w:val="none"/>
        </w:rPr>
      </w:pPr>
      <w:r>
        <w:rPr>
          <w:rFonts w:hint="eastAsia" w:ascii="黑体" w:hAnsi="黑体" w:eastAsia="黑体"/>
          <w:color w:val="auto"/>
          <w:sz w:val="44"/>
          <w:szCs w:val="44"/>
          <w:highlight w:val="none"/>
        </w:rPr>
        <w:t>使用说明</w:t>
      </w:r>
    </w:p>
    <w:p>
      <w:pPr>
        <w:numPr>
          <w:ilvl w:val="0"/>
          <w:numId w:val="15"/>
        </w:numPr>
        <w:spacing w:line="360" w:lineRule="auto"/>
        <w:ind w:left="0" w:firstLine="425"/>
        <w:jc w:val="left"/>
        <w:rPr>
          <w:rFonts w:cs="宋体"/>
          <w:color w:val="auto"/>
          <w:sz w:val="21"/>
          <w:szCs w:val="21"/>
          <w:highlight w:val="none"/>
        </w:rPr>
      </w:pPr>
      <w:r>
        <w:rPr>
          <w:rFonts w:hint="eastAsia" w:cs="宋体"/>
          <w:color w:val="auto"/>
          <w:sz w:val="21"/>
          <w:szCs w:val="21"/>
          <w:highlight w:val="none"/>
        </w:rPr>
        <w:t>《厦门市房屋建筑和市政基础设施工程标准施工招标文件》（“评定分离”版）（以下简称《标准施工招标文件》）以《中华人民共和国标准施工招标文件》（2007年版）、《中华人民共和国房屋建筑和市政工程标准施工招标文件》（2010年版）为基础，以《中华人民共和国招标投标法》、《电子招标投标办法》等法律和部门规章为依据，结合住建部《关于进一步加强房屋建筑和市政基础设施工程招标投标监管的指导意见》（建市规〔2019〕11号）文件精神，根据《厦门市建设局关于印发建设工程招投标“评定分离”办法（试行）的通知》（厦建筑〔2022〕51号）并结合厦门市实际情况进行编制。</w:t>
      </w:r>
    </w:p>
    <w:p>
      <w:pPr>
        <w:numPr>
          <w:ilvl w:val="0"/>
          <w:numId w:val="15"/>
        </w:numPr>
        <w:spacing w:line="360" w:lineRule="auto"/>
        <w:ind w:left="0" w:firstLine="425"/>
        <w:jc w:val="left"/>
        <w:rPr>
          <w:rFonts w:cs="宋体"/>
          <w:color w:val="auto"/>
          <w:sz w:val="21"/>
          <w:szCs w:val="21"/>
          <w:highlight w:val="none"/>
        </w:rPr>
      </w:pPr>
      <w:r>
        <w:rPr>
          <w:rFonts w:hint="eastAsia" w:cs="宋体"/>
          <w:color w:val="auto"/>
          <w:sz w:val="21"/>
          <w:szCs w:val="21"/>
          <w:highlight w:val="none"/>
        </w:rPr>
        <w:t>《标准施工招标文件》适用于厦门市行政区域内依法必须进行招标且采用“评定分离”评标定标办法的房屋建筑和市政基础设施工程施工招标项目，包括施工总承包工程、专业工程（不包括园林绿化工程）招标项目。</w:t>
      </w:r>
    </w:p>
    <w:p>
      <w:pPr>
        <w:pStyle w:val="59"/>
        <w:numPr>
          <w:ilvl w:val="0"/>
          <w:numId w:val="15"/>
        </w:numPr>
        <w:spacing w:after="0" w:line="360" w:lineRule="auto"/>
        <w:ind w:left="0" w:firstLine="426"/>
        <w:rPr>
          <w:rFonts w:ascii="宋体" w:hAnsi="宋体" w:cs="宋体"/>
          <w:color w:val="auto"/>
          <w:kern w:val="0"/>
          <w:szCs w:val="21"/>
          <w:highlight w:val="none"/>
        </w:rPr>
      </w:pPr>
      <w:r>
        <w:rPr>
          <w:rFonts w:hint="eastAsia" w:ascii="宋体" w:hAnsi="宋体" w:cs="宋体"/>
          <w:color w:val="auto"/>
          <w:kern w:val="0"/>
          <w:szCs w:val="21"/>
          <w:highlight w:val="none"/>
        </w:rPr>
        <w:t>招标项目未划分标段的，是指本招标项目；划分标段的，是指本标段。</w:t>
      </w:r>
    </w:p>
    <w:p>
      <w:pPr>
        <w:numPr>
          <w:ilvl w:val="0"/>
          <w:numId w:val="15"/>
        </w:numPr>
        <w:spacing w:line="360" w:lineRule="auto"/>
        <w:ind w:left="0" w:firstLine="425"/>
        <w:jc w:val="left"/>
        <w:rPr>
          <w:rFonts w:cs="宋体"/>
          <w:color w:val="auto"/>
          <w:sz w:val="21"/>
          <w:szCs w:val="21"/>
          <w:highlight w:val="none"/>
        </w:rPr>
      </w:pPr>
      <w:r>
        <w:rPr>
          <w:rFonts w:hint="eastAsia" w:cs="宋体"/>
          <w:color w:val="auto"/>
          <w:sz w:val="21"/>
          <w:szCs w:val="21"/>
          <w:highlight w:val="none"/>
        </w:rPr>
        <w:t>前附表是与相应章节正文的组成部分，两者内容不一致之处，以前附表为准。</w:t>
      </w:r>
    </w:p>
    <w:p>
      <w:pPr>
        <w:numPr>
          <w:ilvl w:val="0"/>
          <w:numId w:val="15"/>
        </w:numPr>
        <w:spacing w:line="360" w:lineRule="auto"/>
        <w:ind w:left="0" w:firstLine="425"/>
        <w:jc w:val="left"/>
        <w:rPr>
          <w:rFonts w:cs="宋体"/>
          <w:color w:val="auto"/>
          <w:sz w:val="21"/>
          <w:szCs w:val="21"/>
          <w:highlight w:val="none"/>
        </w:rPr>
      </w:pPr>
      <w:r>
        <w:rPr>
          <w:rFonts w:hint="eastAsia" w:cs="宋体"/>
          <w:color w:val="auto"/>
          <w:sz w:val="21"/>
          <w:szCs w:val="21"/>
          <w:highlight w:val="none"/>
        </w:rPr>
        <w:t>前附表附录是前附表的组成部分，两者内容不一致之处，以附录为准。</w:t>
      </w:r>
    </w:p>
    <w:p>
      <w:pPr>
        <w:numPr>
          <w:ilvl w:val="0"/>
          <w:numId w:val="15"/>
        </w:numPr>
        <w:spacing w:line="360" w:lineRule="auto"/>
        <w:ind w:left="0" w:firstLine="425"/>
        <w:jc w:val="left"/>
        <w:rPr>
          <w:rFonts w:cs="宋体"/>
          <w:color w:val="auto"/>
          <w:sz w:val="21"/>
          <w:szCs w:val="21"/>
          <w:highlight w:val="none"/>
        </w:rPr>
      </w:pPr>
      <w:r>
        <w:rPr>
          <w:rFonts w:hint="eastAsia" w:cs="宋体"/>
          <w:color w:val="auto"/>
          <w:sz w:val="21"/>
          <w:szCs w:val="21"/>
          <w:highlight w:val="none"/>
        </w:rPr>
        <w:t>《标准施工招标文件》第三章评标办法中，分别规定了适用于同时设置类似工程业绩和信用评价作为投标人资格条件的招标项目的评标办法、适用于其他项目的评标办法和适用于简易程序招标项目的评标办法等三类评标办法。招标人只能选择其中一类且所选择的类型应当与招标项目业绩和信用评价的设置情况相适应，其余类型的评标办法在编制招标文件时应当删除。前述信用评价指厦门市建筑施工企业信用综合评价，其他项目指未同时设置类似工程业绩和信用评价作为投标人资格条件的招标项目。</w:t>
      </w:r>
    </w:p>
    <w:p>
      <w:pPr>
        <w:numPr>
          <w:ilvl w:val="0"/>
          <w:numId w:val="15"/>
        </w:numPr>
        <w:spacing w:line="360" w:lineRule="auto"/>
        <w:ind w:left="0" w:firstLine="425"/>
        <w:jc w:val="left"/>
        <w:rPr>
          <w:rFonts w:cs="宋体"/>
          <w:color w:val="auto"/>
          <w:sz w:val="21"/>
          <w:szCs w:val="21"/>
          <w:highlight w:val="none"/>
        </w:rPr>
      </w:pPr>
      <w:r>
        <w:rPr>
          <w:rFonts w:hint="eastAsia" w:cs="宋体"/>
          <w:color w:val="auto"/>
          <w:sz w:val="21"/>
          <w:szCs w:val="21"/>
          <w:highlight w:val="none"/>
        </w:rPr>
        <w:t>《标准施工招标文件》以空格标示的部分，招标人应根据招标项目具体特点和实际需要进行填写，确实没有需要填写的，在空格中用“/”标示。以□标识的选项由招标人根据实际情况选择，并确保与有关章节内容和要求一致。</w:t>
      </w:r>
    </w:p>
    <w:p>
      <w:pPr>
        <w:numPr>
          <w:ilvl w:val="0"/>
          <w:numId w:val="15"/>
        </w:numPr>
        <w:spacing w:line="360" w:lineRule="auto"/>
        <w:ind w:left="0" w:firstLine="425"/>
        <w:jc w:val="left"/>
        <w:rPr>
          <w:rFonts w:cs="宋体"/>
          <w:color w:val="auto"/>
          <w:sz w:val="21"/>
          <w:szCs w:val="21"/>
          <w:highlight w:val="none"/>
        </w:rPr>
      </w:pPr>
      <w:r>
        <w:rPr>
          <w:rFonts w:hint="eastAsia" w:cs="宋体"/>
          <w:color w:val="auto"/>
          <w:sz w:val="21"/>
          <w:szCs w:val="21"/>
          <w:highlight w:val="none"/>
        </w:rPr>
        <w:t>招标人不得在《标准施工招标文件》第五章“合同条款及格式”中编制与否决投标有关的任何内容。</w:t>
      </w:r>
    </w:p>
    <w:p>
      <w:pPr>
        <w:numPr>
          <w:ilvl w:val="0"/>
          <w:numId w:val="15"/>
        </w:numPr>
        <w:spacing w:line="360" w:lineRule="auto"/>
        <w:ind w:left="0" w:firstLine="425"/>
        <w:jc w:val="left"/>
        <w:rPr>
          <w:rFonts w:cs="宋体"/>
          <w:color w:val="auto"/>
          <w:sz w:val="21"/>
          <w:szCs w:val="21"/>
          <w:highlight w:val="none"/>
        </w:rPr>
      </w:pPr>
      <w:r>
        <w:rPr>
          <w:rFonts w:hint="eastAsia" w:cs="宋体"/>
          <w:color w:val="auto"/>
          <w:sz w:val="21"/>
          <w:szCs w:val="21"/>
          <w:highlight w:val="none"/>
        </w:rPr>
        <w:t>《标准施工招标文件》第九章“投标文件格式”中的脚注内容，属于该章节的规定，投标人在编制投标文件时应当遵守。其余章节的脚注内容属于注释，招标人编制招标文件时应当遵守。</w:t>
      </w:r>
    </w:p>
    <w:p>
      <w:pPr>
        <w:numPr>
          <w:ilvl w:val="0"/>
          <w:numId w:val="15"/>
        </w:numPr>
        <w:spacing w:line="360" w:lineRule="auto"/>
        <w:ind w:left="0" w:firstLine="425"/>
        <w:jc w:val="left"/>
        <w:rPr>
          <w:rFonts w:cs="宋体"/>
          <w:color w:val="auto"/>
          <w:sz w:val="21"/>
          <w:szCs w:val="21"/>
          <w:highlight w:val="none"/>
        </w:rPr>
      </w:pPr>
      <w:r>
        <w:rPr>
          <w:rFonts w:hint="eastAsia" w:cs="宋体"/>
          <w:color w:val="auto"/>
          <w:sz w:val="21"/>
          <w:szCs w:val="21"/>
          <w:highlight w:val="none"/>
        </w:rPr>
        <w:t>在招标项目的招投标过程中，招标人委托招标代理机构招标的，则招标代理机构应在招标全过程中以被代理人名义办理招标人委托范围内的事宜，并承担相应责任。</w:t>
      </w:r>
    </w:p>
    <w:p>
      <w:pPr>
        <w:pStyle w:val="59"/>
        <w:numPr>
          <w:ilvl w:val="0"/>
          <w:numId w:val="15"/>
        </w:numPr>
        <w:spacing w:after="0" w:line="360" w:lineRule="auto"/>
        <w:ind w:left="0" w:firstLine="426"/>
        <w:rPr>
          <w:color w:val="auto"/>
          <w:highlight w:val="none"/>
        </w:rPr>
      </w:pPr>
      <w:r>
        <w:rPr>
          <w:rFonts w:hint="eastAsia"/>
          <w:color w:val="auto"/>
          <w:highlight w:val="none"/>
        </w:rPr>
        <w:t>本使用说明是招标文件的组成部分。</w:t>
      </w:r>
    </w:p>
    <w:p>
      <w:pPr>
        <w:pStyle w:val="59"/>
        <w:numPr>
          <w:ilvl w:val="0"/>
          <w:numId w:val="15"/>
        </w:numPr>
        <w:spacing w:after="0" w:line="360" w:lineRule="auto"/>
        <w:ind w:left="0" w:firstLine="426"/>
        <w:rPr>
          <w:color w:val="auto"/>
          <w:highlight w:val="none"/>
        </w:rPr>
      </w:pPr>
      <w:r>
        <w:rPr>
          <w:rFonts w:hint="eastAsia" w:ascii="Calibri" w:hAnsi="Calibri" w:cs="宋体"/>
          <w:color w:val="auto"/>
          <w:szCs w:val="21"/>
          <w:highlight w:val="none"/>
        </w:rPr>
        <w:t>各使</w:t>
      </w:r>
      <w:r>
        <w:rPr>
          <w:rFonts w:hint="eastAsia"/>
          <w:color w:val="auto"/>
          <w:szCs w:val="21"/>
          <w:highlight w:val="none"/>
        </w:rPr>
        <w:t>用单位或个人对《</w:t>
      </w:r>
      <w:r>
        <w:rPr>
          <w:rFonts w:hint="eastAsia" w:hAnsi="Calibri"/>
          <w:color w:val="auto"/>
          <w:szCs w:val="21"/>
          <w:highlight w:val="none"/>
        </w:rPr>
        <w:t>标准施工招标文件</w:t>
      </w:r>
      <w:r>
        <w:rPr>
          <w:rFonts w:hint="eastAsia"/>
          <w:color w:val="auto"/>
          <w:szCs w:val="21"/>
          <w:highlight w:val="none"/>
        </w:rPr>
        <w:t>》有任何意见和建议，请及时反馈厦门市建设工程招投标中心，以便进一步修改和完善。《</w:t>
      </w:r>
      <w:r>
        <w:rPr>
          <w:rFonts w:hint="eastAsia" w:hAnsi="Calibri"/>
          <w:color w:val="auto"/>
          <w:szCs w:val="21"/>
          <w:highlight w:val="none"/>
        </w:rPr>
        <w:t>标准施工招标文件</w:t>
      </w:r>
      <w:r>
        <w:rPr>
          <w:rFonts w:hint="eastAsia"/>
          <w:color w:val="auto"/>
          <w:szCs w:val="21"/>
          <w:highlight w:val="none"/>
        </w:rPr>
        <w:t>》编制的单位和主要人员名单如下：</w:t>
      </w:r>
    </w:p>
    <w:p>
      <w:pPr>
        <w:spacing w:line="360" w:lineRule="auto"/>
        <w:ind w:firstLine="424" w:firstLineChars="202"/>
        <w:jc w:val="left"/>
        <w:rPr>
          <w:color w:val="auto"/>
          <w:sz w:val="21"/>
          <w:szCs w:val="21"/>
          <w:highlight w:val="none"/>
        </w:rPr>
      </w:pPr>
      <w:r>
        <w:rPr>
          <w:rFonts w:hint="eastAsia"/>
          <w:color w:val="auto"/>
          <w:sz w:val="21"/>
          <w:szCs w:val="21"/>
          <w:highlight w:val="none"/>
        </w:rPr>
        <w:t>（1）厦门市建设工程招投标中心  白晓东、沈毅敏、郑俊慧、林敬、李艳辉；</w:t>
      </w:r>
    </w:p>
    <w:p>
      <w:pPr>
        <w:pStyle w:val="59"/>
        <w:ind w:left="0" w:firstLine="426"/>
        <w:rPr>
          <w:rFonts w:ascii="宋体" w:hAnsi="宋体"/>
          <w:color w:val="auto"/>
          <w:kern w:val="0"/>
          <w:szCs w:val="21"/>
          <w:highlight w:val="none"/>
        </w:rPr>
      </w:pPr>
      <w:r>
        <w:rPr>
          <w:rFonts w:hint="eastAsia" w:ascii="宋体" w:hAnsi="宋体"/>
          <w:color w:val="auto"/>
          <w:kern w:val="0"/>
          <w:szCs w:val="21"/>
          <w:highlight w:val="none"/>
        </w:rPr>
        <w:t>（2）福建省闽建工程造价咨询有限公司  郑宇；</w:t>
      </w:r>
    </w:p>
    <w:p>
      <w:pPr>
        <w:pStyle w:val="59"/>
        <w:ind w:left="0" w:firstLineChars="200"/>
        <w:rPr>
          <w:rFonts w:ascii="宋体" w:hAnsi="宋体"/>
          <w:color w:val="auto"/>
          <w:kern w:val="0"/>
          <w:szCs w:val="21"/>
          <w:highlight w:val="none"/>
        </w:rPr>
      </w:pPr>
      <w:r>
        <w:rPr>
          <w:rFonts w:hint="eastAsia" w:ascii="宋体" w:hAnsi="宋体"/>
          <w:color w:val="auto"/>
          <w:kern w:val="0"/>
          <w:szCs w:val="21"/>
          <w:highlight w:val="none"/>
        </w:rPr>
        <w:t>（3）厦门象屿工程咨询管理有限公司  曾聪田。</w:t>
      </w:r>
    </w:p>
    <w:p>
      <w:pPr>
        <w:adjustRightInd w:val="0"/>
        <w:spacing w:beforeLines="600" w:line="420" w:lineRule="exact"/>
        <w:jc w:val="center"/>
        <w:textAlignment w:val="baseline"/>
        <w:rPr>
          <w:color w:val="auto"/>
          <w:kern w:val="2"/>
          <w:sz w:val="28"/>
          <w:highlight w:val="none"/>
          <w:u w:val="single"/>
        </w:rPr>
      </w:pPr>
      <w:r>
        <w:rPr>
          <w:rFonts w:hint="eastAsia" w:cs="宋体"/>
          <w:color w:val="auto"/>
          <w:sz w:val="21"/>
          <w:szCs w:val="21"/>
          <w:highlight w:val="none"/>
        </w:rPr>
        <w:br w:type="page"/>
      </w:r>
      <w:r>
        <w:rPr>
          <w:rFonts w:hint="eastAsia" w:cs="宋体"/>
          <w:color w:val="auto"/>
          <w:sz w:val="21"/>
          <w:szCs w:val="21"/>
          <w:highlight w:val="none"/>
        </w:rPr>
        <w:t xml:space="preserve">      </w:t>
      </w:r>
      <w:r>
        <w:rPr>
          <w:rFonts w:hint="eastAsia"/>
          <w:color w:val="auto"/>
          <w:szCs w:val="21"/>
          <w:highlight w:val="none"/>
        </w:rPr>
        <w:t xml:space="preserve"> </w:t>
      </w:r>
      <w:r>
        <w:rPr>
          <w:rFonts w:hint="eastAsia"/>
          <w:color w:val="0000FF"/>
          <w:sz w:val="28"/>
          <w:szCs w:val="28"/>
          <w:highlight w:val="none"/>
          <w:u w:val="single"/>
          <w:lang w:eastAsia="zh-CN"/>
        </w:rPr>
        <w:t>信达智慧科技园（施工“评定分离”）</w:t>
      </w:r>
      <w:r>
        <w:rPr>
          <w:rFonts w:hint="eastAsia" w:ascii="黑体" w:hAnsi="黑体" w:eastAsia="黑体"/>
          <w:color w:val="auto"/>
          <w:kern w:val="2"/>
          <w:sz w:val="28"/>
          <w:highlight w:val="none"/>
        </w:rPr>
        <w:t>施工招标</w:t>
      </w:r>
    </w:p>
    <w:p>
      <w:pPr>
        <w:adjustRightInd w:val="0"/>
        <w:spacing w:afterLines="100" w:line="420" w:lineRule="exact"/>
        <w:ind w:firstLine="2525" w:firstLineChars="902"/>
        <w:jc w:val="left"/>
        <w:textAlignment w:val="baseline"/>
        <w:rPr>
          <w:rFonts w:ascii="黑体" w:hAnsi="黑体" w:eastAsia="黑体"/>
          <w:color w:val="auto"/>
          <w:kern w:val="2"/>
          <w:sz w:val="28"/>
          <w:highlight w:val="none"/>
        </w:rPr>
      </w:pPr>
    </w:p>
    <w:p>
      <w:pPr>
        <w:adjustRightInd w:val="0"/>
        <w:spacing w:afterLines="100" w:line="420" w:lineRule="exact"/>
        <w:jc w:val="left"/>
        <w:textAlignment w:val="baseline"/>
        <w:rPr>
          <w:rFonts w:ascii="黑体" w:hAnsi="黑体" w:eastAsia="黑体"/>
          <w:color w:val="auto"/>
          <w:kern w:val="2"/>
          <w:sz w:val="28"/>
          <w:highlight w:val="none"/>
        </w:rPr>
      </w:pPr>
    </w:p>
    <w:p>
      <w:pPr>
        <w:adjustRightInd w:val="0"/>
        <w:spacing w:afterLines="100" w:line="420" w:lineRule="exact"/>
        <w:ind w:firstLine="1570" w:firstLineChars="302"/>
        <w:jc w:val="left"/>
        <w:textAlignment w:val="baseline"/>
        <w:rPr>
          <w:rFonts w:ascii="黑体" w:hAnsi="黑体" w:eastAsia="黑体"/>
          <w:color w:val="auto"/>
          <w:kern w:val="2"/>
          <w:sz w:val="52"/>
          <w:szCs w:val="52"/>
          <w:highlight w:val="none"/>
        </w:rPr>
      </w:pPr>
    </w:p>
    <w:p>
      <w:pPr>
        <w:adjustRightInd w:val="0"/>
        <w:spacing w:line="560" w:lineRule="exact"/>
        <w:jc w:val="center"/>
        <w:textAlignment w:val="baseline"/>
        <w:rPr>
          <w:rFonts w:ascii="黑体" w:hAnsi="黑体" w:eastAsia="黑体"/>
          <w:color w:val="auto"/>
          <w:kern w:val="2"/>
          <w:sz w:val="52"/>
          <w:szCs w:val="52"/>
          <w:highlight w:val="none"/>
        </w:rPr>
      </w:pPr>
      <w:r>
        <w:rPr>
          <w:rFonts w:hint="eastAsia" w:ascii="黑体" w:hAnsi="黑体" w:eastAsia="黑体"/>
          <w:color w:val="auto"/>
          <w:kern w:val="2"/>
          <w:sz w:val="52"/>
          <w:szCs w:val="52"/>
          <w:highlight w:val="none"/>
        </w:rPr>
        <w:t>招标文件</w:t>
      </w:r>
    </w:p>
    <w:p>
      <w:pPr>
        <w:adjustRightInd w:val="0"/>
        <w:spacing w:beforeLines="100" w:line="420" w:lineRule="exact"/>
        <w:jc w:val="center"/>
        <w:textAlignment w:val="baseline"/>
        <w:rPr>
          <w:rFonts w:ascii="黑体" w:hAnsi="黑体" w:eastAsia="黑体"/>
          <w:color w:val="auto"/>
          <w:kern w:val="2"/>
          <w:sz w:val="44"/>
          <w:szCs w:val="44"/>
          <w:highlight w:val="none"/>
        </w:rPr>
      </w:pPr>
    </w:p>
    <w:p>
      <w:pPr>
        <w:adjustRightInd w:val="0"/>
        <w:spacing w:beforeLines="100" w:line="420" w:lineRule="exact"/>
        <w:jc w:val="center"/>
        <w:textAlignment w:val="baseline"/>
        <w:rPr>
          <w:rFonts w:ascii="黑体" w:hAnsi="黑体" w:eastAsia="黑体"/>
          <w:color w:val="auto"/>
          <w:kern w:val="2"/>
          <w:sz w:val="44"/>
          <w:szCs w:val="44"/>
          <w:highlight w:val="none"/>
        </w:rPr>
      </w:pPr>
    </w:p>
    <w:p>
      <w:pPr>
        <w:adjustRightInd w:val="0"/>
        <w:spacing w:beforeLines="100" w:line="420" w:lineRule="exact"/>
        <w:jc w:val="center"/>
        <w:textAlignment w:val="baseline"/>
        <w:rPr>
          <w:rFonts w:ascii="黑体" w:hAnsi="黑体" w:eastAsia="黑体"/>
          <w:color w:val="auto"/>
          <w:kern w:val="2"/>
          <w:sz w:val="44"/>
          <w:szCs w:val="44"/>
          <w:highlight w:val="none"/>
        </w:rPr>
      </w:pPr>
    </w:p>
    <w:p>
      <w:pPr>
        <w:adjustRightInd w:val="0"/>
        <w:spacing w:beforeLines="100" w:line="420" w:lineRule="exact"/>
        <w:jc w:val="center"/>
        <w:textAlignment w:val="baseline"/>
        <w:rPr>
          <w:rFonts w:ascii="黑体" w:hAnsi="黑体" w:eastAsia="黑体"/>
          <w:color w:val="auto"/>
          <w:kern w:val="2"/>
          <w:sz w:val="44"/>
          <w:szCs w:val="44"/>
          <w:highlight w:val="none"/>
        </w:rPr>
      </w:pPr>
    </w:p>
    <w:p>
      <w:pPr>
        <w:adjustRightInd w:val="0"/>
        <w:spacing w:beforeLines="100" w:line="420" w:lineRule="exact"/>
        <w:jc w:val="center"/>
        <w:textAlignment w:val="baseline"/>
        <w:rPr>
          <w:rFonts w:ascii="黑体" w:hAnsi="黑体" w:eastAsia="黑体"/>
          <w:color w:val="auto"/>
          <w:kern w:val="2"/>
          <w:sz w:val="44"/>
          <w:szCs w:val="44"/>
          <w:highlight w:val="none"/>
        </w:rPr>
      </w:pPr>
    </w:p>
    <w:p>
      <w:pPr>
        <w:adjustRightInd w:val="0"/>
        <w:spacing w:line="360" w:lineRule="auto"/>
        <w:ind w:firstLine="1260" w:firstLineChars="450"/>
        <w:jc w:val="left"/>
        <w:textAlignment w:val="baseline"/>
        <w:rPr>
          <w:rFonts w:hint="eastAsia" w:ascii="黑体" w:hAnsi="黑体" w:eastAsia="黑体"/>
          <w:color w:val="0000FF"/>
          <w:sz w:val="28"/>
          <w:szCs w:val="28"/>
          <w:highlight w:val="none"/>
          <w:u w:val="single"/>
          <w:lang w:eastAsia="zh-CN"/>
        </w:rPr>
      </w:pPr>
      <w:r>
        <w:rPr>
          <w:rFonts w:hint="eastAsia" w:ascii="黑体" w:hAnsi="黑体" w:eastAsia="黑体"/>
          <w:color w:val="auto"/>
          <w:kern w:val="2"/>
          <w:sz w:val="28"/>
          <w:highlight w:val="none"/>
        </w:rPr>
        <w:t>报建编号：</w:t>
      </w:r>
      <w:r>
        <w:rPr>
          <w:rFonts w:hint="eastAsia" w:ascii="黑体" w:hAnsi="黑体" w:eastAsia="黑体"/>
          <w:color w:val="0000FF"/>
          <w:sz w:val="28"/>
          <w:szCs w:val="28"/>
          <w:highlight w:val="none"/>
          <w:u w:val="single"/>
          <w:lang w:eastAsia="zh-CN"/>
        </w:rPr>
        <w:t>3502982312010130</w:t>
      </w:r>
    </w:p>
    <w:p>
      <w:pPr>
        <w:adjustRightInd w:val="0"/>
        <w:spacing w:line="360" w:lineRule="auto"/>
        <w:ind w:firstLine="1260" w:firstLineChars="450"/>
        <w:jc w:val="left"/>
        <w:textAlignment w:val="baseline"/>
        <w:rPr>
          <w:rFonts w:ascii="黑体" w:hAnsi="黑体" w:eastAsia="黑体"/>
          <w:color w:val="auto"/>
          <w:kern w:val="2"/>
          <w:sz w:val="24"/>
          <w:highlight w:val="none"/>
        </w:rPr>
      </w:pPr>
      <w:r>
        <w:rPr>
          <w:rFonts w:hint="eastAsia" w:ascii="黑体" w:hAnsi="黑体" w:eastAsia="黑体"/>
          <w:color w:val="auto"/>
          <w:kern w:val="2"/>
          <w:sz w:val="28"/>
          <w:highlight w:val="none"/>
        </w:rPr>
        <w:t>招标项目编号：</w:t>
      </w:r>
      <w:r>
        <w:rPr>
          <w:rFonts w:hint="eastAsia" w:ascii="黑体" w:hAnsi="黑体" w:eastAsia="黑体"/>
          <w:color w:val="auto"/>
          <w:kern w:val="2"/>
          <w:sz w:val="28"/>
          <w:highlight w:val="none"/>
          <w:u w:val="single"/>
        </w:rPr>
        <w:t xml:space="preserve"> </w:t>
      </w:r>
      <w:r>
        <w:rPr>
          <w:rFonts w:hint="eastAsia" w:cs="宋体"/>
          <w:color w:val="auto"/>
          <w:kern w:val="2"/>
          <w:sz w:val="28"/>
          <w:highlight w:val="none"/>
          <w:u w:val="single"/>
        </w:rPr>
        <w:t xml:space="preserve">                      </w:t>
      </w:r>
      <w:r>
        <w:rPr>
          <w:rFonts w:hint="eastAsia" w:ascii="黑体" w:hAnsi="黑体" w:eastAsia="黑体"/>
          <w:color w:val="auto"/>
          <w:kern w:val="2"/>
          <w:sz w:val="28"/>
          <w:highlight w:val="none"/>
          <w:u w:val="single"/>
        </w:rPr>
        <w:t xml:space="preserve">                    </w:t>
      </w:r>
    </w:p>
    <w:p>
      <w:pPr>
        <w:adjustRightInd w:val="0"/>
        <w:spacing w:line="360" w:lineRule="auto"/>
        <w:ind w:firstLine="1260" w:firstLineChars="450"/>
        <w:textAlignment w:val="baseline"/>
        <w:rPr>
          <w:rFonts w:ascii="黑体" w:hAnsi="黑体" w:eastAsia="黑体"/>
          <w:color w:val="auto"/>
          <w:kern w:val="2"/>
          <w:sz w:val="28"/>
          <w:highlight w:val="none"/>
        </w:rPr>
      </w:pPr>
      <w:r>
        <w:rPr>
          <w:rFonts w:hint="eastAsia" w:ascii="黑体" w:hAnsi="黑体" w:eastAsia="黑体"/>
          <w:color w:val="auto"/>
          <w:kern w:val="2"/>
          <w:sz w:val="28"/>
          <w:highlight w:val="none"/>
        </w:rPr>
        <w:t>招标人：</w:t>
      </w:r>
      <w:r>
        <w:rPr>
          <w:rFonts w:hint="eastAsia"/>
          <w:color w:val="auto"/>
          <w:sz w:val="24"/>
          <w:highlight w:val="none"/>
          <w:u w:val="single"/>
        </w:rPr>
        <w:t xml:space="preserve">   </w:t>
      </w:r>
      <w:r>
        <w:rPr>
          <w:rFonts w:hint="eastAsia"/>
          <w:color w:val="auto"/>
          <w:sz w:val="24"/>
          <w:highlight w:val="none"/>
          <w:u w:val="single"/>
          <w:lang w:val="en-US" w:eastAsia="zh-CN"/>
        </w:rPr>
        <w:t xml:space="preserve">   </w:t>
      </w:r>
      <w:r>
        <w:rPr>
          <w:rFonts w:hint="eastAsia" w:ascii="黑体" w:hAnsi="黑体" w:eastAsia="黑体"/>
          <w:color w:val="0000FF"/>
          <w:sz w:val="28"/>
          <w:szCs w:val="28"/>
          <w:highlight w:val="none"/>
          <w:u w:val="single"/>
          <w:lang w:eastAsia="zh-CN"/>
        </w:rPr>
        <w:t>厦门国贸建设开发有限公司</w:t>
      </w:r>
      <w:r>
        <w:rPr>
          <w:rFonts w:hint="eastAsia" w:ascii="黑体" w:hAnsi="黑体" w:eastAsia="黑体"/>
          <w:color w:val="0000FF"/>
          <w:sz w:val="28"/>
          <w:szCs w:val="28"/>
          <w:highlight w:val="none"/>
          <w:u w:val="single"/>
          <w:lang w:val="en-US" w:eastAsia="zh-CN"/>
        </w:rPr>
        <w:t xml:space="preserve">     </w:t>
      </w:r>
      <w:r>
        <w:rPr>
          <w:rFonts w:hint="eastAsia" w:ascii="黑体" w:hAnsi="黑体" w:eastAsia="黑体"/>
          <w:color w:val="auto"/>
          <w:kern w:val="2"/>
          <w:sz w:val="28"/>
          <w:highlight w:val="none"/>
          <w:u w:val="single"/>
        </w:rPr>
        <w:t>（盖单位电子公章）</w:t>
      </w:r>
    </w:p>
    <w:p>
      <w:pPr>
        <w:adjustRightInd w:val="0"/>
        <w:spacing w:line="360" w:lineRule="auto"/>
        <w:ind w:firstLine="1260" w:firstLineChars="450"/>
        <w:textAlignment w:val="baseline"/>
        <w:rPr>
          <w:rFonts w:ascii="黑体" w:hAnsi="黑体" w:eastAsia="黑体"/>
          <w:color w:val="auto"/>
          <w:kern w:val="2"/>
          <w:sz w:val="28"/>
          <w:highlight w:val="none"/>
          <w:u w:val="single"/>
        </w:rPr>
      </w:pPr>
      <w:r>
        <w:rPr>
          <w:rFonts w:hint="eastAsia" w:ascii="黑体" w:hAnsi="黑体" w:eastAsia="黑体"/>
          <w:color w:val="auto"/>
          <w:kern w:val="2"/>
          <w:sz w:val="28"/>
          <w:highlight w:val="none"/>
        </w:rPr>
        <w:t>招标代理机构：</w:t>
      </w:r>
      <w:r>
        <w:rPr>
          <w:rFonts w:hint="eastAsia" w:ascii="黑体" w:hAnsi="黑体" w:eastAsia="黑体" w:cs="Times New Roman"/>
          <w:color w:val="0000FF"/>
          <w:sz w:val="28"/>
          <w:szCs w:val="28"/>
          <w:highlight w:val="none"/>
          <w:u w:val="single"/>
          <w:lang w:eastAsia="zh-CN"/>
        </w:rPr>
        <w:t>福州信源工程造价咨询有限公司</w:t>
      </w:r>
      <w:r>
        <w:rPr>
          <w:rFonts w:hint="eastAsia" w:ascii="黑体" w:hAnsi="黑体" w:eastAsia="黑体"/>
          <w:color w:val="auto"/>
          <w:kern w:val="2"/>
          <w:sz w:val="28"/>
          <w:highlight w:val="none"/>
          <w:u w:val="single"/>
        </w:rPr>
        <w:t>（盖单位电子公章）</w:t>
      </w:r>
    </w:p>
    <w:p>
      <w:pPr>
        <w:tabs>
          <w:tab w:val="left" w:pos="3804"/>
          <w:tab w:val="left" w:pos="4924"/>
          <w:tab w:val="left" w:pos="6182"/>
        </w:tabs>
        <w:autoSpaceDE w:val="0"/>
        <w:autoSpaceDN w:val="0"/>
        <w:spacing w:before="62"/>
        <w:ind w:firstLine="1274" w:firstLineChars="455"/>
        <w:jc w:val="left"/>
        <w:rPr>
          <w:rFonts w:ascii="黑体" w:eastAsia="黑体" w:cs="宋体"/>
          <w:color w:val="auto"/>
          <w:sz w:val="28"/>
          <w:szCs w:val="22"/>
          <w:highlight w:val="none"/>
          <w:lang w:val="zh-CN" w:bidi="zh-CN"/>
        </w:rPr>
      </w:pPr>
      <w:r>
        <w:rPr>
          <w:rFonts w:hint="eastAsia" w:ascii="黑体" w:hAnsi="黑体" w:eastAsia="黑体"/>
          <w:color w:val="auto"/>
          <w:sz w:val="28"/>
          <w:highlight w:val="none"/>
        </w:rPr>
        <w:t>编制日期：</w:t>
      </w:r>
      <w:r>
        <w:rPr>
          <w:rFonts w:hint="eastAsia" w:ascii="黑体" w:hAnsi="黑体" w:eastAsia="黑体"/>
          <w:color w:val="auto"/>
          <w:sz w:val="28"/>
          <w:highlight w:val="none"/>
          <w:u w:val="single"/>
        </w:rPr>
        <w:t>　</w:t>
      </w:r>
      <w:r>
        <w:rPr>
          <w:rFonts w:hint="eastAsia" w:ascii="黑体" w:hAnsi="黑体" w:eastAsia="黑体"/>
          <w:color w:val="0000FF"/>
          <w:sz w:val="28"/>
          <w:szCs w:val="28"/>
          <w:highlight w:val="none"/>
          <w:u w:val="single"/>
        </w:rPr>
        <w:t>202</w:t>
      </w:r>
      <w:r>
        <w:rPr>
          <w:rFonts w:hint="eastAsia" w:ascii="黑体" w:hAnsi="黑体" w:eastAsia="黑体"/>
          <w:color w:val="0000FF"/>
          <w:sz w:val="28"/>
          <w:szCs w:val="28"/>
          <w:highlight w:val="none"/>
          <w:u w:val="single"/>
          <w:lang w:val="en-US" w:eastAsia="zh-CN"/>
        </w:rPr>
        <w:t>4</w:t>
      </w:r>
      <w:r>
        <w:rPr>
          <w:rFonts w:hint="eastAsia" w:ascii="黑体" w:hAnsi="黑体" w:eastAsia="黑体"/>
          <w:color w:val="auto"/>
          <w:sz w:val="28"/>
          <w:highlight w:val="none"/>
          <w:u w:val="single"/>
        </w:rPr>
        <w:t xml:space="preserve">  </w:t>
      </w:r>
      <w:r>
        <w:rPr>
          <w:rFonts w:hint="eastAsia" w:ascii="黑体" w:hAnsi="黑体" w:eastAsia="黑体"/>
          <w:color w:val="auto"/>
          <w:sz w:val="28"/>
          <w:highlight w:val="none"/>
        </w:rPr>
        <w:t>年</w:t>
      </w:r>
      <w:r>
        <w:rPr>
          <w:rFonts w:hint="eastAsia" w:ascii="黑体" w:hAnsi="黑体" w:eastAsia="黑体"/>
          <w:color w:val="auto"/>
          <w:sz w:val="28"/>
          <w:highlight w:val="none"/>
          <w:u w:val="single"/>
        </w:rPr>
        <w:t xml:space="preserve">  </w:t>
      </w:r>
      <w:r>
        <w:rPr>
          <w:rFonts w:hint="eastAsia" w:ascii="黑体" w:hAnsi="黑体" w:eastAsia="黑体"/>
          <w:color w:val="0000FF"/>
          <w:sz w:val="28"/>
          <w:szCs w:val="28"/>
          <w:highlight w:val="none"/>
          <w:u w:val="single"/>
          <w:lang w:val="en-US" w:eastAsia="zh-CN"/>
        </w:rPr>
        <w:t>07</w:t>
      </w:r>
      <w:r>
        <w:rPr>
          <w:rFonts w:hint="eastAsia" w:ascii="黑体" w:hAnsi="黑体" w:eastAsia="黑体"/>
          <w:color w:val="auto"/>
          <w:sz w:val="28"/>
          <w:highlight w:val="none"/>
          <w:u w:val="single"/>
        </w:rPr>
        <w:t>　</w:t>
      </w:r>
      <w:r>
        <w:rPr>
          <w:rFonts w:hint="eastAsia" w:ascii="黑体" w:hAnsi="黑体" w:eastAsia="黑体"/>
          <w:color w:val="auto"/>
          <w:sz w:val="28"/>
          <w:highlight w:val="none"/>
        </w:rPr>
        <w:t>月</w:t>
      </w:r>
      <w:r>
        <w:rPr>
          <w:rFonts w:hint="eastAsia" w:ascii="黑体" w:hAnsi="黑体" w:eastAsia="黑体"/>
          <w:color w:val="auto"/>
          <w:sz w:val="28"/>
          <w:highlight w:val="none"/>
          <w:u w:val="single"/>
        </w:rPr>
        <w:t xml:space="preserve">   　</w:t>
      </w:r>
      <w:r>
        <w:rPr>
          <w:rFonts w:hint="eastAsia" w:ascii="黑体" w:hAnsi="黑体" w:eastAsia="黑体"/>
          <w:color w:val="auto"/>
          <w:sz w:val="28"/>
          <w:highlight w:val="none"/>
        </w:rPr>
        <w:t>日</w:t>
      </w:r>
    </w:p>
    <w:p>
      <w:pPr>
        <w:tabs>
          <w:tab w:val="left" w:pos="3804"/>
          <w:tab w:val="left" w:pos="4924"/>
          <w:tab w:val="left" w:pos="6182"/>
        </w:tabs>
        <w:autoSpaceDE w:val="0"/>
        <w:autoSpaceDN w:val="0"/>
        <w:spacing w:before="62"/>
        <w:ind w:firstLine="1547" w:firstLineChars="455"/>
        <w:jc w:val="left"/>
        <w:rPr>
          <w:rFonts w:cs="宋体"/>
          <w:b/>
          <w:caps/>
          <w:color w:val="auto"/>
          <w:sz w:val="21"/>
          <w:szCs w:val="21"/>
          <w:highlight w:val="none"/>
        </w:rPr>
      </w:pPr>
      <w:r>
        <w:rPr>
          <w:color w:val="auto"/>
          <w:szCs w:val="21"/>
          <w:highlight w:val="none"/>
        </w:rPr>
        <w:br w:type="page"/>
      </w:r>
      <w:r>
        <w:rPr>
          <w:rFonts w:hint="eastAsia" w:cs="宋体"/>
          <w:color w:val="auto"/>
          <w:sz w:val="21"/>
          <w:szCs w:val="21"/>
          <w:highlight w:val="none"/>
        </w:rPr>
        <w:tab/>
      </w:r>
      <w:r>
        <w:rPr>
          <w:rFonts w:hint="eastAsia" w:cs="宋体"/>
          <w:color w:val="auto"/>
          <w:sz w:val="21"/>
          <w:szCs w:val="21"/>
          <w:highlight w:val="none"/>
        </w:rPr>
        <w:t xml:space="preserve">        </w:t>
      </w:r>
      <w:r>
        <w:rPr>
          <w:rFonts w:ascii="黑体" w:hAnsi="黑体" w:eastAsia="黑体"/>
          <w:color w:val="auto"/>
          <w:sz w:val="28"/>
          <w:szCs w:val="28"/>
          <w:highlight w:val="none"/>
          <w:lang w:val="zh-CN"/>
        </w:rPr>
        <w:t>目录</w:t>
      </w:r>
    </w:p>
    <w:p>
      <w:pPr>
        <w:pStyle w:val="40"/>
        <w:tabs>
          <w:tab w:val="right" w:leader="dot" w:pos="9781"/>
        </w:tabs>
      </w:pPr>
      <w:r>
        <w:rPr>
          <w:rFonts w:hint="eastAsia" w:cs="宋体"/>
          <w:color w:val="auto"/>
          <w:sz w:val="21"/>
          <w:szCs w:val="21"/>
          <w:highlight w:val="none"/>
        </w:rPr>
        <w:fldChar w:fldCharType="begin"/>
      </w:r>
      <w:r>
        <w:rPr>
          <w:rFonts w:hint="eastAsia" w:cs="宋体"/>
          <w:color w:val="auto"/>
          <w:sz w:val="21"/>
          <w:szCs w:val="21"/>
          <w:highlight w:val="none"/>
        </w:rPr>
        <w:instrText xml:space="preserve"> TOC \o "1-3" \h \z \u </w:instrText>
      </w:r>
      <w:r>
        <w:rPr>
          <w:rFonts w:hint="eastAsia" w:cs="宋体"/>
          <w:color w:val="auto"/>
          <w:sz w:val="21"/>
          <w:szCs w:val="21"/>
          <w:highlight w:val="none"/>
        </w:rPr>
        <w:fldChar w:fldCharType="separate"/>
      </w:r>
      <w:r>
        <w:rPr>
          <w:rFonts w:hint="eastAsia" w:cs="宋体"/>
          <w:color w:val="auto"/>
          <w:szCs w:val="21"/>
          <w:highlight w:val="none"/>
        </w:rPr>
        <w:fldChar w:fldCharType="begin"/>
      </w:r>
      <w:r>
        <w:rPr>
          <w:rFonts w:hint="eastAsia" w:cs="宋体"/>
          <w:szCs w:val="21"/>
          <w:highlight w:val="none"/>
        </w:rPr>
        <w:instrText xml:space="preserve"> HYPERLINK \l _Toc29554 </w:instrText>
      </w:r>
      <w:r>
        <w:rPr>
          <w:rFonts w:hint="eastAsia" w:cs="宋体"/>
          <w:szCs w:val="21"/>
          <w:highlight w:val="none"/>
        </w:rPr>
        <w:fldChar w:fldCharType="separate"/>
      </w:r>
      <w:r>
        <w:rPr>
          <w:rFonts w:ascii="黑体" w:hAnsi="黑体" w:eastAsia="黑体" w:cs="宋体"/>
          <w:kern w:val="1"/>
          <w:highlight w:val="none"/>
        </w:rPr>
        <w:t>第一卷</w:t>
      </w:r>
      <w:r>
        <w:tab/>
      </w:r>
      <w:r>
        <w:fldChar w:fldCharType="begin"/>
      </w:r>
      <w:r>
        <w:instrText xml:space="preserve"> PAGEREF _Toc29554 \h </w:instrText>
      </w:r>
      <w:r>
        <w:fldChar w:fldCharType="separate"/>
      </w:r>
      <w:r>
        <w:t>1</w:t>
      </w:r>
      <w:r>
        <w:fldChar w:fldCharType="end"/>
      </w:r>
      <w:r>
        <w:rPr>
          <w:rFonts w:hint="eastAsia" w:cs="宋体"/>
          <w:color w:val="auto"/>
          <w:szCs w:val="21"/>
          <w:highlight w:val="none"/>
        </w:rPr>
        <w:fldChar w:fldCharType="end"/>
      </w:r>
    </w:p>
    <w:p>
      <w:pPr>
        <w:pStyle w:val="40"/>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_Toc26617 </w:instrText>
      </w:r>
      <w:r>
        <w:rPr>
          <w:rFonts w:hint="eastAsia" w:cs="宋体"/>
          <w:szCs w:val="21"/>
          <w:highlight w:val="none"/>
        </w:rPr>
        <w:fldChar w:fldCharType="separate"/>
      </w:r>
      <w:r>
        <w:rPr>
          <w:rFonts w:hint="eastAsia" w:ascii="黑体" w:hAnsi="黑体" w:eastAsia="黑体"/>
          <w:kern w:val="1"/>
          <w:highlight w:val="none"/>
        </w:rPr>
        <w:t xml:space="preserve">第一章 </w:t>
      </w:r>
      <w:r>
        <w:rPr>
          <w:rFonts w:ascii="黑体" w:hAnsi="黑体" w:eastAsia="黑体"/>
          <w:kern w:val="1"/>
          <w:highlight w:val="none"/>
        </w:rPr>
        <w:t>招标公告</w:t>
      </w:r>
      <w:r>
        <w:rPr>
          <w:rFonts w:hint="eastAsia" w:ascii="黑体" w:hAnsi="黑体" w:eastAsia="黑体"/>
          <w:highlight w:val="none"/>
        </w:rPr>
        <w:t>/投标邀请书</w:t>
      </w:r>
      <w:r>
        <w:tab/>
      </w:r>
      <w:r>
        <w:fldChar w:fldCharType="begin"/>
      </w:r>
      <w:r>
        <w:instrText xml:space="preserve"> PAGEREF _Toc26617 \h </w:instrText>
      </w:r>
      <w:r>
        <w:fldChar w:fldCharType="separate"/>
      </w:r>
      <w:r>
        <w:t>2</w:t>
      </w:r>
      <w:r>
        <w:fldChar w:fldCharType="end"/>
      </w:r>
      <w:r>
        <w:rPr>
          <w:rFonts w:hint="eastAsia" w:cs="宋体"/>
          <w:color w:val="auto"/>
          <w:szCs w:val="21"/>
          <w:highlight w:val="none"/>
        </w:rPr>
        <w:fldChar w:fldCharType="end"/>
      </w:r>
    </w:p>
    <w:p>
      <w:pPr>
        <w:pStyle w:val="49"/>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_Toc22495 </w:instrText>
      </w:r>
      <w:r>
        <w:rPr>
          <w:rFonts w:hint="eastAsia" w:cs="宋体"/>
          <w:szCs w:val="21"/>
          <w:highlight w:val="none"/>
        </w:rPr>
        <w:fldChar w:fldCharType="separate"/>
      </w:r>
      <w:r>
        <w:rPr>
          <w:highlight w:val="none"/>
        </w:rPr>
        <w:t>第一章</w:t>
      </w:r>
      <w:r>
        <w:rPr>
          <w:rFonts w:hint="eastAsia"/>
          <w:highlight w:val="none"/>
        </w:rPr>
        <w:t xml:space="preserve">  </w:t>
      </w:r>
      <w:r>
        <w:rPr>
          <w:highlight w:val="none"/>
        </w:rPr>
        <w:t>招标公告</w:t>
      </w:r>
      <w:r>
        <w:tab/>
      </w:r>
      <w:r>
        <w:fldChar w:fldCharType="begin"/>
      </w:r>
      <w:r>
        <w:instrText xml:space="preserve"> PAGEREF _Toc22495 \h </w:instrText>
      </w:r>
      <w:r>
        <w:fldChar w:fldCharType="separate"/>
      </w:r>
      <w:r>
        <w:t>3</w:t>
      </w:r>
      <w:r>
        <w:fldChar w:fldCharType="end"/>
      </w:r>
      <w:r>
        <w:rPr>
          <w:rFonts w:hint="eastAsia" w:cs="宋体"/>
          <w:color w:val="auto"/>
          <w:szCs w:val="21"/>
          <w:highlight w:val="none"/>
        </w:rPr>
        <w:fldChar w:fldCharType="end"/>
      </w:r>
    </w:p>
    <w:p>
      <w:pPr>
        <w:pStyle w:val="49"/>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_Toc27434 </w:instrText>
      </w:r>
      <w:r>
        <w:rPr>
          <w:rFonts w:hint="eastAsia" w:cs="宋体"/>
          <w:szCs w:val="21"/>
          <w:highlight w:val="none"/>
        </w:rPr>
        <w:fldChar w:fldCharType="separate"/>
      </w:r>
      <w:r>
        <w:rPr>
          <w:highlight w:val="none"/>
        </w:rPr>
        <w:t>1. 招标条件</w:t>
      </w:r>
      <w:r>
        <w:tab/>
      </w:r>
      <w:r>
        <w:fldChar w:fldCharType="begin"/>
      </w:r>
      <w:r>
        <w:instrText xml:space="preserve"> PAGEREF _Toc27434 \h </w:instrText>
      </w:r>
      <w:r>
        <w:fldChar w:fldCharType="separate"/>
      </w:r>
      <w:r>
        <w:t>3</w:t>
      </w:r>
      <w:r>
        <w:fldChar w:fldCharType="end"/>
      </w:r>
      <w:r>
        <w:rPr>
          <w:rFonts w:hint="eastAsia" w:cs="宋体"/>
          <w:color w:val="auto"/>
          <w:szCs w:val="21"/>
          <w:highlight w:val="none"/>
        </w:rPr>
        <w:fldChar w:fldCharType="end"/>
      </w:r>
    </w:p>
    <w:p>
      <w:pPr>
        <w:pStyle w:val="49"/>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_Toc32304 </w:instrText>
      </w:r>
      <w:r>
        <w:rPr>
          <w:rFonts w:hint="eastAsia" w:cs="宋体"/>
          <w:szCs w:val="21"/>
          <w:highlight w:val="none"/>
        </w:rPr>
        <w:fldChar w:fldCharType="separate"/>
      </w:r>
      <w:r>
        <w:rPr>
          <w:rFonts w:hint="eastAsia"/>
          <w:highlight w:val="none"/>
        </w:rPr>
        <w:t>2. 项目概况与招标范围</w:t>
      </w:r>
      <w:r>
        <w:tab/>
      </w:r>
      <w:r>
        <w:fldChar w:fldCharType="begin"/>
      </w:r>
      <w:r>
        <w:instrText xml:space="preserve"> PAGEREF _Toc32304 \h </w:instrText>
      </w:r>
      <w:r>
        <w:fldChar w:fldCharType="separate"/>
      </w:r>
      <w:r>
        <w:t>3</w:t>
      </w:r>
      <w:r>
        <w:fldChar w:fldCharType="end"/>
      </w:r>
      <w:r>
        <w:rPr>
          <w:rFonts w:hint="eastAsia" w:cs="宋体"/>
          <w:color w:val="auto"/>
          <w:szCs w:val="21"/>
          <w:highlight w:val="none"/>
        </w:rPr>
        <w:fldChar w:fldCharType="end"/>
      </w:r>
    </w:p>
    <w:p>
      <w:pPr>
        <w:pStyle w:val="49"/>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_Toc26290 </w:instrText>
      </w:r>
      <w:r>
        <w:rPr>
          <w:rFonts w:hint="eastAsia" w:cs="宋体"/>
          <w:szCs w:val="21"/>
          <w:highlight w:val="none"/>
        </w:rPr>
        <w:fldChar w:fldCharType="separate"/>
      </w:r>
      <w:r>
        <w:rPr>
          <w:rFonts w:hint="eastAsia"/>
          <w:highlight w:val="none"/>
        </w:rPr>
        <w:t>3. 投标人资格要求</w:t>
      </w:r>
      <w:r>
        <w:tab/>
      </w:r>
      <w:r>
        <w:fldChar w:fldCharType="begin"/>
      </w:r>
      <w:r>
        <w:instrText xml:space="preserve"> PAGEREF _Toc26290 \h </w:instrText>
      </w:r>
      <w:r>
        <w:fldChar w:fldCharType="separate"/>
      </w:r>
      <w:r>
        <w:t>4</w:t>
      </w:r>
      <w:r>
        <w:fldChar w:fldCharType="end"/>
      </w:r>
      <w:r>
        <w:rPr>
          <w:rFonts w:hint="eastAsia" w:cs="宋体"/>
          <w:color w:val="auto"/>
          <w:szCs w:val="21"/>
          <w:highlight w:val="none"/>
        </w:rPr>
        <w:fldChar w:fldCharType="end"/>
      </w:r>
    </w:p>
    <w:p>
      <w:pPr>
        <w:pStyle w:val="49"/>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_Toc30860 </w:instrText>
      </w:r>
      <w:r>
        <w:rPr>
          <w:rFonts w:hint="eastAsia" w:cs="宋体"/>
          <w:szCs w:val="21"/>
          <w:highlight w:val="none"/>
        </w:rPr>
        <w:fldChar w:fldCharType="separate"/>
      </w:r>
      <w:r>
        <w:rPr>
          <w:rFonts w:hint="eastAsia"/>
          <w:highlight w:val="none"/>
        </w:rPr>
        <w:t>4. 招标文件的获取</w:t>
      </w:r>
      <w:r>
        <w:tab/>
      </w:r>
      <w:r>
        <w:fldChar w:fldCharType="begin"/>
      </w:r>
      <w:r>
        <w:instrText xml:space="preserve"> PAGEREF _Toc30860 \h </w:instrText>
      </w:r>
      <w:r>
        <w:fldChar w:fldCharType="separate"/>
      </w:r>
      <w:r>
        <w:t>5</w:t>
      </w:r>
      <w:r>
        <w:fldChar w:fldCharType="end"/>
      </w:r>
      <w:r>
        <w:rPr>
          <w:rFonts w:hint="eastAsia" w:cs="宋体"/>
          <w:color w:val="auto"/>
          <w:szCs w:val="21"/>
          <w:highlight w:val="none"/>
        </w:rPr>
        <w:fldChar w:fldCharType="end"/>
      </w:r>
    </w:p>
    <w:p>
      <w:pPr>
        <w:pStyle w:val="49"/>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_Toc1419 </w:instrText>
      </w:r>
      <w:r>
        <w:rPr>
          <w:rFonts w:hint="eastAsia" w:cs="宋体"/>
          <w:szCs w:val="21"/>
          <w:highlight w:val="none"/>
        </w:rPr>
        <w:fldChar w:fldCharType="separate"/>
      </w:r>
      <w:r>
        <w:rPr>
          <w:rFonts w:hint="eastAsia"/>
          <w:highlight w:val="none"/>
        </w:rPr>
        <w:t>5. 投标文件的递交</w:t>
      </w:r>
      <w:r>
        <w:tab/>
      </w:r>
      <w:r>
        <w:fldChar w:fldCharType="begin"/>
      </w:r>
      <w:r>
        <w:instrText xml:space="preserve"> PAGEREF _Toc1419 \h </w:instrText>
      </w:r>
      <w:r>
        <w:fldChar w:fldCharType="separate"/>
      </w:r>
      <w:r>
        <w:t>5</w:t>
      </w:r>
      <w:r>
        <w:fldChar w:fldCharType="end"/>
      </w:r>
      <w:r>
        <w:rPr>
          <w:rFonts w:hint="eastAsia" w:cs="宋体"/>
          <w:color w:val="auto"/>
          <w:szCs w:val="21"/>
          <w:highlight w:val="none"/>
        </w:rPr>
        <w:fldChar w:fldCharType="end"/>
      </w:r>
    </w:p>
    <w:p>
      <w:pPr>
        <w:pStyle w:val="49"/>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_Toc26841 </w:instrText>
      </w:r>
      <w:r>
        <w:rPr>
          <w:rFonts w:hint="eastAsia" w:cs="宋体"/>
          <w:szCs w:val="21"/>
          <w:highlight w:val="none"/>
        </w:rPr>
        <w:fldChar w:fldCharType="separate"/>
      </w:r>
      <w:r>
        <w:rPr>
          <w:rFonts w:hint="eastAsia"/>
          <w:highlight w:val="none"/>
        </w:rPr>
        <w:t>6. 评标办法</w:t>
      </w:r>
      <w:r>
        <w:tab/>
      </w:r>
      <w:r>
        <w:fldChar w:fldCharType="begin"/>
      </w:r>
      <w:r>
        <w:instrText xml:space="preserve"> PAGEREF _Toc26841 \h </w:instrText>
      </w:r>
      <w:r>
        <w:fldChar w:fldCharType="separate"/>
      </w:r>
      <w:r>
        <w:t>5</w:t>
      </w:r>
      <w:r>
        <w:fldChar w:fldCharType="end"/>
      </w:r>
      <w:r>
        <w:rPr>
          <w:rFonts w:hint="eastAsia" w:cs="宋体"/>
          <w:color w:val="auto"/>
          <w:szCs w:val="21"/>
          <w:highlight w:val="none"/>
        </w:rPr>
        <w:fldChar w:fldCharType="end"/>
      </w:r>
    </w:p>
    <w:p>
      <w:pPr>
        <w:pStyle w:val="49"/>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_Toc27194 </w:instrText>
      </w:r>
      <w:r>
        <w:rPr>
          <w:rFonts w:hint="eastAsia" w:cs="宋体"/>
          <w:szCs w:val="21"/>
          <w:highlight w:val="none"/>
        </w:rPr>
        <w:fldChar w:fldCharType="separate"/>
      </w:r>
      <w:r>
        <w:rPr>
          <w:rFonts w:hint="eastAsia"/>
          <w:highlight w:val="none"/>
        </w:rPr>
        <w:t>7. 定标票决办法</w:t>
      </w:r>
      <w:r>
        <w:tab/>
      </w:r>
      <w:r>
        <w:fldChar w:fldCharType="begin"/>
      </w:r>
      <w:r>
        <w:instrText xml:space="preserve"> PAGEREF _Toc27194 \h </w:instrText>
      </w:r>
      <w:r>
        <w:fldChar w:fldCharType="separate"/>
      </w:r>
      <w:r>
        <w:t>5</w:t>
      </w:r>
      <w:r>
        <w:fldChar w:fldCharType="end"/>
      </w:r>
      <w:r>
        <w:rPr>
          <w:rFonts w:hint="eastAsia" w:cs="宋体"/>
          <w:color w:val="auto"/>
          <w:szCs w:val="21"/>
          <w:highlight w:val="none"/>
        </w:rPr>
        <w:fldChar w:fldCharType="end"/>
      </w:r>
    </w:p>
    <w:p>
      <w:pPr>
        <w:pStyle w:val="49"/>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_Toc17835 </w:instrText>
      </w:r>
      <w:r>
        <w:rPr>
          <w:rFonts w:hint="eastAsia" w:cs="宋体"/>
          <w:szCs w:val="21"/>
          <w:highlight w:val="none"/>
        </w:rPr>
        <w:fldChar w:fldCharType="separate"/>
      </w:r>
      <w:r>
        <w:rPr>
          <w:rFonts w:hint="eastAsia"/>
          <w:highlight w:val="none"/>
        </w:rPr>
        <w:t>8. 投标保证金的递交</w:t>
      </w:r>
      <w:r>
        <w:tab/>
      </w:r>
      <w:r>
        <w:fldChar w:fldCharType="begin"/>
      </w:r>
      <w:r>
        <w:instrText xml:space="preserve"> PAGEREF _Toc17835 \h </w:instrText>
      </w:r>
      <w:r>
        <w:fldChar w:fldCharType="separate"/>
      </w:r>
      <w:r>
        <w:t>5</w:t>
      </w:r>
      <w:r>
        <w:fldChar w:fldCharType="end"/>
      </w:r>
      <w:r>
        <w:rPr>
          <w:rFonts w:hint="eastAsia" w:cs="宋体"/>
          <w:color w:val="auto"/>
          <w:szCs w:val="21"/>
          <w:highlight w:val="none"/>
        </w:rPr>
        <w:fldChar w:fldCharType="end"/>
      </w:r>
    </w:p>
    <w:p>
      <w:pPr>
        <w:pStyle w:val="49"/>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_Toc12365 </w:instrText>
      </w:r>
      <w:r>
        <w:rPr>
          <w:rFonts w:hint="eastAsia" w:cs="宋体"/>
          <w:szCs w:val="21"/>
          <w:highlight w:val="none"/>
        </w:rPr>
        <w:fldChar w:fldCharType="separate"/>
      </w:r>
      <w:r>
        <w:rPr>
          <w:rFonts w:hint="eastAsia"/>
          <w:highlight w:val="none"/>
          <w:lang w:val="en-US"/>
        </w:rPr>
        <w:t xml:space="preserve">9. </w:t>
      </w:r>
      <w:r>
        <w:rPr>
          <w:rFonts w:hint="eastAsia"/>
          <w:highlight w:val="none"/>
        </w:rPr>
        <w:t>发布招标公告的媒介</w:t>
      </w:r>
      <w:r>
        <w:tab/>
      </w:r>
      <w:r>
        <w:fldChar w:fldCharType="begin"/>
      </w:r>
      <w:r>
        <w:instrText xml:space="preserve"> PAGEREF _Toc12365 \h </w:instrText>
      </w:r>
      <w:r>
        <w:fldChar w:fldCharType="separate"/>
      </w:r>
      <w:r>
        <w:t>5</w:t>
      </w:r>
      <w:r>
        <w:fldChar w:fldCharType="end"/>
      </w:r>
      <w:r>
        <w:rPr>
          <w:rFonts w:hint="eastAsia" w:cs="宋体"/>
          <w:color w:val="auto"/>
          <w:szCs w:val="21"/>
          <w:highlight w:val="none"/>
        </w:rPr>
        <w:fldChar w:fldCharType="end"/>
      </w:r>
    </w:p>
    <w:p>
      <w:pPr>
        <w:pStyle w:val="49"/>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_Toc26227 </w:instrText>
      </w:r>
      <w:r>
        <w:rPr>
          <w:rFonts w:hint="eastAsia" w:cs="宋体"/>
          <w:szCs w:val="21"/>
          <w:highlight w:val="none"/>
        </w:rPr>
        <w:fldChar w:fldCharType="separate"/>
      </w:r>
      <w:r>
        <w:rPr>
          <w:rFonts w:hint="eastAsia"/>
          <w:highlight w:val="none"/>
        </w:rPr>
        <w:t>10. 联系方式</w:t>
      </w:r>
      <w:r>
        <w:tab/>
      </w:r>
      <w:r>
        <w:fldChar w:fldCharType="begin"/>
      </w:r>
      <w:r>
        <w:instrText xml:space="preserve"> PAGEREF _Toc26227 \h </w:instrText>
      </w:r>
      <w:r>
        <w:fldChar w:fldCharType="separate"/>
      </w:r>
      <w:r>
        <w:t>6</w:t>
      </w:r>
      <w:r>
        <w:fldChar w:fldCharType="end"/>
      </w:r>
      <w:r>
        <w:rPr>
          <w:rFonts w:hint="eastAsia" w:cs="宋体"/>
          <w:color w:val="auto"/>
          <w:szCs w:val="21"/>
          <w:highlight w:val="none"/>
        </w:rPr>
        <w:fldChar w:fldCharType="end"/>
      </w:r>
    </w:p>
    <w:p>
      <w:pPr>
        <w:pStyle w:val="40"/>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_Toc23307 </w:instrText>
      </w:r>
      <w:r>
        <w:rPr>
          <w:rFonts w:hint="eastAsia" w:cs="宋体"/>
          <w:szCs w:val="21"/>
          <w:highlight w:val="none"/>
        </w:rPr>
        <w:fldChar w:fldCharType="separate"/>
      </w:r>
      <w:r>
        <w:rPr>
          <w:rFonts w:hint="eastAsia" w:ascii="黑体" w:hAnsi="黑体" w:eastAsia="黑体" w:cs="宋体"/>
          <w:kern w:val="1"/>
          <w:highlight w:val="none"/>
        </w:rPr>
        <w:t>第二章 投标人须知</w:t>
      </w:r>
      <w:r>
        <w:tab/>
      </w:r>
      <w:r>
        <w:fldChar w:fldCharType="begin"/>
      </w:r>
      <w:r>
        <w:instrText xml:space="preserve"> PAGEREF _Toc23307 \h </w:instrText>
      </w:r>
      <w:r>
        <w:fldChar w:fldCharType="separate"/>
      </w:r>
      <w:r>
        <w:t>7</w:t>
      </w:r>
      <w:r>
        <w:fldChar w:fldCharType="end"/>
      </w:r>
      <w:r>
        <w:rPr>
          <w:rFonts w:hint="eastAsia" w:cs="宋体"/>
          <w:color w:val="auto"/>
          <w:szCs w:val="21"/>
          <w:highlight w:val="none"/>
        </w:rPr>
        <w:fldChar w:fldCharType="end"/>
      </w:r>
    </w:p>
    <w:p>
      <w:pPr>
        <w:pStyle w:val="49"/>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_Toc3221 </w:instrText>
      </w:r>
      <w:r>
        <w:rPr>
          <w:rFonts w:hint="eastAsia" w:cs="宋体"/>
          <w:szCs w:val="21"/>
          <w:highlight w:val="none"/>
        </w:rPr>
        <w:fldChar w:fldCharType="separate"/>
      </w:r>
      <w:r>
        <w:rPr>
          <w:rFonts w:hint="eastAsia"/>
          <w:highlight w:val="none"/>
        </w:rPr>
        <w:t>第二章 投标人须知</w:t>
      </w:r>
      <w:r>
        <w:tab/>
      </w:r>
      <w:r>
        <w:fldChar w:fldCharType="begin"/>
      </w:r>
      <w:r>
        <w:instrText xml:space="preserve"> PAGEREF _Toc3221 \h </w:instrText>
      </w:r>
      <w:r>
        <w:fldChar w:fldCharType="separate"/>
      </w:r>
      <w:r>
        <w:t>8</w:t>
      </w:r>
      <w:r>
        <w:fldChar w:fldCharType="end"/>
      </w:r>
      <w:r>
        <w:rPr>
          <w:rFonts w:hint="eastAsia" w:cs="宋体"/>
          <w:color w:val="auto"/>
          <w:szCs w:val="21"/>
          <w:highlight w:val="none"/>
        </w:rPr>
        <w:fldChar w:fldCharType="end"/>
      </w:r>
    </w:p>
    <w:p>
      <w:pPr>
        <w:pStyle w:val="49"/>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_Toc3254 </w:instrText>
      </w:r>
      <w:r>
        <w:rPr>
          <w:rFonts w:hint="eastAsia" w:cs="宋体"/>
          <w:szCs w:val="21"/>
          <w:highlight w:val="none"/>
        </w:rPr>
        <w:fldChar w:fldCharType="separate"/>
      </w:r>
      <w:r>
        <w:rPr>
          <w:rFonts w:hint="eastAsia" w:cs="宋体"/>
          <w:szCs w:val="21"/>
          <w:highlight w:val="none"/>
        </w:rPr>
        <w:t>投标人须知前附表</w:t>
      </w:r>
      <w:r>
        <w:tab/>
      </w:r>
      <w:r>
        <w:fldChar w:fldCharType="begin"/>
      </w:r>
      <w:r>
        <w:instrText xml:space="preserve"> PAGEREF _Toc3254 \h </w:instrText>
      </w:r>
      <w:r>
        <w:fldChar w:fldCharType="separate"/>
      </w:r>
      <w:r>
        <w:t>8</w:t>
      </w:r>
      <w:r>
        <w:fldChar w:fldCharType="end"/>
      </w:r>
      <w:r>
        <w:rPr>
          <w:rFonts w:hint="eastAsia" w:cs="宋体"/>
          <w:color w:val="auto"/>
          <w:szCs w:val="21"/>
          <w:highlight w:val="none"/>
        </w:rPr>
        <w:fldChar w:fldCharType="end"/>
      </w:r>
    </w:p>
    <w:p>
      <w:pPr>
        <w:pStyle w:val="49"/>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_Toc17930 </w:instrText>
      </w:r>
      <w:r>
        <w:rPr>
          <w:rFonts w:hint="eastAsia" w:cs="宋体"/>
          <w:szCs w:val="21"/>
          <w:highlight w:val="none"/>
        </w:rPr>
        <w:fldChar w:fldCharType="separate"/>
      </w:r>
      <w:r>
        <w:rPr>
          <w:highlight w:val="none"/>
        </w:rPr>
        <w:t>投标人须知正文</w:t>
      </w:r>
      <w:r>
        <w:tab/>
      </w:r>
      <w:r>
        <w:fldChar w:fldCharType="begin"/>
      </w:r>
      <w:r>
        <w:instrText xml:space="preserve"> PAGEREF _Toc17930 \h </w:instrText>
      </w:r>
      <w:r>
        <w:fldChar w:fldCharType="separate"/>
      </w:r>
      <w:r>
        <w:t>22</w:t>
      </w:r>
      <w:r>
        <w:fldChar w:fldCharType="end"/>
      </w:r>
      <w:r>
        <w:rPr>
          <w:rFonts w:hint="eastAsia" w:cs="宋体"/>
          <w:color w:val="auto"/>
          <w:szCs w:val="21"/>
          <w:highlight w:val="none"/>
        </w:rPr>
        <w:fldChar w:fldCharType="end"/>
      </w:r>
    </w:p>
    <w:p>
      <w:pPr>
        <w:pStyle w:val="49"/>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_Toc17686 </w:instrText>
      </w:r>
      <w:r>
        <w:rPr>
          <w:rFonts w:hint="eastAsia" w:cs="宋体"/>
          <w:szCs w:val="21"/>
          <w:highlight w:val="none"/>
        </w:rPr>
        <w:fldChar w:fldCharType="separate"/>
      </w:r>
      <w:r>
        <w:rPr>
          <w:rFonts w:hint="eastAsia"/>
          <w:highlight w:val="none"/>
        </w:rPr>
        <w:t>1. 总则</w:t>
      </w:r>
      <w:r>
        <w:tab/>
      </w:r>
      <w:r>
        <w:fldChar w:fldCharType="begin"/>
      </w:r>
      <w:r>
        <w:instrText xml:space="preserve"> PAGEREF _Toc17686 \h </w:instrText>
      </w:r>
      <w:r>
        <w:fldChar w:fldCharType="separate"/>
      </w:r>
      <w:r>
        <w:t>22</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_Toc32331 </w:instrText>
      </w:r>
      <w:r>
        <w:rPr>
          <w:rFonts w:hint="eastAsia" w:cs="宋体"/>
          <w:szCs w:val="21"/>
          <w:highlight w:val="none"/>
        </w:rPr>
        <w:fldChar w:fldCharType="separate"/>
      </w:r>
      <w:r>
        <w:rPr>
          <w:rFonts w:hint="eastAsia"/>
          <w:highlight w:val="none"/>
        </w:rPr>
        <w:t>1.1 项目概况</w:t>
      </w:r>
      <w:r>
        <w:tab/>
      </w:r>
      <w:r>
        <w:fldChar w:fldCharType="begin"/>
      </w:r>
      <w:r>
        <w:instrText xml:space="preserve"> PAGEREF _Toc32331 \h </w:instrText>
      </w:r>
      <w:r>
        <w:fldChar w:fldCharType="separate"/>
      </w:r>
      <w:r>
        <w:t>22</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_Toc18765 </w:instrText>
      </w:r>
      <w:r>
        <w:rPr>
          <w:rFonts w:hint="eastAsia" w:cs="宋体"/>
          <w:szCs w:val="21"/>
          <w:highlight w:val="none"/>
        </w:rPr>
        <w:fldChar w:fldCharType="separate"/>
      </w:r>
      <w:r>
        <w:rPr>
          <w:rFonts w:hint="eastAsia"/>
          <w:highlight w:val="none"/>
        </w:rPr>
        <w:t>1.2 项目的资金来源和落实情况</w:t>
      </w:r>
      <w:r>
        <w:tab/>
      </w:r>
      <w:r>
        <w:fldChar w:fldCharType="begin"/>
      </w:r>
      <w:r>
        <w:instrText xml:space="preserve"> PAGEREF _Toc18765 \h </w:instrText>
      </w:r>
      <w:r>
        <w:fldChar w:fldCharType="separate"/>
      </w:r>
      <w:r>
        <w:t>22</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_Toc30552 </w:instrText>
      </w:r>
      <w:r>
        <w:rPr>
          <w:rFonts w:hint="eastAsia" w:cs="宋体"/>
          <w:szCs w:val="21"/>
          <w:highlight w:val="none"/>
        </w:rPr>
        <w:fldChar w:fldCharType="separate"/>
      </w:r>
      <w:r>
        <w:rPr>
          <w:rFonts w:hint="eastAsia"/>
          <w:highlight w:val="none"/>
        </w:rPr>
        <w:t>1.3 招标范围、招标内容</w:t>
      </w:r>
      <w:r>
        <w:tab/>
      </w:r>
      <w:r>
        <w:fldChar w:fldCharType="begin"/>
      </w:r>
      <w:r>
        <w:instrText xml:space="preserve"> PAGEREF _Toc30552 \h </w:instrText>
      </w:r>
      <w:r>
        <w:fldChar w:fldCharType="separate"/>
      </w:r>
      <w:r>
        <w:t>22</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_Toc10038 </w:instrText>
      </w:r>
      <w:r>
        <w:rPr>
          <w:rFonts w:hint="eastAsia" w:cs="宋体"/>
          <w:szCs w:val="21"/>
          <w:highlight w:val="none"/>
        </w:rPr>
        <w:fldChar w:fldCharType="separate"/>
      </w:r>
      <w:r>
        <w:rPr>
          <w:rFonts w:hint="eastAsia"/>
          <w:highlight w:val="none"/>
        </w:rPr>
        <w:t>1.4 投标人资格要求和资格审查方式</w:t>
      </w:r>
      <w:r>
        <w:tab/>
      </w:r>
      <w:r>
        <w:fldChar w:fldCharType="begin"/>
      </w:r>
      <w:r>
        <w:instrText xml:space="preserve"> PAGEREF _Toc10038 \h </w:instrText>
      </w:r>
      <w:r>
        <w:fldChar w:fldCharType="separate"/>
      </w:r>
      <w:r>
        <w:t>22</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_Toc29709 </w:instrText>
      </w:r>
      <w:r>
        <w:rPr>
          <w:rFonts w:hint="eastAsia" w:cs="宋体"/>
          <w:szCs w:val="21"/>
          <w:highlight w:val="none"/>
        </w:rPr>
        <w:fldChar w:fldCharType="separate"/>
      </w:r>
      <w:r>
        <w:rPr>
          <w:rFonts w:hint="eastAsia" w:hAnsi="宋体" w:cs="黑体"/>
          <w:highlight w:val="none"/>
        </w:rPr>
        <w:t>1.5 费用承担</w:t>
      </w:r>
      <w:r>
        <w:tab/>
      </w:r>
      <w:r>
        <w:fldChar w:fldCharType="begin"/>
      </w:r>
      <w:r>
        <w:instrText xml:space="preserve"> PAGEREF _Toc29709 \h </w:instrText>
      </w:r>
      <w:r>
        <w:fldChar w:fldCharType="separate"/>
      </w:r>
      <w:r>
        <w:t>24</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_Toc6374 </w:instrText>
      </w:r>
      <w:r>
        <w:rPr>
          <w:rFonts w:hint="eastAsia" w:cs="宋体"/>
          <w:szCs w:val="21"/>
          <w:highlight w:val="none"/>
        </w:rPr>
        <w:fldChar w:fldCharType="separate"/>
      </w:r>
      <w:r>
        <w:rPr>
          <w:rFonts w:hint="eastAsia" w:hAnsi="宋体" w:cs="黑体"/>
          <w:highlight w:val="none"/>
        </w:rPr>
        <w:t>1.6 保密</w:t>
      </w:r>
      <w:r>
        <w:tab/>
      </w:r>
      <w:r>
        <w:fldChar w:fldCharType="begin"/>
      </w:r>
      <w:r>
        <w:instrText xml:space="preserve"> PAGEREF _Toc6374 \h </w:instrText>
      </w:r>
      <w:r>
        <w:fldChar w:fldCharType="separate"/>
      </w:r>
      <w:r>
        <w:t>24</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_Toc26160 </w:instrText>
      </w:r>
      <w:r>
        <w:rPr>
          <w:rFonts w:hint="eastAsia" w:cs="宋体"/>
          <w:szCs w:val="21"/>
          <w:highlight w:val="none"/>
        </w:rPr>
        <w:fldChar w:fldCharType="separate"/>
      </w:r>
      <w:r>
        <w:rPr>
          <w:rFonts w:hint="eastAsia" w:hAnsi="宋体" w:cs="黑体"/>
          <w:highlight w:val="none"/>
        </w:rPr>
        <w:t>1.7 语言文字</w:t>
      </w:r>
      <w:r>
        <w:tab/>
      </w:r>
      <w:r>
        <w:fldChar w:fldCharType="begin"/>
      </w:r>
      <w:r>
        <w:instrText xml:space="preserve"> PAGEREF _Toc26160 \h </w:instrText>
      </w:r>
      <w:r>
        <w:fldChar w:fldCharType="separate"/>
      </w:r>
      <w:r>
        <w:t>24</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_Toc28933 </w:instrText>
      </w:r>
      <w:r>
        <w:rPr>
          <w:rFonts w:hint="eastAsia" w:cs="宋体"/>
          <w:szCs w:val="21"/>
          <w:highlight w:val="none"/>
        </w:rPr>
        <w:fldChar w:fldCharType="separate"/>
      </w:r>
      <w:r>
        <w:rPr>
          <w:rFonts w:hint="eastAsia" w:hAnsi="宋体" w:cs="黑体"/>
          <w:highlight w:val="none"/>
        </w:rPr>
        <w:t>1.8 计量单位</w:t>
      </w:r>
      <w:r>
        <w:tab/>
      </w:r>
      <w:r>
        <w:fldChar w:fldCharType="begin"/>
      </w:r>
      <w:r>
        <w:instrText xml:space="preserve"> PAGEREF _Toc28933 \h </w:instrText>
      </w:r>
      <w:r>
        <w:fldChar w:fldCharType="separate"/>
      </w:r>
      <w:r>
        <w:t>24</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_Toc17880 </w:instrText>
      </w:r>
      <w:r>
        <w:rPr>
          <w:rFonts w:hint="eastAsia" w:cs="宋体"/>
          <w:szCs w:val="21"/>
          <w:highlight w:val="none"/>
        </w:rPr>
        <w:fldChar w:fldCharType="separate"/>
      </w:r>
      <w:r>
        <w:rPr>
          <w:rFonts w:hint="eastAsia" w:hAnsi="宋体" w:cs="黑体"/>
          <w:highlight w:val="none"/>
        </w:rPr>
        <w:t>1.9 踏勘现场</w:t>
      </w:r>
      <w:r>
        <w:tab/>
      </w:r>
      <w:r>
        <w:fldChar w:fldCharType="begin"/>
      </w:r>
      <w:r>
        <w:instrText xml:space="preserve"> PAGEREF _Toc17880 \h </w:instrText>
      </w:r>
      <w:r>
        <w:fldChar w:fldCharType="separate"/>
      </w:r>
      <w:r>
        <w:t>24</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_Toc16152 </w:instrText>
      </w:r>
      <w:r>
        <w:rPr>
          <w:rFonts w:hint="eastAsia" w:cs="宋体"/>
          <w:szCs w:val="21"/>
          <w:highlight w:val="none"/>
        </w:rPr>
        <w:fldChar w:fldCharType="separate"/>
      </w:r>
      <w:r>
        <w:rPr>
          <w:rFonts w:hint="eastAsia" w:hAnsi="宋体" w:cs="黑体"/>
          <w:highlight w:val="none"/>
        </w:rPr>
        <w:t>1.10 疑问</w:t>
      </w:r>
      <w:r>
        <w:tab/>
      </w:r>
      <w:r>
        <w:fldChar w:fldCharType="begin"/>
      </w:r>
      <w:r>
        <w:instrText xml:space="preserve"> PAGEREF _Toc16152 \h </w:instrText>
      </w:r>
      <w:r>
        <w:fldChar w:fldCharType="separate"/>
      </w:r>
      <w:r>
        <w:t>24</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_Toc9501 </w:instrText>
      </w:r>
      <w:r>
        <w:rPr>
          <w:rFonts w:hint="eastAsia" w:cs="宋体"/>
          <w:szCs w:val="21"/>
          <w:highlight w:val="none"/>
        </w:rPr>
        <w:fldChar w:fldCharType="separate"/>
      </w:r>
      <w:r>
        <w:rPr>
          <w:rFonts w:hint="eastAsia" w:hAnsi="宋体" w:cs="黑体"/>
          <w:highlight w:val="none"/>
        </w:rPr>
        <w:t>1.11 分包</w:t>
      </w:r>
      <w:r>
        <w:tab/>
      </w:r>
      <w:r>
        <w:fldChar w:fldCharType="begin"/>
      </w:r>
      <w:r>
        <w:instrText xml:space="preserve"> PAGEREF _Toc9501 \h </w:instrText>
      </w:r>
      <w:r>
        <w:fldChar w:fldCharType="separate"/>
      </w:r>
      <w:r>
        <w:t>24</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_Toc16625 </w:instrText>
      </w:r>
      <w:r>
        <w:rPr>
          <w:rFonts w:hint="eastAsia" w:cs="宋体"/>
          <w:szCs w:val="21"/>
          <w:highlight w:val="none"/>
        </w:rPr>
        <w:fldChar w:fldCharType="separate"/>
      </w:r>
      <w:r>
        <w:rPr>
          <w:rFonts w:hint="eastAsia" w:hAnsi="宋体" w:cs="黑体"/>
          <w:highlight w:val="none"/>
        </w:rPr>
        <w:t>1.12 偏离</w:t>
      </w:r>
      <w:r>
        <w:tab/>
      </w:r>
      <w:r>
        <w:fldChar w:fldCharType="begin"/>
      </w:r>
      <w:r>
        <w:instrText xml:space="preserve"> PAGEREF _Toc16625 \h </w:instrText>
      </w:r>
      <w:r>
        <w:fldChar w:fldCharType="separate"/>
      </w:r>
      <w:r>
        <w:t>24</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_Toc11078 </w:instrText>
      </w:r>
      <w:r>
        <w:rPr>
          <w:rFonts w:hint="eastAsia" w:cs="宋体"/>
          <w:szCs w:val="21"/>
          <w:highlight w:val="none"/>
        </w:rPr>
        <w:fldChar w:fldCharType="separate"/>
      </w:r>
      <w:r>
        <w:rPr>
          <w:rFonts w:hint="eastAsia" w:hAnsi="宋体" w:cs="黑体"/>
          <w:highlight w:val="none"/>
        </w:rPr>
        <w:t>2. 招标文件</w:t>
      </w:r>
      <w:r>
        <w:tab/>
      </w:r>
      <w:r>
        <w:fldChar w:fldCharType="begin"/>
      </w:r>
      <w:r>
        <w:instrText xml:space="preserve"> PAGEREF _Toc11078 \h </w:instrText>
      </w:r>
      <w:r>
        <w:fldChar w:fldCharType="separate"/>
      </w:r>
      <w:r>
        <w:t>25</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_Toc21659 </w:instrText>
      </w:r>
      <w:r>
        <w:rPr>
          <w:rFonts w:hint="eastAsia" w:cs="宋体"/>
          <w:szCs w:val="21"/>
          <w:highlight w:val="none"/>
        </w:rPr>
        <w:fldChar w:fldCharType="separate"/>
      </w:r>
      <w:r>
        <w:rPr>
          <w:rFonts w:hint="eastAsia" w:hAnsi="宋体" w:cs="黑体"/>
          <w:highlight w:val="none"/>
        </w:rPr>
        <w:t>2.1 招标文件的组成</w:t>
      </w:r>
      <w:r>
        <w:tab/>
      </w:r>
      <w:r>
        <w:fldChar w:fldCharType="begin"/>
      </w:r>
      <w:r>
        <w:instrText xml:space="preserve"> PAGEREF _Toc21659 \h </w:instrText>
      </w:r>
      <w:r>
        <w:fldChar w:fldCharType="separate"/>
      </w:r>
      <w:r>
        <w:t>25</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_Toc17173 </w:instrText>
      </w:r>
      <w:r>
        <w:rPr>
          <w:rFonts w:hint="eastAsia" w:cs="宋体"/>
          <w:szCs w:val="21"/>
          <w:highlight w:val="none"/>
        </w:rPr>
        <w:fldChar w:fldCharType="separate"/>
      </w:r>
      <w:r>
        <w:rPr>
          <w:rFonts w:hint="eastAsia" w:hAnsi="宋体" w:cs="黑体"/>
          <w:highlight w:val="none"/>
        </w:rPr>
        <w:t>2.2 招标文件的澄清、修改</w:t>
      </w:r>
      <w:r>
        <w:tab/>
      </w:r>
      <w:r>
        <w:fldChar w:fldCharType="begin"/>
      </w:r>
      <w:r>
        <w:instrText xml:space="preserve"> PAGEREF _Toc17173 \h </w:instrText>
      </w:r>
      <w:r>
        <w:fldChar w:fldCharType="separate"/>
      </w:r>
      <w:r>
        <w:t>25</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_Toc3561 </w:instrText>
      </w:r>
      <w:r>
        <w:rPr>
          <w:rFonts w:hint="eastAsia" w:cs="宋体"/>
          <w:szCs w:val="21"/>
          <w:highlight w:val="none"/>
        </w:rPr>
        <w:fldChar w:fldCharType="separate"/>
      </w:r>
      <w:r>
        <w:rPr>
          <w:rFonts w:hint="eastAsia" w:hAnsi="宋体" w:cs="黑体"/>
          <w:highlight w:val="none"/>
        </w:rPr>
        <w:t>3. 投标文件</w:t>
      </w:r>
      <w:r>
        <w:tab/>
      </w:r>
      <w:r>
        <w:fldChar w:fldCharType="begin"/>
      </w:r>
      <w:r>
        <w:instrText xml:space="preserve"> PAGEREF _Toc3561 \h </w:instrText>
      </w:r>
      <w:r>
        <w:fldChar w:fldCharType="separate"/>
      </w:r>
      <w:r>
        <w:t>25</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_Toc10644 </w:instrText>
      </w:r>
      <w:r>
        <w:rPr>
          <w:rFonts w:hint="eastAsia" w:cs="宋体"/>
          <w:szCs w:val="21"/>
          <w:highlight w:val="none"/>
        </w:rPr>
        <w:fldChar w:fldCharType="separate"/>
      </w:r>
      <w:r>
        <w:rPr>
          <w:rFonts w:hint="eastAsia" w:hAnsi="宋体" w:cs="黑体"/>
          <w:highlight w:val="none"/>
        </w:rPr>
        <w:t>3.1 投标文件的组成</w:t>
      </w:r>
      <w:r>
        <w:tab/>
      </w:r>
      <w:r>
        <w:fldChar w:fldCharType="begin"/>
      </w:r>
      <w:r>
        <w:instrText xml:space="preserve"> PAGEREF _Toc10644 \h </w:instrText>
      </w:r>
      <w:r>
        <w:fldChar w:fldCharType="separate"/>
      </w:r>
      <w:r>
        <w:t>25</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_Toc25933 </w:instrText>
      </w:r>
      <w:r>
        <w:rPr>
          <w:rFonts w:hint="eastAsia" w:cs="宋体"/>
          <w:szCs w:val="21"/>
          <w:highlight w:val="none"/>
        </w:rPr>
        <w:fldChar w:fldCharType="separate"/>
      </w:r>
      <w:r>
        <w:rPr>
          <w:rFonts w:hint="eastAsia" w:hAnsi="宋体" w:cs="黑体"/>
          <w:highlight w:val="none"/>
        </w:rPr>
        <w:t>3.2 投标报价</w:t>
      </w:r>
      <w:r>
        <w:tab/>
      </w:r>
      <w:r>
        <w:fldChar w:fldCharType="begin"/>
      </w:r>
      <w:r>
        <w:instrText xml:space="preserve"> PAGEREF _Toc25933 \h </w:instrText>
      </w:r>
      <w:r>
        <w:fldChar w:fldCharType="separate"/>
      </w:r>
      <w:r>
        <w:t>26</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_Toc15458 </w:instrText>
      </w:r>
      <w:r>
        <w:rPr>
          <w:rFonts w:hint="eastAsia" w:cs="宋体"/>
          <w:szCs w:val="21"/>
          <w:highlight w:val="none"/>
        </w:rPr>
        <w:fldChar w:fldCharType="separate"/>
      </w:r>
      <w:r>
        <w:rPr>
          <w:rFonts w:hint="eastAsia" w:hAnsi="宋体" w:cs="黑体"/>
          <w:highlight w:val="none"/>
        </w:rPr>
        <w:t>3.3 投标有效期</w:t>
      </w:r>
      <w:r>
        <w:tab/>
      </w:r>
      <w:r>
        <w:fldChar w:fldCharType="begin"/>
      </w:r>
      <w:r>
        <w:instrText xml:space="preserve"> PAGEREF _Toc15458 \h </w:instrText>
      </w:r>
      <w:r>
        <w:fldChar w:fldCharType="separate"/>
      </w:r>
      <w:r>
        <w:t>26</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_Toc13589 </w:instrText>
      </w:r>
      <w:r>
        <w:rPr>
          <w:rFonts w:hint="eastAsia" w:cs="宋体"/>
          <w:szCs w:val="21"/>
          <w:highlight w:val="none"/>
        </w:rPr>
        <w:fldChar w:fldCharType="separate"/>
      </w:r>
      <w:r>
        <w:rPr>
          <w:rFonts w:hint="eastAsia" w:hAnsi="宋体" w:cs="黑体"/>
          <w:highlight w:val="none"/>
        </w:rPr>
        <w:t>3.4 投标保证金</w:t>
      </w:r>
      <w:r>
        <w:tab/>
      </w:r>
      <w:r>
        <w:fldChar w:fldCharType="begin"/>
      </w:r>
      <w:r>
        <w:instrText xml:space="preserve"> PAGEREF _Toc13589 \h </w:instrText>
      </w:r>
      <w:r>
        <w:fldChar w:fldCharType="separate"/>
      </w:r>
      <w:r>
        <w:t>26</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_Toc15127 </w:instrText>
      </w:r>
      <w:r>
        <w:rPr>
          <w:rFonts w:hint="eastAsia" w:cs="宋体"/>
          <w:szCs w:val="21"/>
          <w:highlight w:val="none"/>
        </w:rPr>
        <w:fldChar w:fldCharType="separate"/>
      </w:r>
      <w:r>
        <w:rPr>
          <w:rFonts w:hint="eastAsia" w:hAnsi="宋体" w:cs="黑体"/>
          <w:highlight w:val="none"/>
        </w:rPr>
        <w:t>3.5 备选投标方案</w:t>
      </w:r>
      <w:r>
        <w:tab/>
      </w:r>
      <w:r>
        <w:fldChar w:fldCharType="begin"/>
      </w:r>
      <w:r>
        <w:instrText xml:space="preserve"> PAGEREF _Toc15127 \h </w:instrText>
      </w:r>
      <w:r>
        <w:fldChar w:fldCharType="separate"/>
      </w:r>
      <w:r>
        <w:t>27</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_Toc23280 </w:instrText>
      </w:r>
      <w:r>
        <w:rPr>
          <w:rFonts w:hint="eastAsia" w:cs="宋体"/>
          <w:szCs w:val="21"/>
          <w:highlight w:val="none"/>
        </w:rPr>
        <w:fldChar w:fldCharType="separate"/>
      </w:r>
      <w:r>
        <w:rPr>
          <w:rFonts w:hint="eastAsia" w:hAnsi="宋体" w:cs="黑体"/>
          <w:highlight w:val="none"/>
        </w:rPr>
        <w:t>3.6 投标文件的编制</w:t>
      </w:r>
      <w:r>
        <w:tab/>
      </w:r>
      <w:r>
        <w:fldChar w:fldCharType="begin"/>
      </w:r>
      <w:r>
        <w:instrText xml:space="preserve"> PAGEREF _Toc23280 \h </w:instrText>
      </w:r>
      <w:r>
        <w:fldChar w:fldCharType="separate"/>
      </w:r>
      <w:r>
        <w:t>27</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_Toc7991 </w:instrText>
      </w:r>
      <w:r>
        <w:rPr>
          <w:rFonts w:hint="eastAsia" w:cs="宋体"/>
          <w:szCs w:val="21"/>
          <w:highlight w:val="none"/>
        </w:rPr>
        <w:fldChar w:fldCharType="separate"/>
      </w:r>
      <w:r>
        <w:rPr>
          <w:rFonts w:hint="eastAsia" w:hAnsi="宋体" w:cs="黑体"/>
          <w:highlight w:val="none"/>
        </w:rPr>
        <w:t>4. 投标</w:t>
      </w:r>
      <w:r>
        <w:tab/>
      </w:r>
      <w:r>
        <w:fldChar w:fldCharType="begin"/>
      </w:r>
      <w:r>
        <w:instrText xml:space="preserve"> PAGEREF _Toc7991 \h </w:instrText>
      </w:r>
      <w:r>
        <w:fldChar w:fldCharType="separate"/>
      </w:r>
      <w:r>
        <w:t>28</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_Toc31389 </w:instrText>
      </w:r>
      <w:r>
        <w:rPr>
          <w:rFonts w:hint="eastAsia" w:cs="宋体"/>
          <w:szCs w:val="21"/>
          <w:highlight w:val="none"/>
        </w:rPr>
        <w:fldChar w:fldCharType="separate"/>
      </w:r>
      <w:r>
        <w:rPr>
          <w:rFonts w:hint="eastAsia" w:hAnsi="宋体" w:cs="黑体"/>
          <w:highlight w:val="none"/>
        </w:rPr>
        <w:t>4.1投标文件的递交</w:t>
      </w:r>
      <w:r>
        <w:tab/>
      </w:r>
      <w:r>
        <w:fldChar w:fldCharType="begin"/>
      </w:r>
      <w:r>
        <w:instrText xml:space="preserve"> PAGEREF _Toc31389 \h </w:instrText>
      </w:r>
      <w:r>
        <w:fldChar w:fldCharType="separate"/>
      </w:r>
      <w:r>
        <w:t>28</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_Toc29862 </w:instrText>
      </w:r>
      <w:r>
        <w:rPr>
          <w:rFonts w:hint="eastAsia" w:cs="宋体"/>
          <w:szCs w:val="21"/>
          <w:highlight w:val="none"/>
        </w:rPr>
        <w:fldChar w:fldCharType="separate"/>
      </w:r>
      <w:r>
        <w:rPr>
          <w:rFonts w:hint="eastAsia" w:hAnsi="宋体" w:cs="黑体"/>
          <w:highlight w:val="none"/>
        </w:rPr>
        <w:t>5. 开标</w:t>
      </w:r>
      <w:r>
        <w:tab/>
      </w:r>
      <w:r>
        <w:fldChar w:fldCharType="begin"/>
      </w:r>
      <w:r>
        <w:instrText xml:space="preserve"> PAGEREF _Toc29862 \h </w:instrText>
      </w:r>
      <w:r>
        <w:fldChar w:fldCharType="separate"/>
      </w:r>
      <w:r>
        <w:t>28</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_Toc4875 </w:instrText>
      </w:r>
      <w:r>
        <w:rPr>
          <w:rFonts w:hint="eastAsia" w:cs="宋体"/>
          <w:szCs w:val="21"/>
          <w:highlight w:val="none"/>
        </w:rPr>
        <w:fldChar w:fldCharType="separate"/>
      </w:r>
      <w:r>
        <w:rPr>
          <w:rFonts w:hint="eastAsia" w:hAnsi="宋体" w:cs="黑体"/>
          <w:highlight w:val="none"/>
        </w:rPr>
        <w:t>6. 评标</w:t>
      </w:r>
      <w:r>
        <w:tab/>
      </w:r>
      <w:r>
        <w:fldChar w:fldCharType="begin"/>
      </w:r>
      <w:r>
        <w:instrText xml:space="preserve"> PAGEREF _Toc4875 \h </w:instrText>
      </w:r>
      <w:r>
        <w:fldChar w:fldCharType="separate"/>
      </w:r>
      <w:r>
        <w:t>29</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_Toc16075 </w:instrText>
      </w:r>
      <w:r>
        <w:rPr>
          <w:rFonts w:hint="eastAsia" w:cs="宋体"/>
          <w:szCs w:val="21"/>
          <w:highlight w:val="none"/>
        </w:rPr>
        <w:fldChar w:fldCharType="separate"/>
      </w:r>
      <w:r>
        <w:rPr>
          <w:rFonts w:hint="eastAsia" w:hAnsi="宋体" w:cs="黑体"/>
          <w:highlight w:val="none"/>
        </w:rPr>
        <w:t>6.1 评标委员会</w:t>
      </w:r>
      <w:r>
        <w:tab/>
      </w:r>
      <w:r>
        <w:fldChar w:fldCharType="begin"/>
      </w:r>
      <w:r>
        <w:instrText xml:space="preserve"> PAGEREF _Toc16075 \h </w:instrText>
      </w:r>
      <w:r>
        <w:fldChar w:fldCharType="separate"/>
      </w:r>
      <w:r>
        <w:t>29</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_Toc24944 </w:instrText>
      </w:r>
      <w:r>
        <w:rPr>
          <w:rFonts w:hint="eastAsia" w:cs="宋体"/>
          <w:szCs w:val="21"/>
          <w:highlight w:val="none"/>
        </w:rPr>
        <w:fldChar w:fldCharType="separate"/>
      </w:r>
      <w:r>
        <w:rPr>
          <w:rFonts w:hint="eastAsia" w:hAnsi="宋体" w:cs="黑体"/>
          <w:highlight w:val="none"/>
        </w:rPr>
        <w:t>6.2 评标办法</w:t>
      </w:r>
      <w:r>
        <w:tab/>
      </w:r>
      <w:r>
        <w:fldChar w:fldCharType="begin"/>
      </w:r>
      <w:r>
        <w:instrText xml:space="preserve"> PAGEREF _Toc24944 \h </w:instrText>
      </w:r>
      <w:r>
        <w:fldChar w:fldCharType="separate"/>
      </w:r>
      <w:r>
        <w:t>29</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_Toc6086 </w:instrText>
      </w:r>
      <w:r>
        <w:rPr>
          <w:rFonts w:hint="eastAsia" w:cs="宋体"/>
          <w:szCs w:val="21"/>
          <w:highlight w:val="none"/>
        </w:rPr>
        <w:fldChar w:fldCharType="separate"/>
      </w:r>
      <w:r>
        <w:rPr>
          <w:rFonts w:hint="eastAsia" w:hAnsi="宋体" w:cs="黑体"/>
          <w:highlight w:val="none"/>
        </w:rPr>
        <w:t>6.3 定标候选人公示</w:t>
      </w:r>
      <w:r>
        <w:tab/>
      </w:r>
      <w:r>
        <w:fldChar w:fldCharType="begin"/>
      </w:r>
      <w:r>
        <w:instrText xml:space="preserve"> PAGEREF _Toc6086 \h </w:instrText>
      </w:r>
      <w:r>
        <w:fldChar w:fldCharType="separate"/>
      </w:r>
      <w:r>
        <w:t>30</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_Toc10785 </w:instrText>
      </w:r>
      <w:r>
        <w:rPr>
          <w:rFonts w:hint="eastAsia" w:cs="宋体"/>
          <w:szCs w:val="21"/>
          <w:highlight w:val="none"/>
        </w:rPr>
        <w:fldChar w:fldCharType="separate"/>
      </w:r>
      <w:r>
        <w:rPr>
          <w:rFonts w:hint="eastAsia" w:hAnsi="宋体" w:cs="黑体"/>
          <w:highlight w:val="none"/>
        </w:rPr>
        <w:t>7. 定标与合同授予</w:t>
      </w:r>
      <w:r>
        <w:tab/>
      </w:r>
      <w:r>
        <w:fldChar w:fldCharType="begin"/>
      </w:r>
      <w:r>
        <w:instrText xml:space="preserve"> PAGEREF _Toc10785 \h </w:instrText>
      </w:r>
      <w:r>
        <w:fldChar w:fldCharType="separate"/>
      </w:r>
      <w:r>
        <w:t>30</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_Toc25193 </w:instrText>
      </w:r>
      <w:r>
        <w:rPr>
          <w:rFonts w:hint="eastAsia" w:cs="宋体"/>
          <w:szCs w:val="21"/>
          <w:highlight w:val="none"/>
        </w:rPr>
        <w:fldChar w:fldCharType="separate"/>
      </w:r>
      <w:r>
        <w:rPr>
          <w:rFonts w:hint="eastAsia" w:hAnsi="宋体" w:cs="黑体"/>
          <w:highlight w:val="none"/>
        </w:rPr>
        <w:t>7.1定标委员会</w:t>
      </w:r>
      <w:r>
        <w:tab/>
      </w:r>
      <w:r>
        <w:fldChar w:fldCharType="begin"/>
      </w:r>
      <w:r>
        <w:instrText xml:space="preserve"> PAGEREF _Toc25193 \h </w:instrText>
      </w:r>
      <w:r>
        <w:fldChar w:fldCharType="separate"/>
      </w:r>
      <w:r>
        <w:t>30</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_Toc32054 </w:instrText>
      </w:r>
      <w:r>
        <w:rPr>
          <w:rFonts w:hint="eastAsia" w:cs="宋体"/>
          <w:szCs w:val="21"/>
          <w:highlight w:val="none"/>
        </w:rPr>
        <w:fldChar w:fldCharType="separate"/>
      </w:r>
      <w:r>
        <w:rPr>
          <w:rFonts w:hint="eastAsia" w:hAnsi="宋体" w:cs="黑体"/>
          <w:highlight w:val="none"/>
        </w:rPr>
        <w:t>7.2 定标办法</w:t>
      </w:r>
      <w:r>
        <w:tab/>
      </w:r>
      <w:r>
        <w:fldChar w:fldCharType="begin"/>
      </w:r>
      <w:r>
        <w:instrText xml:space="preserve"> PAGEREF _Toc32054 \h </w:instrText>
      </w:r>
      <w:r>
        <w:fldChar w:fldCharType="separate"/>
      </w:r>
      <w:r>
        <w:t>30</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_Toc27854 </w:instrText>
      </w:r>
      <w:r>
        <w:rPr>
          <w:rFonts w:hint="eastAsia" w:cs="宋体"/>
          <w:szCs w:val="21"/>
          <w:highlight w:val="none"/>
        </w:rPr>
        <w:fldChar w:fldCharType="separate"/>
      </w:r>
      <w:r>
        <w:rPr>
          <w:rFonts w:hint="eastAsia" w:hAnsi="宋体" w:cs="黑体"/>
          <w:highlight w:val="none"/>
        </w:rPr>
        <w:t>7.3 中标通知</w:t>
      </w:r>
      <w:r>
        <w:tab/>
      </w:r>
      <w:r>
        <w:fldChar w:fldCharType="begin"/>
      </w:r>
      <w:r>
        <w:instrText xml:space="preserve"> PAGEREF _Toc27854 \h </w:instrText>
      </w:r>
      <w:r>
        <w:fldChar w:fldCharType="separate"/>
      </w:r>
      <w:r>
        <w:t>30</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_Toc32062 </w:instrText>
      </w:r>
      <w:r>
        <w:rPr>
          <w:rFonts w:hint="eastAsia" w:cs="宋体"/>
          <w:szCs w:val="21"/>
          <w:highlight w:val="none"/>
        </w:rPr>
        <w:fldChar w:fldCharType="separate"/>
      </w:r>
      <w:r>
        <w:rPr>
          <w:rFonts w:hint="eastAsia" w:hAnsi="宋体" w:cs="黑体"/>
          <w:highlight w:val="none"/>
        </w:rPr>
        <w:t>7.4 履约担保与支付担保</w:t>
      </w:r>
      <w:r>
        <w:tab/>
      </w:r>
      <w:r>
        <w:fldChar w:fldCharType="begin"/>
      </w:r>
      <w:r>
        <w:instrText xml:space="preserve"> PAGEREF _Toc32062 \h </w:instrText>
      </w:r>
      <w:r>
        <w:fldChar w:fldCharType="separate"/>
      </w:r>
      <w:r>
        <w:t>30</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_Toc4284 </w:instrText>
      </w:r>
      <w:r>
        <w:rPr>
          <w:rFonts w:hint="eastAsia" w:cs="宋体"/>
          <w:szCs w:val="21"/>
          <w:highlight w:val="none"/>
        </w:rPr>
        <w:fldChar w:fldCharType="separate"/>
      </w:r>
      <w:r>
        <w:rPr>
          <w:rFonts w:hint="eastAsia" w:hAnsi="宋体" w:cs="黑体"/>
          <w:highlight w:val="none"/>
        </w:rPr>
        <w:t>7.5 签订合同</w:t>
      </w:r>
      <w:r>
        <w:tab/>
      </w:r>
      <w:r>
        <w:fldChar w:fldCharType="begin"/>
      </w:r>
      <w:r>
        <w:instrText xml:space="preserve"> PAGEREF _Toc4284 \h </w:instrText>
      </w:r>
      <w:r>
        <w:fldChar w:fldCharType="separate"/>
      </w:r>
      <w:r>
        <w:t>30</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_Toc8327 </w:instrText>
      </w:r>
      <w:r>
        <w:rPr>
          <w:rFonts w:hint="eastAsia" w:cs="宋体"/>
          <w:szCs w:val="21"/>
          <w:highlight w:val="none"/>
        </w:rPr>
        <w:fldChar w:fldCharType="separate"/>
      </w:r>
      <w:r>
        <w:rPr>
          <w:rFonts w:hint="eastAsia" w:hAnsi="宋体" w:cs="黑体"/>
          <w:highlight w:val="none"/>
        </w:rPr>
        <w:t>8. 纪律和监督</w:t>
      </w:r>
      <w:r>
        <w:tab/>
      </w:r>
      <w:r>
        <w:fldChar w:fldCharType="begin"/>
      </w:r>
      <w:r>
        <w:instrText xml:space="preserve"> PAGEREF _Toc8327 \h </w:instrText>
      </w:r>
      <w:r>
        <w:fldChar w:fldCharType="separate"/>
      </w:r>
      <w:r>
        <w:t>31</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_Toc2120 </w:instrText>
      </w:r>
      <w:r>
        <w:rPr>
          <w:rFonts w:hint="eastAsia" w:cs="宋体"/>
          <w:szCs w:val="21"/>
          <w:highlight w:val="none"/>
        </w:rPr>
        <w:fldChar w:fldCharType="separate"/>
      </w:r>
      <w:r>
        <w:rPr>
          <w:rFonts w:hint="eastAsia" w:hAnsi="宋体" w:cs="黑体"/>
          <w:highlight w:val="none"/>
        </w:rPr>
        <w:t>8.1 对招标人的纪律要求</w:t>
      </w:r>
      <w:r>
        <w:tab/>
      </w:r>
      <w:r>
        <w:fldChar w:fldCharType="begin"/>
      </w:r>
      <w:r>
        <w:instrText xml:space="preserve"> PAGEREF _Toc2120 \h </w:instrText>
      </w:r>
      <w:r>
        <w:fldChar w:fldCharType="separate"/>
      </w:r>
      <w:r>
        <w:t>31</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_Toc27087 </w:instrText>
      </w:r>
      <w:r>
        <w:rPr>
          <w:rFonts w:hint="eastAsia" w:cs="宋体"/>
          <w:szCs w:val="21"/>
          <w:highlight w:val="none"/>
        </w:rPr>
        <w:fldChar w:fldCharType="separate"/>
      </w:r>
      <w:r>
        <w:rPr>
          <w:rFonts w:hint="eastAsia" w:hAnsi="宋体" w:cs="黑体"/>
          <w:highlight w:val="none"/>
        </w:rPr>
        <w:t>8.2 对投标人的纪律要求</w:t>
      </w:r>
      <w:r>
        <w:tab/>
      </w:r>
      <w:r>
        <w:fldChar w:fldCharType="begin"/>
      </w:r>
      <w:r>
        <w:instrText xml:space="preserve"> PAGEREF _Toc27087 \h </w:instrText>
      </w:r>
      <w:r>
        <w:fldChar w:fldCharType="separate"/>
      </w:r>
      <w:r>
        <w:t>31</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_Toc8265 </w:instrText>
      </w:r>
      <w:r>
        <w:rPr>
          <w:rFonts w:hint="eastAsia" w:cs="宋体"/>
          <w:szCs w:val="21"/>
          <w:highlight w:val="none"/>
        </w:rPr>
        <w:fldChar w:fldCharType="separate"/>
      </w:r>
      <w:r>
        <w:rPr>
          <w:rFonts w:hint="eastAsia" w:hAnsi="宋体" w:cs="黑体"/>
          <w:highlight w:val="none"/>
        </w:rPr>
        <w:t>8.3 对评标委员会成员和定标委员会的纪律要求</w:t>
      </w:r>
      <w:r>
        <w:tab/>
      </w:r>
      <w:r>
        <w:fldChar w:fldCharType="begin"/>
      </w:r>
      <w:r>
        <w:instrText xml:space="preserve"> PAGEREF _Toc8265 \h </w:instrText>
      </w:r>
      <w:r>
        <w:fldChar w:fldCharType="separate"/>
      </w:r>
      <w:r>
        <w:t>31</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_Toc15194 </w:instrText>
      </w:r>
      <w:r>
        <w:rPr>
          <w:rFonts w:hint="eastAsia" w:cs="宋体"/>
          <w:szCs w:val="21"/>
          <w:highlight w:val="none"/>
        </w:rPr>
        <w:fldChar w:fldCharType="separate"/>
      </w:r>
      <w:r>
        <w:rPr>
          <w:rFonts w:hint="eastAsia" w:hAnsi="宋体" w:cs="黑体"/>
          <w:highlight w:val="none"/>
        </w:rPr>
        <w:t>8.4 对与评标和定标活动有关的工作人员的纪律要求</w:t>
      </w:r>
      <w:r>
        <w:tab/>
      </w:r>
      <w:r>
        <w:fldChar w:fldCharType="begin"/>
      </w:r>
      <w:r>
        <w:instrText xml:space="preserve"> PAGEREF _Toc15194 \h </w:instrText>
      </w:r>
      <w:r>
        <w:fldChar w:fldCharType="separate"/>
      </w:r>
      <w:r>
        <w:t>31</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_Toc32665 </w:instrText>
      </w:r>
      <w:r>
        <w:rPr>
          <w:rFonts w:hint="eastAsia" w:cs="宋体"/>
          <w:szCs w:val="21"/>
          <w:highlight w:val="none"/>
        </w:rPr>
        <w:fldChar w:fldCharType="separate"/>
      </w:r>
      <w:r>
        <w:rPr>
          <w:rFonts w:hint="eastAsia" w:hAnsi="宋体" w:cs="黑体"/>
          <w:highlight w:val="none"/>
        </w:rPr>
        <w:t>8.5 异议、投诉与处理</w:t>
      </w:r>
      <w:r>
        <w:tab/>
      </w:r>
      <w:r>
        <w:fldChar w:fldCharType="begin"/>
      </w:r>
      <w:r>
        <w:instrText xml:space="preserve"> PAGEREF _Toc32665 \h </w:instrText>
      </w:r>
      <w:r>
        <w:fldChar w:fldCharType="separate"/>
      </w:r>
      <w:r>
        <w:t>31</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_Toc16310 </w:instrText>
      </w:r>
      <w:r>
        <w:rPr>
          <w:rFonts w:hint="eastAsia" w:cs="宋体"/>
          <w:szCs w:val="21"/>
          <w:highlight w:val="none"/>
        </w:rPr>
        <w:fldChar w:fldCharType="separate"/>
      </w:r>
      <w:r>
        <w:rPr>
          <w:rFonts w:hint="eastAsia" w:hAnsi="宋体" w:cs="黑体"/>
          <w:highlight w:val="none"/>
        </w:rPr>
        <w:t>9.其他</w:t>
      </w:r>
      <w:r>
        <w:tab/>
      </w:r>
      <w:r>
        <w:fldChar w:fldCharType="begin"/>
      </w:r>
      <w:r>
        <w:instrText xml:space="preserve"> PAGEREF _Toc16310 \h </w:instrText>
      </w:r>
      <w:r>
        <w:fldChar w:fldCharType="separate"/>
      </w:r>
      <w:r>
        <w:t>32</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_Toc12605 </w:instrText>
      </w:r>
      <w:r>
        <w:rPr>
          <w:rFonts w:hint="eastAsia" w:cs="宋体"/>
          <w:szCs w:val="21"/>
          <w:highlight w:val="none"/>
        </w:rPr>
        <w:fldChar w:fldCharType="separate"/>
      </w:r>
      <w:r>
        <w:rPr>
          <w:rFonts w:hint="eastAsia" w:hAnsi="宋体" w:cs="黑体"/>
          <w:szCs w:val="21"/>
          <w:highlight w:val="none"/>
        </w:rPr>
        <w:t>附件2-1：开标记录表（格式）</w:t>
      </w:r>
      <w:r>
        <w:tab/>
      </w:r>
      <w:r>
        <w:fldChar w:fldCharType="begin"/>
      </w:r>
      <w:r>
        <w:instrText xml:space="preserve"> PAGEREF _Toc12605 \h </w:instrText>
      </w:r>
      <w:r>
        <w:fldChar w:fldCharType="separate"/>
      </w:r>
      <w:r>
        <w:t>33</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_Toc32192 </w:instrText>
      </w:r>
      <w:r>
        <w:rPr>
          <w:rFonts w:hint="eastAsia" w:cs="宋体"/>
          <w:szCs w:val="21"/>
          <w:highlight w:val="none"/>
        </w:rPr>
        <w:fldChar w:fldCharType="separate"/>
      </w:r>
      <w:r>
        <w:rPr>
          <w:rFonts w:hint="eastAsia" w:hAnsi="宋体" w:cs="黑体"/>
          <w:szCs w:val="21"/>
          <w:highlight w:val="none"/>
        </w:rPr>
        <w:t>附件2-2：定标候选人公示（格式）（适用于同时设置类似工程业绩和信用评价作为投标人资格条件的招标项目或其他项目）</w:t>
      </w:r>
      <w:r>
        <w:tab/>
      </w:r>
      <w:r>
        <w:fldChar w:fldCharType="begin"/>
      </w:r>
      <w:r>
        <w:instrText xml:space="preserve"> PAGEREF _Toc32192 \h </w:instrText>
      </w:r>
      <w:r>
        <w:fldChar w:fldCharType="separate"/>
      </w:r>
      <w:r>
        <w:t>36</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_Toc20709 </w:instrText>
      </w:r>
      <w:r>
        <w:rPr>
          <w:rFonts w:hint="eastAsia" w:cs="宋体"/>
          <w:szCs w:val="21"/>
          <w:highlight w:val="none"/>
        </w:rPr>
        <w:fldChar w:fldCharType="separate"/>
      </w:r>
      <w:r>
        <w:rPr>
          <w:rFonts w:hint="eastAsia" w:hAnsi="宋体" w:cs="黑体"/>
          <w:szCs w:val="21"/>
          <w:highlight w:val="none"/>
        </w:rPr>
        <w:t>附件2-2：定标候选人公示（格式）（适用于简易程序招标项目）</w:t>
      </w:r>
      <w:r>
        <w:tab/>
      </w:r>
      <w:r>
        <w:fldChar w:fldCharType="begin"/>
      </w:r>
      <w:r>
        <w:instrText xml:space="preserve"> PAGEREF _Toc20709 \h </w:instrText>
      </w:r>
      <w:r>
        <w:fldChar w:fldCharType="separate"/>
      </w:r>
      <w:r>
        <w:t>38</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_Toc29801 </w:instrText>
      </w:r>
      <w:r>
        <w:rPr>
          <w:rFonts w:hint="eastAsia" w:cs="宋体"/>
          <w:szCs w:val="21"/>
          <w:highlight w:val="none"/>
        </w:rPr>
        <w:fldChar w:fldCharType="separate"/>
      </w:r>
      <w:r>
        <w:rPr>
          <w:rFonts w:hint="eastAsia" w:hAnsi="宋体" w:cs="黑体"/>
          <w:szCs w:val="21"/>
          <w:highlight w:val="none"/>
        </w:rPr>
        <w:t>附件2-3 ：中标结果公布（格式）</w:t>
      </w:r>
      <w:r>
        <w:tab/>
      </w:r>
      <w:r>
        <w:fldChar w:fldCharType="begin"/>
      </w:r>
      <w:r>
        <w:instrText xml:space="preserve"> PAGEREF _Toc29801 \h </w:instrText>
      </w:r>
      <w:r>
        <w:fldChar w:fldCharType="separate"/>
      </w:r>
      <w:r>
        <w:t>40</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_Toc4818 </w:instrText>
      </w:r>
      <w:r>
        <w:rPr>
          <w:rFonts w:hint="eastAsia" w:cs="宋体"/>
          <w:szCs w:val="21"/>
          <w:highlight w:val="none"/>
        </w:rPr>
        <w:fldChar w:fldCharType="separate"/>
      </w:r>
      <w:r>
        <w:rPr>
          <w:rFonts w:hint="eastAsia" w:hAnsi="宋体" w:cs="黑体"/>
          <w:szCs w:val="21"/>
          <w:highlight w:val="none"/>
        </w:rPr>
        <w:t>附件2-4 ：中标通知书（格式）</w:t>
      </w:r>
      <w:r>
        <w:tab/>
      </w:r>
      <w:r>
        <w:fldChar w:fldCharType="begin"/>
      </w:r>
      <w:r>
        <w:instrText xml:space="preserve"> PAGEREF _Toc4818 \h </w:instrText>
      </w:r>
      <w:r>
        <w:fldChar w:fldCharType="separate"/>
      </w:r>
      <w:r>
        <w:t>41</w:t>
      </w:r>
      <w:r>
        <w:fldChar w:fldCharType="end"/>
      </w:r>
      <w:r>
        <w:rPr>
          <w:rFonts w:hint="eastAsia" w:cs="宋体"/>
          <w:color w:val="auto"/>
          <w:szCs w:val="21"/>
          <w:highlight w:val="none"/>
        </w:rPr>
        <w:fldChar w:fldCharType="end"/>
      </w:r>
    </w:p>
    <w:p>
      <w:pPr>
        <w:pStyle w:val="40"/>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_Toc557 </w:instrText>
      </w:r>
      <w:r>
        <w:rPr>
          <w:rFonts w:hint="eastAsia" w:cs="宋体"/>
          <w:szCs w:val="21"/>
          <w:highlight w:val="none"/>
        </w:rPr>
        <w:fldChar w:fldCharType="separate"/>
      </w:r>
      <w:r>
        <w:rPr>
          <w:rFonts w:hint="eastAsia" w:ascii="黑体" w:eastAsia="黑体" w:cs="黑体"/>
          <w:kern w:val="1"/>
          <w:highlight w:val="none"/>
        </w:rPr>
        <w:t>第三章 评标办法</w:t>
      </w:r>
      <w:r>
        <w:tab/>
      </w:r>
      <w:r>
        <w:fldChar w:fldCharType="begin"/>
      </w:r>
      <w:r>
        <w:instrText xml:space="preserve"> PAGEREF _Toc557 \h </w:instrText>
      </w:r>
      <w:r>
        <w:fldChar w:fldCharType="separate"/>
      </w:r>
      <w:r>
        <w:t>42</w:t>
      </w:r>
      <w:r>
        <w:fldChar w:fldCharType="end"/>
      </w:r>
      <w:r>
        <w:rPr>
          <w:rFonts w:hint="eastAsia" w:cs="宋体"/>
          <w:color w:val="auto"/>
          <w:szCs w:val="21"/>
          <w:highlight w:val="none"/>
        </w:rPr>
        <w:fldChar w:fldCharType="end"/>
      </w:r>
    </w:p>
    <w:p>
      <w:pPr>
        <w:pStyle w:val="49"/>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_Toc3980 </w:instrText>
      </w:r>
      <w:r>
        <w:rPr>
          <w:rFonts w:hint="eastAsia" w:cs="宋体"/>
          <w:szCs w:val="21"/>
          <w:highlight w:val="none"/>
        </w:rPr>
        <w:fldChar w:fldCharType="separate"/>
      </w:r>
      <w:r>
        <w:rPr>
          <w:rFonts w:hint="eastAsia" w:hAnsi="宋体" w:cs="黑体"/>
          <w:highlight w:val="none"/>
        </w:rPr>
        <w:t>第三章 评标办法</w:t>
      </w:r>
      <w:r>
        <w:tab/>
      </w:r>
      <w:r>
        <w:fldChar w:fldCharType="begin"/>
      </w:r>
      <w:r>
        <w:instrText xml:space="preserve"> PAGEREF _Toc3980 \h </w:instrText>
      </w:r>
      <w:r>
        <w:fldChar w:fldCharType="separate"/>
      </w:r>
      <w:r>
        <w:t>43</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_Toc25483 </w:instrText>
      </w:r>
      <w:r>
        <w:rPr>
          <w:rFonts w:hint="eastAsia" w:cs="宋体"/>
          <w:szCs w:val="21"/>
          <w:highlight w:val="none"/>
        </w:rPr>
        <w:fldChar w:fldCharType="separate"/>
      </w:r>
      <w:r>
        <w:rPr>
          <w:rFonts w:hint="eastAsia" w:ascii="黑体" w:hAnsi="黑体" w:eastAsia="黑体"/>
          <w:kern w:val="1"/>
          <w:szCs w:val="21"/>
          <w:highlight w:val="none"/>
          <w:lang w:val="zh-CN" w:bidi="zh-CN"/>
        </w:rPr>
        <w:t>评标办法前附表</w:t>
      </w:r>
      <w:r>
        <w:rPr>
          <w:rFonts w:hint="eastAsia" w:eastAsia="黑体"/>
          <w:kern w:val="1"/>
          <w:szCs w:val="21"/>
          <w:highlight w:val="none"/>
          <w:lang w:val="zh-CN"/>
        </w:rPr>
        <w:t>（适用于其他项目）</w:t>
      </w:r>
      <w:r>
        <w:tab/>
      </w:r>
      <w:r>
        <w:fldChar w:fldCharType="begin"/>
      </w:r>
      <w:r>
        <w:instrText xml:space="preserve"> PAGEREF _Toc25483 \h </w:instrText>
      </w:r>
      <w:r>
        <w:fldChar w:fldCharType="separate"/>
      </w:r>
      <w:r>
        <w:t>43</w:t>
      </w:r>
      <w:r>
        <w:fldChar w:fldCharType="end"/>
      </w:r>
      <w:r>
        <w:rPr>
          <w:rFonts w:hint="eastAsia" w:cs="宋体"/>
          <w:color w:val="auto"/>
          <w:szCs w:val="21"/>
          <w:highlight w:val="none"/>
        </w:rPr>
        <w:fldChar w:fldCharType="end"/>
      </w:r>
    </w:p>
    <w:p>
      <w:pPr>
        <w:pStyle w:val="49"/>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_Toc2023 </w:instrText>
      </w:r>
      <w:r>
        <w:rPr>
          <w:rFonts w:hint="eastAsia" w:cs="宋体"/>
          <w:szCs w:val="21"/>
          <w:highlight w:val="none"/>
        </w:rPr>
        <w:fldChar w:fldCharType="separate"/>
      </w:r>
      <w:r>
        <w:rPr>
          <w:rFonts w:hint="eastAsia" w:ascii="黑体" w:hAnsi="黑体" w:eastAsia="黑体" w:cs="宋体"/>
          <w:kern w:val="1"/>
          <w:szCs w:val="28"/>
          <w:highlight w:val="none"/>
          <w:lang w:val="zh-CN"/>
        </w:rPr>
        <w:t>评标</w:t>
      </w:r>
      <w:r>
        <w:rPr>
          <w:rFonts w:ascii="黑体" w:hAnsi="黑体" w:eastAsia="黑体" w:cs="宋体"/>
          <w:kern w:val="1"/>
          <w:szCs w:val="28"/>
          <w:highlight w:val="none"/>
          <w:lang w:val="zh-CN"/>
        </w:rPr>
        <w:t>办法正文</w:t>
      </w:r>
      <w:r>
        <w:rPr>
          <w:rFonts w:hint="eastAsia" w:ascii="黑体" w:hAnsi="黑体" w:eastAsia="黑体"/>
          <w:kern w:val="1"/>
          <w:szCs w:val="21"/>
          <w:highlight w:val="none"/>
          <w:lang w:val="zh-CN"/>
        </w:rPr>
        <w:t>（适用于其他项目）</w:t>
      </w:r>
      <w:r>
        <w:tab/>
      </w:r>
      <w:r>
        <w:fldChar w:fldCharType="begin"/>
      </w:r>
      <w:r>
        <w:instrText xml:space="preserve"> PAGEREF _Toc2023 \h </w:instrText>
      </w:r>
      <w:r>
        <w:fldChar w:fldCharType="separate"/>
      </w:r>
      <w:r>
        <w:t>51</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_Toc15290 </w:instrText>
      </w:r>
      <w:r>
        <w:rPr>
          <w:rFonts w:hint="eastAsia" w:cs="宋体"/>
          <w:szCs w:val="21"/>
          <w:highlight w:val="none"/>
        </w:rPr>
        <w:fldChar w:fldCharType="separate"/>
      </w:r>
      <w:r>
        <w:rPr>
          <w:rFonts w:hint="eastAsia" w:ascii="黑体" w:hAnsi="黑体" w:eastAsia="黑体"/>
          <w:kern w:val="1"/>
          <w:szCs w:val="28"/>
          <w:highlight w:val="none"/>
          <w:lang w:val="zh-CN"/>
        </w:rPr>
        <w:t>1. 评标方法</w:t>
      </w:r>
      <w:r>
        <w:tab/>
      </w:r>
      <w:r>
        <w:fldChar w:fldCharType="begin"/>
      </w:r>
      <w:r>
        <w:instrText xml:space="preserve"> PAGEREF _Toc15290 \h </w:instrText>
      </w:r>
      <w:r>
        <w:fldChar w:fldCharType="separate"/>
      </w:r>
      <w:r>
        <w:t>51</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_Toc30647 </w:instrText>
      </w:r>
      <w:r>
        <w:rPr>
          <w:rFonts w:hint="eastAsia" w:cs="宋体"/>
          <w:szCs w:val="21"/>
          <w:highlight w:val="none"/>
        </w:rPr>
        <w:fldChar w:fldCharType="separate"/>
      </w:r>
      <w:r>
        <w:rPr>
          <w:rFonts w:hint="eastAsia" w:ascii="黑体" w:hAnsi="黑体" w:eastAsia="黑体"/>
          <w:kern w:val="1"/>
          <w:szCs w:val="28"/>
          <w:highlight w:val="none"/>
          <w:lang w:val="zh-CN"/>
        </w:rPr>
        <w:t>2. 评标程序</w:t>
      </w:r>
      <w:r>
        <w:tab/>
      </w:r>
      <w:r>
        <w:fldChar w:fldCharType="begin"/>
      </w:r>
      <w:r>
        <w:instrText xml:space="preserve"> PAGEREF _Toc30647 \h </w:instrText>
      </w:r>
      <w:r>
        <w:fldChar w:fldCharType="separate"/>
      </w:r>
      <w:r>
        <w:t>51</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_Toc20175 </w:instrText>
      </w:r>
      <w:r>
        <w:rPr>
          <w:rFonts w:hint="eastAsia" w:cs="宋体"/>
          <w:szCs w:val="21"/>
          <w:highlight w:val="none"/>
        </w:rPr>
        <w:fldChar w:fldCharType="separate"/>
      </w:r>
      <w:r>
        <w:rPr>
          <w:rFonts w:hint="eastAsia" w:ascii="黑体" w:hAnsi="黑体" w:eastAsia="黑体"/>
          <w:kern w:val="1"/>
          <w:szCs w:val="28"/>
          <w:highlight w:val="none"/>
          <w:lang w:val="zh-CN"/>
        </w:rPr>
        <w:t>3. 资格审查及确定入围投标人</w:t>
      </w:r>
      <w:r>
        <w:tab/>
      </w:r>
      <w:r>
        <w:fldChar w:fldCharType="begin"/>
      </w:r>
      <w:r>
        <w:instrText xml:space="preserve"> PAGEREF _Toc20175 \h </w:instrText>
      </w:r>
      <w:r>
        <w:fldChar w:fldCharType="separate"/>
      </w:r>
      <w:r>
        <w:t>51</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_Toc13323 </w:instrText>
      </w:r>
      <w:r>
        <w:rPr>
          <w:rFonts w:hint="eastAsia" w:cs="宋体"/>
          <w:szCs w:val="21"/>
          <w:highlight w:val="none"/>
        </w:rPr>
        <w:fldChar w:fldCharType="separate"/>
      </w:r>
      <w:r>
        <w:rPr>
          <w:rFonts w:hint="eastAsia" w:ascii="黑体" w:hAnsi="黑体" w:eastAsia="黑体"/>
          <w:kern w:val="1"/>
          <w:szCs w:val="28"/>
          <w:highlight w:val="none"/>
          <w:lang w:val="zh-CN"/>
        </w:rPr>
        <w:t>4. 定性评审</w:t>
      </w:r>
      <w:r>
        <w:tab/>
      </w:r>
      <w:r>
        <w:fldChar w:fldCharType="begin"/>
      </w:r>
      <w:r>
        <w:instrText xml:space="preserve"> PAGEREF _Toc13323 \h </w:instrText>
      </w:r>
      <w:r>
        <w:fldChar w:fldCharType="separate"/>
      </w:r>
      <w:r>
        <w:t>52</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_Toc25023 </w:instrText>
      </w:r>
      <w:r>
        <w:rPr>
          <w:rFonts w:hint="eastAsia" w:cs="宋体"/>
          <w:szCs w:val="21"/>
          <w:highlight w:val="none"/>
        </w:rPr>
        <w:fldChar w:fldCharType="separate"/>
      </w:r>
      <w:r>
        <w:rPr>
          <w:rFonts w:hint="eastAsia" w:ascii="黑体" w:hAnsi="黑体" w:eastAsia="黑体"/>
          <w:kern w:val="1"/>
          <w:szCs w:val="28"/>
          <w:highlight w:val="none"/>
          <w:lang w:val="zh-CN"/>
        </w:rPr>
        <w:t>5. 提交评标报告</w:t>
      </w:r>
      <w:r>
        <w:tab/>
      </w:r>
      <w:r>
        <w:fldChar w:fldCharType="begin"/>
      </w:r>
      <w:r>
        <w:instrText xml:space="preserve"> PAGEREF _Toc25023 \h </w:instrText>
      </w:r>
      <w:r>
        <w:fldChar w:fldCharType="separate"/>
      </w:r>
      <w:r>
        <w:t>55</w:t>
      </w:r>
      <w:r>
        <w:fldChar w:fldCharType="end"/>
      </w:r>
      <w:r>
        <w:rPr>
          <w:rFonts w:hint="eastAsia" w:cs="宋体"/>
          <w:color w:val="auto"/>
          <w:szCs w:val="21"/>
          <w:highlight w:val="none"/>
        </w:rPr>
        <w:fldChar w:fldCharType="end"/>
      </w:r>
    </w:p>
    <w:p>
      <w:pPr>
        <w:pStyle w:val="40"/>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_Toc10650 </w:instrText>
      </w:r>
      <w:r>
        <w:rPr>
          <w:rFonts w:hint="eastAsia" w:cs="宋体"/>
          <w:szCs w:val="21"/>
          <w:highlight w:val="none"/>
        </w:rPr>
        <w:fldChar w:fldCharType="separate"/>
      </w:r>
      <w:r>
        <w:rPr>
          <w:rFonts w:hint="eastAsia" w:ascii="黑体" w:eastAsia="黑体" w:cs="黑体"/>
          <w:kern w:val="1"/>
          <w:highlight w:val="none"/>
        </w:rPr>
        <w:t>第四章 定标办法</w:t>
      </w:r>
      <w:r>
        <w:tab/>
      </w:r>
      <w:r>
        <w:fldChar w:fldCharType="begin"/>
      </w:r>
      <w:r>
        <w:instrText xml:space="preserve"> PAGEREF _Toc10650 \h </w:instrText>
      </w:r>
      <w:r>
        <w:fldChar w:fldCharType="separate"/>
      </w:r>
      <w:r>
        <w:t>56</w:t>
      </w:r>
      <w:r>
        <w:fldChar w:fldCharType="end"/>
      </w:r>
      <w:r>
        <w:rPr>
          <w:rFonts w:hint="eastAsia" w:cs="宋体"/>
          <w:color w:val="auto"/>
          <w:szCs w:val="21"/>
          <w:highlight w:val="none"/>
        </w:rPr>
        <w:fldChar w:fldCharType="end"/>
      </w:r>
    </w:p>
    <w:p>
      <w:pPr>
        <w:pStyle w:val="49"/>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_Toc25493 </w:instrText>
      </w:r>
      <w:r>
        <w:rPr>
          <w:rFonts w:hint="eastAsia" w:cs="宋体"/>
          <w:szCs w:val="21"/>
          <w:highlight w:val="none"/>
        </w:rPr>
        <w:fldChar w:fldCharType="separate"/>
      </w:r>
      <w:r>
        <w:rPr>
          <w:szCs w:val="32"/>
          <w:highlight w:val="none"/>
          <w:lang w:bidi="zh-CN"/>
        </w:rPr>
        <w:t>第四章</w:t>
      </w:r>
      <w:r>
        <w:rPr>
          <w:rFonts w:hint="eastAsia" w:ascii="宋体" w:hAnsi="宋体"/>
          <w:szCs w:val="32"/>
          <w:highlight w:val="none"/>
        </w:rPr>
        <w:t xml:space="preserve">  </w:t>
      </w:r>
      <w:r>
        <w:rPr>
          <w:rFonts w:hint="eastAsia"/>
          <w:szCs w:val="32"/>
          <w:highlight w:val="none"/>
          <w:lang w:bidi="zh-CN"/>
        </w:rPr>
        <w:t>定标办法</w:t>
      </w:r>
      <w:r>
        <w:tab/>
      </w:r>
      <w:r>
        <w:fldChar w:fldCharType="begin"/>
      </w:r>
      <w:r>
        <w:instrText xml:space="preserve"> PAGEREF _Toc25493 \h </w:instrText>
      </w:r>
      <w:r>
        <w:fldChar w:fldCharType="separate"/>
      </w:r>
      <w:r>
        <w:t>57</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_Toc13229 </w:instrText>
      </w:r>
      <w:r>
        <w:rPr>
          <w:rFonts w:hint="eastAsia" w:cs="宋体"/>
          <w:szCs w:val="21"/>
          <w:highlight w:val="none"/>
        </w:rPr>
        <w:fldChar w:fldCharType="separate"/>
      </w:r>
      <w:r>
        <w:rPr>
          <w:rFonts w:hint="eastAsia"/>
          <w:szCs w:val="21"/>
          <w:highlight w:val="none"/>
        </w:rPr>
        <w:t>定标办法前附表</w:t>
      </w:r>
      <w:r>
        <w:tab/>
      </w:r>
      <w:r>
        <w:fldChar w:fldCharType="begin"/>
      </w:r>
      <w:r>
        <w:instrText xml:space="preserve"> PAGEREF _Toc13229 \h </w:instrText>
      </w:r>
      <w:r>
        <w:fldChar w:fldCharType="separate"/>
      </w:r>
      <w:r>
        <w:t>57</w:t>
      </w:r>
      <w:r>
        <w:fldChar w:fldCharType="end"/>
      </w:r>
      <w:r>
        <w:rPr>
          <w:rFonts w:hint="eastAsia" w:cs="宋体"/>
          <w:color w:val="auto"/>
          <w:szCs w:val="21"/>
          <w:highlight w:val="none"/>
        </w:rPr>
        <w:fldChar w:fldCharType="end"/>
      </w:r>
    </w:p>
    <w:p>
      <w:pPr>
        <w:pStyle w:val="49"/>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_Toc28986 </w:instrText>
      </w:r>
      <w:r>
        <w:rPr>
          <w:rFonts w:hint="eastAsia" w:cs="宋体"/>
          <w:szCs w:val="21"/>
          <w:highlight w:val="none"/>
        </w:rPr>
        <w:fldChar w:fldCharType="separate"/>
      </w:r>
      <w:r>
        <w:rPr>
          <w:rFonts w:hint="eastAsia" w:ascii="黑体" w:eastAsia="黑体" w:cs="黑体"/>
          <w:kern w:val="1"/>
          <w:szCs w:val="28"/>
          <w:highlight w:val="none"/>
          <w:lang w:val="zh-CN"/>
        </w:rPr>
        <w:t>定标办法正文</w:t>
      </w:r>
      <w:r>
        <w:tab/>
      </w:r>
      <w:r>
        <w:fldChar w:fldCharType="begin"/>
      </w:r>
      <w:r>
        <w:instrText xml:space="preserve"> PAGEREF _Toc28986 \h </w:instrText>
      </w:r>
      <w:r>
        <w:fldChar w:fldCharType="separate"/>
      </w:r>
      <w:r>
        <w:t>64</w:t>
      </w:r>
      <w:r>
        <w:fldChar w:fldCharType="end"/>
      </w:r>
      <w:r>
        <w:rPr>
          <w:rFonts w:hint="eastAsia" w:cs="宋体"/>
          <w:color w:val="auto"/>
          <w:szCs w:val="21"/>
          <w:highlight w:val="none"/>
        </w:rPr>
        <w:fldChar w:fldCharType="end"/>
      </w:r>
    </w:p>
    <w:p>
      <w:pPr>
        <w:pStyle w:val="49"/>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_Toc30535 </w:instrText>
      </w:r>
      <w:r>
        <w:rPr>
          <w:rFonts w:hint="eastAsia" w:cs="宋体"/>
          <w:szCs w:val="21"/>
          <w:highlight w:val="none"/>
        </w:rPr>
        <w:fldChar w:fldCharType="separate"/>
      </w:r>
      <w:r>
        <w:rPr>
          <w:rFonts w:hint="eastAsia" w:ascii="黑体" w:eastAsia="黑体" w:cs="黑体"/>
          <w:kern w:val="1"/>
          <w:szCs w:val="28"/>
          <w:highlight w:val="none"/>
          <w:lang w:val="zh-CN"/>
        </w:rPr>
        <w:t>1.定标方法</w:t>
      </w:r>
      <w:r>
        <w:tab/>
      </w:r>
      <w:r>
        <w:fldChar w:fldCharType="begin"/>
      </w:r>
      <w:r>
        <w:instrText xml:space="preserve"> PAGEREF _Toc30535 \h </w:instrText>
      </w:r>
      <w:r>
        <w:fldChar w:fldCharType="separate"/>
      </w:r>
      <w:r>
        <w:t>64</w:t>
      </w:r>
      <w:r>
        <w:fldChar w:fldCharType="end"/>
      </w:r>
      <w:r>
        <w:rPr>
          <w:rFonts w:hint="eastAsia" w:cs="宋体"/>
          <w:color w:val="auto"/>
          <w:szCs w:val="21"/>
          <w:highlight w:val="none"/>
        </w:rPr>
        <w:fldChar w:fldCharType="end"/>
      </w:r>
    </w:p>
    <w:p>
      <w:pPr>
        <w:pStyle w:val="49"/>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_Toc4213 </w:instrText>
      </w:r>
      <w:r>
        <w:rPr>
          <w:rFonts w:hint="eastAsia" w:cs="宋体"/>
          <w:szCs w:val="21"/>
          <w:highlight w:val="none"/>
        </w:rPr>
        <w:fldChar w:fldCharType="separate"/>
      </w:r>
      <w:r>
        <w:rPr>
          <w:rFonts w:hint="eastAsia" w:ascii="黑体" w:eastAsia="黑体" w:cs="黑体"/>
          <w:kern w:val="1"/>
          <w:szCs w:val="28"/>
          <w:highlight w:val="none"/>
          <w:lang w:val="zh-CN"/>
        </w:rPr>
        <w:t>2.定标程序</w:t>
      </w:r>
      <w:r>
        <w:tab/>
      </w:r>
      <w:r>
        <w:fldChar w:fldCharType="begin"/>
      </w:r>
      <w:r>
        <w:instrText xml:space="preserve"> PAGEREF _Toc4213 \h </w:instrText>
      </w:r>
      <w:r>
        <w:fldChar w:fldCharType="separate"/>
      </w:r>
      <w:r>
        <w:t>64</w:t>
      </w:r>
      <w:r>
        <w:fldChar w:fldCharType="end"/>
      </w:r>
      <w:r>
        <w:rPr>
          <w:rFonts w:hint="eastAsia" w:cs="宋体"/>
          <w:color w:val="auto"/>
          <w:szCs w:val="21"/>
          <w:highlight w:val="none"/>
        </w:rPr>
        <w:fldChar w:fldCharType="end"/>
      </w:r>
    </w:p>
    <w:p>
      <w:pPr>
        <w:pStyle w:val="49"/>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_Toc19608 </w:instrText>
      </w:r>
      <w:r>
        <w:rPr>
          <w:rFonts w:hint="eastAsia" w:cs="宋体"/>
          <w:szCs w:val="21"/>
          <w:highlight w:val="none"/>
        </w:rPr>
        <w:fldChar w:fldCharType="separate"/>
      </w:r>
      <w:r>
        <w:rPr>
          <w:rFonts w:hint="eastAsia" w:ascii="黑体" w:eastAsia="黑体" w:cs="黑体"/>
          <w:kern w:val="1"/>
          <w:szCs w:val="28"/>
          <w:highlight w:val="none"/>
          <w:lang w:val="zh-CN"/>
        </w:rPr>
        <w:t>3.定标规则</w:t>
      </w:r>
      <w:r>
        <w:tab/>
      </w:r>
      <w:r>
        <w:fldChar w:fldCharType="begin"/>
      </w:r>
      <w:r>
        <w:instrText xml:space="preserve"> PAGEREF _Toc19608 \h </w:instrText>
      </w:r>
      <w:r>
        <w:fldChar w:fldCharType="separate"/>
      </w:r>
      <w:r>
        <w:t>64</w:t>
      </w:r>
      <w:r>
        <w:fldChar w:fldCharType="end"/>
      </w:r>
      <w:r>
        <w:rPr>
          <w:rFonts w:hint="eastAsia" w:cs="宋体"/>
          <w:color w:val="auto"/>
          <w:szCs w:val="21"/>
          <w:highlight w:val="none"/>
        </w:rPr>
        <w:fldChar w:fldCharType="end"/>
      </w:r>
    </w:p>
    <w:p>
      <w:pPr>
        <w:pStyle w:val="49"/>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_Toc9243 </w:instrText>
      </w:r>
      <w:r>
        <w:rPr>
          <w:rFonts w:hint="eastAsia" w:cs="宋体"/>
          <w:szCs w:val="21"/>
          <w:highlight w:val="none"/>
        </w:rPr>
        <w:fldChar w:fldCharType="separate"/>
      </w:r>
      <w:r>
        <w:rPr>
          <w:rFonts w:hint="eastAsia" w:ascii="黑体" w:eastAsia="黑体" w:cs="黑体"/>
          <w:kern w:val="1"/>
          <w:szCs w:val="28"/>
          <w:highlight w:val="none"/>
          <w:lang w:val="zh-CN"/>
        </w:rPr>
        <w:t>4.重新定标</w:t>
      </w:r>
      <w:bookmarkStart w:id="1984" w:name="_GoBack"/>
      <w:bookmarkEnd w:id="1984"/>
      <w:r>
        <w:tab/>
      </w:r>
      <w:r>
        <w:fldChar w:fldCharType="begin"/>
      </w:r>
      <w:r>
        <w:instrText xml:space="preserve"> PAGEREF _Toc9243 \h </w:instrText>
      </w:r>
      <w:r>
        <w:fldChar w:fldCharType="separate"/>
      </w:r>
      <w:r>
        <w:t>65</w:t>
      </w:r>
      <w:r>
        <w:fldChar w:fldCharType="end"/>
      </w:r>
      <w:r>
        <w:rPr>
          <w:rFonts w:hint="eastAsia" w:cs="宋体"/>
          <w:color w:val="auto"/>
          <w:szCs w:val="21"/>
          <w:highlight w:val="none"/>
        </w:rPr>
        <w:fldChar w:fldCharType="end"/>
      </w:r>
    </w:p>
    <w:p>
      <w:pPr>
        <w:pStyle w:val="49"/>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_Toc20734 </w:instrText>
      </w:r>
      <w:r>
        <w:rPr>
          <w:rFonts w:hint="eastAsia" w:cs="宋体"/>
          <w:szCs w:val="21"/>
          <w:highlight w:val="none"/>
        </w:rPr>
        <w:fldChar w:fldCharType="separate"/>
      </w:r>
      <w:r>
        <w:rPr>
          <w:rFonts w:hint="eastAsia" w:ascii="黑体" w:eastAsia="黑体" w:cs="黑体"/>
          <w:kern w:val="1"/>
          <w:szCs w:val="28"/>
          <w:highlight w:val="none"/>
          <w:lang w:val="zh-CN"/>
        </w:rPr>
        <w:t>5.监督</w:t>
      </w:r>
      <w:r>
        <w:tab/>
      </w:r>
      <w:r>
        <w:fldChar w:fldCharType="begin"/>
      </w:r>
      <w:r>
        <w:instrText xml:space="preserve"> PAGEREF _Toc20734 \h </w:instrText>
      </w:r>
      <w:r>
        <w:fldChar w:fldCharType="separate"/>
      </w:r>
      <w:r>
        <w:t>66</w:t>
      </w:r>
      <w:r>
        <w:fldChar w:fldCharType="end"/>
      </w:r>
      <w:r>
        <w:rPr>
          <w:rFonts w:hint="eastAsia" w:cs="宋体"/>
          <w:color w:val="auto"/>
          <w:szCs w:val="21"/>
          <w:highlight w:val="none"/>
        </w:rPr>
        <w:fldChar w:fldCharType="end"/>
      </w:r>
    </w:p>
    <w:p>
      <w:pPr>
        <w:pStyle w:val="49"/>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_Toc27264 </w:instrText>
      </w:r>
      <w:r>
        <w:rPr>
          <w:rFonts w:hint="eastAsia" w:cs="宋体"/>
          <w:szCs w:val="21"/>
          <w:highlight w:val="none"/>
        </w:rPr>
        <w:fldChar w:fldCharType="separate"/>
      </w:r>
      <w:r>
        <w:rPr>
          <w:rFonts w:hint="eastAsia" w:ascii="黑体" w:eastAsia="黑体" w:cs="黑体"/>
          <w:kern w:val="1"/>
          <w:szCs w:val="28"/>
          <w:highlight w:val="none"/>
          <w:lang w:val="zh-CN"/>
        </w:rPr>
        <w:t>6.附则</w:t>
      </w:r>
      <w:r>
        <w:tab/>
      </w:r>
      <w:r>
        <w:fldChar w:fldCharType="begin"/>
      </w:r>
      <w:r>
        <w:instrText xml:space="preserve"> PAGEREF _Toc27264 \h </w:instrText>
      </w:r>
      <w:r>
        <w:fldChar w:fldCharType="separate"/>
      </w:r>
      <w:r>
        <w:t>66</w:t>
      </w:r>
      <w:r>
        <w:fldChar w:fldCharType="end"/>
      </w:r>
      <w:r>
        <w:rPr>
          <w:rFonts w:hint="eastAsia" w:cs="宋体"/>
          <w:color w:val="auto"/>
          <w:szCs w:val="21"/>
          <w:highlight w:val="none"/>
        </w:rPr>
        <w:fldChar w:fldCharType="end"/>
      </w:r>
    </w:p>
    <w:p>
      <w:pPr>
        <w:pStyle w:val="40"/>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_Toc20005 </w:instrText>
      </w:r>
      <w:r>
        <w:rPr>
          <w:rFonts w:hint="eastAsia" w:cs="宋体"/>
          <w:szCs w:val="21"/>
          <w:highlight w:val="none"/>
        </w:rPr>
        <w:fldChar w:fldCharType="separate"/>
      </w:r>
      <w:r>
        <w:rPr>
          <w:rFonts w:hint="eastAsia" w:ascii="黑体" w:hAnsi="黑体" w:eastAsia="黑体" w:cs="宋体"/>
          <w:kern w:val="1"/>
          <w:highlight w:val="none"/>
        </w:rPr>
        <w:t>第五章 合同条款及格式</w:t>
      </w:r>
      <w:r>
        <w:tab/>
      </w:r>
      <w:r>
        <w:fldChar w:fldCharType="begin"/>
      </w:r>
      <w:r>
        <w:instrText xml:space="preserve"> PAGEREF _Toc20005 \h </w:instrText>
      </w:r>
      <w:r>
        <w:fldChar w:fldCharType="separate"/>
      </w:r>
      <w:r>
        <w:t>67</w:t>
      </w:r>
      <w:r>
        <w:fldChar w:fldCharType="end"/>
      </w:r>
      <w:r>
        <w:rPr>
          <w:rFonts w:hint="eastAsia" w:cs="宋体"/>
          <w:color w:val="auto"/>
          <w:szCs w:val="21"/>
          <w:highlight w:val="none"/>
        </w:rPr>
        <w:fldChar w:fldCharType="end"/>
      </w:r>
    </w:p>
    <w:p>
      <w:pPr>
        <w:pStyle w:val="49"/>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_Toc18174 </w:instrText>
      </w:r>
      <w:r>
        <w:rPr>
          <w:rFonts w:hint="eastAsia" w:cs="宋体"/>
          <w:szCs w:val="21"/>
          <w:highlight w:val="none"/>
        </w:rPr>
        <w:fldChar w:fldCharType="separate"/>
      </w:r>
      <w:r>
        <w:rPr>
          <w:rFonts w:hint="eastAsia" w:hAnsi="宋体" w:cs="黑体"/>
          <w:highlight w:val="none"/>
        </w:rPr>
        <w:t>合同协议书</w:t>
      </w:r>
      <w:r>
        <w:tab/>
      </w:r>
      <w:r>
        <w:fldChar w:fldCharType="begin"/>
      </w:r>
      <w:r>
        <w:instrText xml:space="preserve"> PAGEREF _Toc18174 \h </w:instrText>
      </w:r>
      <w:r>
        <w:fldChar w:fldCharType="separate"/>
      </w:r>
      <w:r>
        <w:t>68</w:t>
      </w:r>
      <w:r>
        <w:fldChar w:fldCharType="end"/>
      </w:r>
      <w:r>
        <w:rPr>
          <w:rFonts w:hint="eastAsia" w:cs="宋体"/>
          <w:color w:val="auto"/>
          <w:szCs w:val="21"/>
          <w:highlight w:val="none"/>
        </w:rPr>
        <w:fldChar w:fldCharType="end"/>
      </w:r>
    </w:p>
    <w:p>
      <w:pPr>
        <w:pStyle w:val="49"/>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_Toc30665 </w:instrText>
      </w:r>
      <w:r>
        <w:rPr>
          <w:rFonts w:hint="eastAsia" w:cs="宋体"/>
          <w:szCs w:val="21"/>
          <w:highlight w:val="none"/>
        </w:rPr>
        <w:fldChar w:fldCharType="separate"/>
      </w:r>
      <w:r>
        <w:rPr>
          <w:rFonts w:hint="eastAsia" w:hAnsi="宋体" w:cs="黑体"/>
          <w:highlight w:val="none"/>
        </w:rPr>
        <w:t>通用合同条款</w:t>
      </w:r>
      <w:r>
        <w:tab/>
      </w:r>
      <w:r>
        <w:fldChar w:fldCharType="begin"/>
      </w:r>
      <w:r>
        <w:instrText xml:space="preserve"> PAGEREF _Toc30665 \h </w:instrText>
      </w:r>
      <w:r>
        <w:fldChar w:fldCharType="separate"/>
      </w:r>
      <w:r>
        <w:t>72</w:t>
      </w:r>
      <w:r>
        <w:fldChar w:fldCharType="end"/>
      </w:r>
      <w:r>
        <w:rPr>
          <w:rFonts w:hint="eastAsia" w:cs="宋体"/>
          <w:color w:val="auto"/>
          <w:szCs w:val="21"/>
          <w:highlight w:val="none"/>
        </w:rPr>
        <w:fldChar w:fldCharType="end"/>
      </w:r>
    </w:p>
    <w:p>
      <w:pPr>
        <w:pStyle w:val="49"/>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_Toc16814 </w:instrText>
      </w:r>
      <w:r>
        <w:rPr>
          <w:rFonts w:hint="eastAsia" w:cs="宋体"/>
          <w:szCs w:val="21"/>
          <w:highlight w:val="none"/>
        </w:rPr>
        <w:fldChar w:fldCharType="separate"/>
      </w:r>
      <w:r>
        <w:rPr>
          <w:rFonts w:hint="eastAsia" w:ascii="黑体" w:hAnsi="黑体" w:eastAsia="黑体"/>
          <w:kern w:val="1"/>
          <w:szCs w:val="28"/>
          <w:highlight w:val="none"/>
          <w:lang w:val="zh-CN"/>
        </w:rPr>
        <w:t>专用合同条款</w:t>
      </w:r>
      <w:r>
        <w:rPr>
          <w:rFonts w:hint="eastAsia" w:ascii="黑体" w:hAnsi="黑体" w:eastAsia="黑体"/>
          <w:kern w:val="1"/>
          <w:szCs w:val="21"/>
          <w:highlight w:val="none"/>
          <w:lang w:val="zh-CN"/>
        </w:rPr>
        <w:t>（</w:t>
      </w:r>
      <w:r>
        <w:rPr>
          <w:rFonts w:hint="eastAsia" w:ascii="黑体" w:hAnsi="黑体" w:eastAsia="黑体"/>
          <w:kern w:val="1"/>
          <w:szCs w:val="21"/>
          <w:highlight w:val="none"/>
          <w:lang w:val="zh-CN" w:eastAsia="zh-CN"/>
        </w:rPr>
        <w:t>非</w:t>
      </w:r>
      <w:r>
        <w:rPr>
          <w:rFonts w:hint="eastAsia" w:ascii="黑体" w:hAnsi="黑体" w:eastAsia="黑体"/>
          <w:kern w:val="1"/>
          <w:szCs w:val="21"/>
          <w:highlight w:val="none"/>
          <w:lang w:val="zh-CN"/>
        </w:rPr>
        <w:t>财政参考条款）</w:t>
      </w:r>
      <w:r>
        <w:tab/>
      </w:r>
      <w:r>
        <w:fldChar w:fldCharType="begin"/>
      </w:r>
      <w:r>
        <w:instrText xml:space="preserve"> PAGEREF _Toc16814 \h </w:instrText>
      </w:r>
      <w:r>
        <w:fldChar w:fldCharType="separate"/>
      </w:r>
      <w:r>
        <w:t>120</w:t>
      </w:r>
      <w:r>
        <w:fldChar w:fldCharType="end"/>
      </w:r>
      <w:r>
        <w:rPr>
          <w:rFonts w:hint="eastAsia" w:cs="宋体"/>
          <w:color w:val="auto"/>
          <w:szCs w:val="21"/>
          <w:highlight w:val="none"/>
        </w:rPr>
        <w:fldChar w:fldCharType="end"/>
      </w:r>
    </w:p>
    <w:p>
      <w:pPr>
        <w:pStyle w:val="49"/>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_Toc14368 </w:instrText>
      </w:r>
      <w:r>
        <w:rPr>
          <w:rFonts w:hint="eastAsia" w:cs="宋体"/>
          <w:szCs w:val="21"/>
          <w:highlight w:val="none"/>
        </w:rPr>
        <w:fldChar w:fldCharType="separate"/>
      </w:r>
      <w:r>
        <w:rPr>
          <w:rFonts w:hint="eastAsia" w:ascii="宋体" w:hAnsi="宋体" w:cs="宋体"/>
          <w:bCs/>
          <w:szCs w:val="28"/>
          <w:highlight w:val="none"/>
          <w:lang w:val="zh-CN"/>
        </w:rPr>
        <w:t>专用合同条款补正表</w:t>
      </w:r>
      <w:r>
        <w:tab/>
      </w:r>
      <w:r>
        <w:fldChar w:fldCharType="begin"/>
      </w:r>
      <w:r>
        <w:instrText xml:space="preserve"> PAGEREF _Toc14368 \h </w:instrText>
      </w:r>
      <w:r>
        <w:fldChar w:fldCharType="separate"/>
      </w:r>
      <w:r>
        <w:t>161</w:t>
      </w:r>
      <w:r>
        <w:fldChar w:fldCharType="end"/>
      </w:r>
      <w:r>
        <w:rPr>
          <w:rFonts w:hint="eastAsia" w:cs="宋体"/>
          <w:color w:val="auto"/>
          <w:szCs w:val="21"/>
          <w:highlight w:val="none"/>
        </w:rPr>
        <w:fldChar w:fldCharType="end"/>
      </w:r>
    </w:p>
    <w:p>
      <w:pPr>
        <w:pStyle w:val="40"/>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_Toc23963 </w:instrText>
      </w:r>
      <w:r>
        <w:rPr>
          <w:rFonts w:hint="eastAsia" w:cs="宋体"/>
          <w:szCs w:val="21"/>
          <w:highlight w:val="none"/>
        </w:rPr>
        <w:fldChar w:fldCharType="separate"/>
      </w:r>
      <w:r>
        <w:rPr>
          <w:rFonts w:hint="eastAsia" w:ascii="黑体" w:eastAsia="黑体" w:cs="黑体"/>
          <w:kern w:val="1"/>
          <w:szCs w:val="52"/>
          <w:highlight w:val="none"/>
        </w:rPr>
        <w:t>第二卷</w:t>
      </w:r>
      <w:r>
        <w:tab/>
      </w:r>
      <w:r>
        <w:fldChar w:fldCharType="begin"/>
      </w:r>
      <w:r>
        <w:instrText xml:space="preserve"> PAGEREF _Toc23963 \h </w:instrText>
      </w:r>
      <w:r>
        <w:fldChar w:fldCharType="separate"/>
      </w:r>
      <w:r>
        <w:t>226</w:t>
      </w:r>
      <w:r>
        <w:fldChar w:fldCharType="end"/>
      </w:r>
      <w:r>
        <w:rPr>
          <w:rFonts w:hint="eastAsia" w:cs="宋体"/>
          <w:color w:val="auto"/>
          <w:szCs w:val="21"/>
          <w:highlight w:val="none"/>
        </w:rPr>
        <w:fldChar w:fldCharType="end"/>
      </w:r>
    </w:p>
    <w:p>
      <w:pPr>
        <w:pStyle w:val="40"/>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_Toc805 </w:instrText>
      </w:r>
      <w:r>
        <w:rPr>
          <w:rFonts w:hint="eastAsia" w:cs="宋体"/>
          <w:szCs w:val="21"/>
          <w:highlight w:val="none"/>
        </w:rPr>
        <w:fldChar w:fldCharType="separate"/>
      </w:r>
      <w:r>
        <w:rPr>
          <w:rFonts w:hint="eastAsia" w:ascii="黑体" w:eastAsia="黑体" w:cs="黑体"/>
          <w:kern w:val="1"/>
          <w:highlight w:val="none"/>
        </w:rPr>
        <w:t>第六章</w:t>
      </w:r>
      <w:r>
        <w:rPr>
          <w:rFonts w:hint="eastAsia" w:ascii="黑体" w:eastAsia="黑体" w:cs="宋体"/>
          <w:kern w:val="1"/>
          <w:highlight w:val="none"/>
        </w:rPr>
        <w:t xml:space="preserve">  </w:t>
      </w:r>
      <w:r>
        <w:rPr>
          <w:rFonts w:hint="eastAsia" w:ascii="黑体" w:eastAsia="黑体" w:cs="黑体"/>
          <w:kern w:val="1"/>
          <w:highlight w:val="none"/>
        </w:rPr>
        <w:t>工程量清单与计价</w:t>
      </w:r>
      <w:r>
        <w:tab/>
      </w:r>
      <w:r>
        <w:fldChar w:fldCharType="begin"/>
      </w:r>
      <w:r>
        <w:instrText xml:space="preserve"> PAGEREF _Toc805 \h </w:instrText>
      </w:r>
      <w:r>
        <w:fldChar w:fldCharType="separate"/>
      </w:r>
      <w:r>
        <w:t>227</w:t>
      </w:r>
      <w:r>
        <w:fldChar w:fldCharType="end"/>
      </w:r>
      <w:r>
        <w:rPr>
          <w:rFonts w:hint="eastAsia" w:cs="宋体"/>
          <w:color w:val="auto"/>
          <w:szCs w:val="21"/>
          <w:highlight w:val="none"/>
        </w:rPr>
        <w:fldChar w:fldCharType="end"/>
      </w:r>
    </w:p>
    <w:p>
      <w:pPr>
        <w:pStyle w:val="49"/>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_Toc32581 </w:instrText>
      </w:r>
      <w:r>
        <w:rPr>
          <w:rFonts w:hint="eastAsia" w:cs="宋体"/>
          <w:szCs w:val="21"/>
          <w:highlight w:val="none"/>
        </w:rPr>
        <w:fldChar w:fldCharType="separate"/>
      </w:r>
      <w:r>
        <w:rPr>
          <w:rFonts w:hint="eastAsia" w:hAnsi="宋体" w:cs="黑体"/>
          <w:highlight w:val="none"/>
        </w:rPr>
        <w:t>工程量清单</w:t>
      </w:r>
      <w:r>
        <w:tab/>
      </w:r>
      <w:r>
        <w:fldChar w:fldCharType="begin"/>
      </w:r>
      <w:r>
        <w:instrText xml:space="preserve"> PAGEREF _Toc32581 \h </w:instrText>
      </w:r>
      <w:r>
        <w:fldChar w:fldCharType="separate"/>
      </w:r>
      <w:r>
        <w:t>228</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_Toc30878 </w:instrText>
      </w:r>
      <w:r>
        <w:rPr>
          <w:rFonts w:hint="eastAsia" w:cs="宋体"/>
          <w:szCs w:val="21"/>
          <w:highlight w:val="none"/>
        </w:rPr>
        <w:fldChar w:fldCharType="separate"/>
      </w:r>
      <w:r>
        <w:rPr>
          <w:rFonts w:hint="eastAsia" w:hAnsi="宋体" w:cs="黑体"/>
          <w:highlight w:val="none"/>
        </w:rPr>
        <w:t>1.说明</w:t>
      </w:r>
      <w:r>
        <w:tab/>
      </w:r>
      <w:r>
        <w:fldChar w:fldCharType="begin"/>
      </w:r>
      <w:r>
        <w:instrText xml:space="preserve"> PAGEREF _Toc30878 \h </w:instrText>
      </w:r>
      <w:r>
        <w:fldChar w:fldCharType="separate"/>
      </w:r>
      <w:r>
        <w:t>228</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_Toc26513 </w:instrText>
      </w:r>
      <w:r>
        <w:rPr>
          <w:rFonts w:hint="eastAsia" w:cs="宋体"/>
          <w:szCs w:val="21"/>
          <w:highlight w:val="none"/>
        </w:rPr>
        <w:fldChar w:fldCharType="separate"/>
      </w:r>
      <w:r>
        <w:rPr>
          <w:rFonts w:hint="eastAsia" w:hAnsi="宋体" w:cs="黑体"/>
          <w:highlight w:val="none"/>
        </w:rPr>
        <w:t>2.本项目招标工程量清单</w:t>
      </w:r>
      <w:r>
        <w:tab/>
      </w:r>
      <w:r>
        <w:fldChar w:fldCharType="begin"/>
      </w:r>
      <w:r>
        <w:instrText xml:space="preserve"> PAGEREF _Toc26513 \h </w:instrText>
      </w:r>
      <w:r>
        <w:fldChar w:fldCharType="separate"/>
      </w:r>
      <w:r>
        <w:t>228</w:t>
      </w:r>
      <w:r>
        <w:fldChar w:fldCharType="end"/>
      </w:r>
      <w:r>
        <w:rPr>
          <w:rFonts w:hint="eastAsia" w:cs="宋体"/>
          <w:color w:val="auto"/>
          <w:szCs w:val="21"/>
          <w:highlight w:val="none"/>
        </w:rPr>
        <w:fldChar w:fldCharType="end"/>
      </w:r>
    </w:p>
    <w:p>
      <w:pPr>
        <w:pStyle w:val="49"/>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_Toc23854 </w:instrText>
      </w:r>
      <w:r>
        <w:rPr>
          <w:rFonts w:hint="eastAsia" w:cs="宋体"/>
          <w:szCs w:val="21"/>
          <w:highlight w:val="none"/>
        </w:rPr>
        <w:fldChar w:fldCharType="separate"/>
      </w:r>
      <w:r>
        <w:rPr>
          <w:rFonts w:hint="eastAsia"/>
          <w:highlight w:val="none"/>
        </w:rPr>
        <w:t>最高投标报价限价</w:t>
      </w:r>
      <w:r>
        <w:tab/>
      </w:r>
      <w:r>
        <w:fldChar w:fldCharType="begin"/>
      </w:r>
      <w:r>
        <w:instrText xml:space="preserve"> PAGEREF _Toc23854 \h </w:instrText>
      </w:r>
      <w:r>
        <w:fldChar w:fldCharType="separate"/>
      </w:r>
      <w:r>
        <w:t>230</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_Toc31398 </w:instrText>
      </w:r>
      <w:r>
        <w:rPr>
          <w:rFonts w:hint="eastAsia" w:cs="宋体"/>
          <w:szCs w:val="21"/>
          <w:highlight w:val="none"/>
        </w:rPr>
        <w:fldChar w:fldCharType="separate"/>
      </w:r>
      <w:r>
        <w:rPr>
          <w:rFonts w:hint="eastAsia" w:hAnsi="宋体" w:cs="黑体"/>
          <w:highlight w:val="none"/>
        </w:rPr>
        <w:t>1.说明</w:t>
      </w:r>
      <w:r>
        <w:tab/>
      </w:r>
      <w:r>
        <w:fldChar w:fldCharType="begin"/>
      </w:r>
      <w:r>
        <w:instrText xml:space="preserve"> PAGEREF _Toc31398 \h </w:instrText>
      </w:r>
      <w:r>
        <w:fldChar w:fldCharType="separate"/>
      </w:r>
      <w:r>
        <w:t>230</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_Toc5697 </w:instrText>
      </w:r>
      <w:r>
        <w:rPr>
          <w:rFonts w:hint="eastAsia" w:cs="宋体"/>
          <w:szCs w:val="21"/>
          <w:highlight w:val="none"/>
        </w:rPr>
        <w:fldChar w:fldCharType="separate"/>
      </w:r>
      <w:r>
        <w:rPr>
          <w:rFonts w:hint="eastAsia" w:hAnsi="宋体" w:cs="黑体"/>
          <w:highlight w:val="none"/>
        </w:rPr>
        <w:t>2.本项目的最高投标报价限价</w:t>
      </w:r>
      <w:r>
        <w:tab/>
      </w:r>
      <w:r>
        <w:fldChar w:fldCharType="begin"/>
      </w:r>
      <w:r>
        <w:instrText xml:space="preserve"> PAGEREF _Toc5697 \h </w:instrText>
      </w:r>
      <w:r>
        <w:fldChar w:fldCharType="separate"/>
      </w:r>
      <w:r>
        <w:t>230</w:t>
      </w:r>
      <w:r>
        <w:fldChar w:fldCharType="end"/>
      </w:r>
      <w:r>
        <w:rPr>
          <w:rFonts w:hint="eastAsia" w:cs="宋体"/>
          <w:color w:val="auto"/>
          <w:szCs w:val="21"/>
          <w:highlight w:val="none"/>
        </w:rPr>
        <w:fldChar w:fldCharType="end"/>
      </w:r>
    </w:p>
    <w:p>
      <w:pPr>
        <w:pStyle w:val="49"/>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_Toc23192 </w:instrText>
      </w:r>
      <w:r>
        <w:rPr>
          <w:rFonts w:hint="eastAsia" w:cs="宋体"/>
          <w:szCs w:val="21"/>
          <w:highlight w:val="none"/>
        </w:rPr>
        <w:fldChar w:fldCharType="separate"/>
      </w:r>
      <w:r>
        <w:rPr>
          <w:rFonts w:hint="eastAsia" w:hAnsi="宋体" w:cs="黑体"/>
          <w:highlight w:val="none"/>
        </w:rPr>
        <w:t>投标报价</w:t>
      </w:r>
      <w:r>
        <w:tab/>
      </w:r>
      <w:r>
        <w:fldChar w:fldCharType="begin"/>
      </w:r>
      <w:r>
        <w:instrText xml:space="preserve"> PAGEREF _Toc23192 \h </w:instrText>
      </w:r>
      <w:r>
        <w:fldChar w:fldCharType="separate"/>
      </w:r>
      <w:r>
        <w:t>232</w:t>
      </w:r>
      <w:r>
        <w:fldChar w:fldCharType="end"/>
      </w:r>
      <w:r>
        <w:rPr>
          <w:rFonts w:hint="eastAsia" w:cs="宋体"/>
          <w:color w:val="auto"/>
          <w:szCs w:val="21"/>
          <w:highlight w:val="none"/>
        </w:rPr>
        <w:fldChar w:fldCharType="end"/>
      </w:r>
    </w:p>
    <w:p>
      <w:pPr>
        <w:pStyle w:val="49"/>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_Toc11918 </w:instrText>
      </w:r>
      <w:r>
        <w:rPr>
          <w:rFonts w:hint="eastAsia" w:cs="宋体"/>
          <w:szCs w:val="21"/>
          <w:highlight w:val="none"/>
        </w:rPr>
        <w:fldChar w:fldCharType="separate"/>
      </w:r>
      <w:r>
        <w:rPr>
          <w:rFonts w:hint="eastAsia" w:hAnsi="宋体" w:cs="黑体"/>
          <w:highlight w:val="none"/>
        </w:rPr>
        <w:t>工程量清单与计价表格式</w:t>
      </w:r>
      <w:r>
        <w:tab/>
      </w:r>
      <w:r>
        <w:fldChar w:fldCharType="begin"/>
      </w:r>
      <w:r>
        <w:instrText xml:space="preserve"> PAGEREF _Toc11918 \h </w:instrText>
      </w:r>
      <w:r>
        <w:fldChar w:fldCharType="separate"/>
      </w:r>
      <w:r>
        <w:t>233</w:t>
      </w:r>
      <w:r>
        <w:fldChar w:fldCharType="end"/>
      </w:r>
      <w:r>
        <w:rPr>
          <w:rFonts w:hint="eastAsia" w:cs="宋体"/>
          <w:color w:val="auto"/>
          <w:szCs w:val="21"/>
          <w:highlight w:val="none"/>
        </w:rPr>
        <w:fldChar w:fldCharType="end"/>
      </w:r>
    </w:p>
    <w:p>
      <w:pPr>
        <w:pStyle w:val="40"/>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_Toc23659 </w:instrText>
      </w:r>
      <w:r>
        <w:rPr>
          <w:rFonts w:hint="eastAsia" w:cs="宋体"/>
          <w:szCs w:val="21"/>
          <w:highlight w:val="none"/>
        </w:rPr>
        <w:fldChar w:fldCharType="separate"/>
      </w:r>
      <w:r>
        <w:rPr>
          <w:rFonts w:hint="eastAsia" w:ascii="黑体" w:eastAsia="黑体" w:cs="黑体"/>
          <w:highlight w:val="none"/>
        </w:rPr>
        <w:t>第七章  招标图纸</w:t>
      </w:r>
      <w:r>
        <w:tab/>
      </w:r>
      <w:r>
        <w:fldChar w:fldCharType="begin"/>
      </w:r>
      <w:r>
        <w:instrText xml:space="preserve"> PAGEREF _Toc23659 \h </w:instrText>
      </w:r>
      <w:r>
        <w:fldChar w:fldCharType="separate"/>
      </w:r>
      <w:r>
        <w:t>235</w:t>
      </w:r>
      <w:r>
        <w:fldChar w:fldCharType="end"/>
      </w:r>
      <w:r>
        <w:rPr>
          <w:rFonts w:hint="eastAsia" w:cs="宋体"/>
          <w:color w:val="auto"/>
          <w:szCs w:val="21"/>
          <w:highlight w:val="none"/>
        </w:rPr>
        <w:fldChar w:fldCharType="end"/>
      </w:r>
    </w:p>
    <w:p>
      <w:pPr>
        <w:pStyle w:val="49"/>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_Toc28554 </w:instrText>
      </w:r>
      <w:r>
        <w:rPr>
          <w:rFonts w:hint="eastAsia" w:cs="宋体"/>
          <w:szCs w:val="21"/>
          <w:highlight w:val="none"/>
        </w:rPr>
        <w:fldChar w:fldCharType="separate"/>
      </w:r>
      <w:r>
        <w:rPr>
          <w:rFonts w:hint="eastAsia" w:hAnsi="宋体" w:cs="黑体"/>
          <w:highlight w:val="none"/>
        </w:rPr>
        <w:t>招标图纸目录（格式）</w:t>
      </w:r>
      <w:r>
        <w:tab/>
      </w:r>
      <w:r>
        <w:fldChar w:fldCharType="begin"/>
      </w:r>
      <w:r>
        <w:instrText xml:space="preserve"> PAGEREF _Toc28554 \h </w:instrText>
      </w:r>
      <w:r>
        <w:fldChar w:fldCharType="separate"/>
      </w:r>
      <w:r>
        <w:t>236</w:t>
      </w:r>
      <w:r>
        <w:fldChar w:fldCharType="end"/>
      </w:r>
      <w:r>
        <w:rPr>
          <w:rFonts w:hint="eastAsia" w:cs="宋体"/>
          <w:color w:val="auto"/>
          <w:szCs w:val="21"/>
          <w:highlight w:val="none"/>
        </w:rPr>
        <w:fldChar w:fldCharType="end"/>
      </w:r>
    </w:p>
    <w:p>
      <w:pPr>
        <w:pStyle w:val="40"/>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_Toc21049 </w:instrText>
      </w:r>
      <w:r>
        <w:rPr>
          <w:rFonts w:hint="eastAsia" w:cs="宋体"/>
          <w:szCs w:val="21"/>
          <w:highlight w:val="none"/>
        </w:rPr>
        <w:fldChar w:fldCharType="separate"/>
      </w:r>
      <w:r>
        <w:rPr>
          <w:rFonts w:hint="eastAsia" w:ascii="黑体" w:eastAsia="黑体" w:cs="黑体"/>
          <w:highlight w:val="none"/>
        </w:rPr>
        <w:t>第八章 技术标准和要求</w:t>
      </w:r>
      <w:r>
        <w:tab/>
      </w:r>
      <w:r>
        <w:fldChar w:fldCharType="begin"/>
      </w:r>
      <w:r>
        <w:instrText xml:space="preserve"> PAGEREF _Toc21049 \h </w:instrText>
      </w:r>
      <w:r>
        <w:fldChar w:fldCharType="separate"/>
      </w:r>
      <w:r>
        <w:t>237</w:t>
      </w:r>
      <w:r>
        <w:fldChar w:fldCharType="end"/>
      </w:r>
      <w:r>
        <w:rPr>
          <w:rFonts w:hint="eastAsia" w:cs="宋体"/>
          <w:color w:val="auto"/>
          <w:szCs w:val="21"/>
          <w:highlight w:val="none"/>
        </w:rPr>
        <w:fldChar w:fldCharType="end"/>
      </w:r>
    </w:p>
    <w:p>
      <w:pPr>
        <w:pStyle w:val="49"/>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_Toc16250 </w:instrText>
      </w:r>
      <w:r>
        <w:rPr>
          <w:rFonts w:hint="eastAsia" w:cs="宋体"/>
          <w:szCs w:val="21"/>
          <w:highlight w:val="none"/>
        </w:rPr>
        <w:fldChar w:fldCharType="separate"/>
      </w:r>
      <w:r>
        <w:rPr>
          <w:rFonts w:hint="eastAsia" w:hAnsi="宋体" w:cs="黑体"/>
          <w:highlight w:val="none"/>
        </w:rPr>
        <w:t>招标项目概况和说明</w:t>
      </w:r>
      <w:r>
        <w:tab/>
      </w:r>
      <w:r>
        <w:fldChar w:fldCharType="begin"/>
      </w:r>
      <w:r>
        <w:instrText xml:space="preserve"> PAGEREF _Toc16250 \h </w:instrText>
      </w:r>
      <w:r>
        <w:fldChar w:fldCharType="separate"/>
      </w:r>
      <w:r>
        <w:t>238</w:t>
      </w:r>
      <w:r>
        <w:fldChar w:fldCharType="end"/>
      </w:r>
      <w:r>
        <w:rPr>
          <w:rFonts w:hint="eastAsia" w:cs="宋体"/>
          <w:color w:val="auto"/>
          <w:szCs w:val="21"/>
          <w:highlight w:val="none"/>
        </w:rPr>
        <w:fldChar w:fldCharType="end"/>
      </w:r>
    </w:p>
    <w:p>
      <w:pPr>
        <w:pStyle w:val="49"/>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_Toc15231 </w:instrText>
      </w:r>
      <w:r>
        <w:rPr>
          <w:rFonts w:hint="eastAsia" w:cs="宋体"/>
          <w:szCs w:val="21"/>
          <w:highlight w:val="none"/>
        </w:rPr>
        <w:fldChar w:fldCharType="separate"/>
      </w:r>
      <w:r>
        <w:rPr>
          <w:rFonts w:hint="eastAsia" w:hAnsi="宋体" w:cs="黑体"/>
          <w:highlight w:val="none"/>
        </w:rPr>
        <w:t>工程建设技术标准</w:t>
      </w:r>
      <w:r>
        <w:tab/>
      </w:r>
      <w:r>
        <w:fldChar w:fldCharType="begin"/>
      </w:r>
      <w:r>
        <w:instrText xml:space="preserve"> PAGEREF _Toc15231 \h </w:instrText>
      </w:r>
      <w:r>
        <w:fldChar w:fldCharType="separate"/>
      </w:r>
      <w:r>
        <w:t>238</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_Toc12549 </w:instrText>
      </w:r>
      <w:r>
        <w:rPr>
          <w:rFonts w:hint="eastAsia" w:cs="宋体"/>
          <w:szCs w:val="21"/>
          <w:highlight w:val="none"/>
        </w:rPr>
        <w:fldChar w:fldCharType="separate"/>
      </w:r>
      <w:r>
        <w:rPr>
          <w:rFonts w:hint="eastAsia" w:hAnsi="宋体" w:cs="黑体"/>
          <w:szCs w:val="21"/>
          <w:highlight w:val="none"/>
        </w:rPr>
        <w:t>1.工程建设标准强制性条文</w:t>
      </w:r>
      <w:r>
        <w:tab/>
      </w:r>
      <w:r>
        <w:fldChar w:fldCharType="begin"/>
      </w:r>
      <w:r>
        <w:instrText xml:space="preserve"> PAGEREF _Toc12549 \h </w:instrText>
      </w:r>
      <w:r>
        <w:fldChar w:fldCharType="separate"/>
      </w:r>
      <w:r>
        <w:t>238</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_Toc13535 </w:instrText>
      </w:r>
      <w:r>
        <w:rPr>
          <w:rFonts w:hint="eastAsia" w:cs="宋体"/>
          <w:szCs w:val="21"/>
          <w:highlight w:val="none"/>
        </w:rPr>
        <w:fldChar w:fldCharType="separate"/>
      </w:r>
      <w:r>
        <w:rPr>
          <w:rFonts w:hint="eastAsia" w:hAnsi="宋体" w:cs="黑体"/>
          <w:szCs w:val="21"/>
          <w:highlight w:val="none"/>
        </w:rPr>
        <w:t>2.招标项目使用的其他工程建设技术标准</w:t>
      </w:r>
      <w:r>
        <w:tab/>
      </w:r>
      <w:r>
        <w:fldChar w:fldCharType="begin"/>
      </w:r>
      <w:r>
        <w:instrText xml:space="preserve"> PAGEREF _Toc13535 \h </w:instrText>
      </w:r>
      <w:r>
        <w:fldChar w:fldCharType="separate"/>
      </w:r>
      <w:r>
        <w:t>238</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_Toc22652 </w:instrText>
      </w:r>
      <w:r>
        <w:rPr>
          <w:rFonts w:hint="eastAsia" w:cs="宋体"/>
          <w:szCs w:val="21"/>
          <w:highlight w:val="none"/>
        </w:rPr>
        <w:fldChar w:fldCharType="separate"/>
      </w:r>
      <w:r>
        <w:rPr>
          <w:rFonts w:hint="eastAsia" w:hAnsi="宋体" w:cs="黑体"/>
          <w:szCs w:val="21"/>
          <w:highlight w:val="none"/>
        </w:rPr>
        <w:t>3.工程设计要求的特殊工程材料、施工工艺标准和要求</w:t>
      </w:r>
      <w:r>
        <w:tab/>
      </w:r>
      <w:r>
        <w:fldChar w:fldCharType="begin"/>
      </w:r>
      <w:r>
        <w:instrText xml:space="preserve"> PAGEREF _Toc22652 \h </w:instrText>
      </w:r>
      <w:r>
        <w:fldChar w:fldCharType="separate"/>
      </w:r>
      <w:r>
        <w:t>238</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_Toc2773 </w:instrText>
      </w:r>
      <w:r>
        <w:rPr>
          <w:rFonts w:hint="eastAsia" w:cs="宋体"/>
          <w:szCs w:val="21"/>
          <w:highlight w:val="none"/>
        </w:rPr>
        <w:fldChar w:fldCharType="separate"/>
      </w:r>
      <w:r>
        <w:rPr>
          <w:rFonts w:hint="eastAsia" w:hAnsi="宋体" w:cs="黑体"/>
          <w:szCs w:val="21"/>
          <w:highlight w:val="none"/>
        </w:rPr>
        <w:t>4.工程建造要求</w:t>
      </w:r>
      <w:r>
        <w:tab/>
      </w:r>
      <w:r>
        <w:fldChar w:fldCharType="begin"/>
      </w:r>
      <w:r>
        <w:instrText xml:space="preserve"> PAGEREF _Toc2773 \h </w:instrText>
      </w:r>
      <w:r>
        <w:fldChar w:fldCharType="separate"/>
      </w:r>
      <w:r>
        <w:t>238</w:t>
      </w:r>
      <w:r>
        <w:fldChar w:fldCharType="end"/>
      </w:r>
      <w:r>
        <w:rPr>
          <w:rFonts w:hint="eastAsia" w:cs="宋体"/>
          <w:color w:val="auto"/>
          <w:szCs w:val="21"/>
          <w:highlight w:val="none"/>
        </w:rPr>
        <w:fldChar w:fldCharType="end"/>
      </w:r>
    </w:p>
    <w:p>
      <w:pPr>
        <w:pStyle w:val="49"/>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_Toc23596 </w:instrText>
      </w:r>
      <w:r>
        <w:rPr>
          <w:rFonts w:hint="eastAsia" w:cs="宋体"/>
          <w:szCs w:val="21"/>
          <w:highlight w:val="none"/>
        </w:rPr>
        <w:fldChar w:fldCharType="separate"/>
      </w:r>
      <w:r>
        <w:rPr>
          <w:rFonts w:hint="eastAsia" w:hAnsi="宋体" w:cs="黑体"/>
          <w:highlight w:val="none"/>
        </w:rPr>
        <w:t>施工现场管理要求</w:t>
      </w:r>
      <w:r>
        <w:tab/>
      </w:r>
      <w:r>
        <w:fldChar w:fldCharType="begin"/>
      </w:r>
      <w:r>
        <w:instrText xml:space="preserve"> PAGEREF _Toc23596 \h </w:instrText>
      </w:r>
      <w:r>
        <w:fldChar w:fldCharType="separate"/>
      </w:r>
      <w:r>
        <w:t>239</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_Toc12081 </w:instrText>
      </w:r>
      <w:r>
        <w:rPr>
          <w:rFonts w:hint="eastAsia" w:cs="宋体"/>
          <w:szCs w:val="21"/>
          <w:highlight w:val="none"/>
        </w:rPr>
        <w:fldChar w:fldCharType="separate"/>
      </w:r>
      <w:r>
        <w:rPr>
          <w:rFonts w:hint="eastAsia" w:ascii="黑体" w:hAnsi="黑体" w:eastAsia="黑体"/>
          <w:snapToGrid w:val="0"/>
          <w:kern w:val="1"/>
          <w:szCs w:val="21"/>
          <w:highlight w:val="none"/>
          <w:lang w:val="zh-CN"/>
        </w:rPr>
        <w:t>1.现场安全防护设施要求</w:t>
      </w:r>
      <w:r>
        <w:tab/>
      </w:r>
      <w:r>
        <w:fldChar w:fldCharType="begin"/>
      </w:r>
      <w:r>
        <w:instrText xml:space="preserve"> PAGEREF _Toc12081 \h </w:instrText>
      </w:r>
      <w:r>
        <w:fldChar w:fldCharType="separate"/>
      </w:r>
      <w:r>
        <w:t>239</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_Toc8310 </w:instrText>
      </w:r>
      <w:r>
        <w:rPr>
          <w:rFonts w:hint="eastAsia" w:cs="宋体"/>
          <w:szCs w:val="21"/>
          <w:highlight w:val="none"/>
        </w:rPr>
        <w:fldChar w:fldCharType="separate"/>
      </w:r>
      <w:r>
        <w:rPr>
          <w:rFonts w:hint="eastAsia" w:ascii="Arial" w:hAnsi="Arial" w:eastAsia="黑体"/>
          <w:snapToGrid w:val="0"/>
          <w:kern w:val="1"/>
          <w:szCs w:val="21"/>
          <w:highlight w:val="none"/>
          <w:lang w:val="zh-CN"/>
        </w:rPr>
        <w:t>2.水土保持与环境要求</w:t>
      </w:r>
      <w:r>
        <w:tab/>
      </w:r>
      <w:r>
        <w:fldChar w:fldCharType="begin"/>
      </w:r>
      <w:r>
        <w:instrText xml:space="preserve"> PAGEREF _Toc8310 \h </w:instrText>
      </w:r>
      <w:r>
        <w:fldChar w:fldCharType="separate"/>
      </w:r>
      <w:r>
        <w:t>239</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_Toc13704 </w:instrText>
      </w:r>
      <w:r>
        <w:rPr>
          <w:rFonts w:hint="eastAsia" w:cs="宋体"/>
          <w:szCs w:val="21"/>
          <w:highlight w:val="none"/>
        </w:rPr>
        <w:fldChar w:fldCharType="separate"/>
      </w:r>
      <w:r>
        <w:rPr>
          <w:rFonts w:hint="eastAsia" w:ascii="黑体" w:hAnsi="黑体" w:eastAsia="黑体"/>
          <w:snapToGrid w:val="0"/>
          <w:kern w:val="1"/>
          <w:szCs w:val="21"/>
          <w:highlight w:val="none"/>
          <w:lang w:val="zh-CN"/>
        </w:rPr>
        <w:t>3.文明施工要求</w:t>
      </w:r>
      <w:r>
        <w:tab/>
      </w:r>
      <w:r>
        <w:fldChar w:fldCharType="begin"/>
      </w:r>
      <w:r>
        <w:instrText xml:space="preserve"> PAGEREF _Toc13704 \h </w:instrText>
      </w:r>
      <w:r>
        <w:fldChar w:fldCharType="separate"/>
      </w:r>
      <w:r>
        <w:t>239</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_Toc31135 </w:instrText>
      </w:r>
      <w:r>
        <w:rPr>
          <w:rFonts w:hint="eastAsia" w:cs="宋体"/>
          <w:szCs w:val="21"/>
          <w:highlight w:val="none"/>
        </w:rPr>
        <w:fldChar w:fldCharType="separate"/>
      </w:r>
      <w:r>
        <w:rPr>
          <w:rFonts w:hint="eastAsia" w:ascii="黑体" w:hAnsi="黑体" w:eastAsia="黑体"/>
          <w:snapToGrid w:val="0"/>
          <w:kern w:val="1"/>
          <w:szCs w:val="21"/>
          <w:highlight w:val="none"/>
          <w:lang w:val="zh-CN"/>
        </w:rPr>
        <w:t>4.施工机具进场要求</w:t>
      </w:r>
      <w:r>
        <w:tab/>
      </w:r>
      <w:r>
        <w:fldChar w:fldCharType="begin"/>
      </w:r>
      <w:r>
        <w:instrText xml:space="preserve"> PAGEREF _Toc31135 \h </w:instrText>
      </w:r>
      <w:r>
        <w:fldChar w:fldCharType="separate"/>
      </w:r>
      <w:r>
        <w:t>239</w:t>
      </w:r>
      <w:r>
        <w:fldChar w:fldCharType="end"/>
      </w:r>
      <w:r>
        <w:rPr>
          <w:rFonts w:hint="eastAsia" w:cs="宋体"/>
          <w:color w:val="auto"/>
          <w:szCs w:val="21"/>
          <w:highlight w:val="none"/>
        </w:rPr>
        <w:fldChar w:fldCharType="end"/>
      </w:r>
    </w:p>
    <w:p>
      <w:pPr>
        <w:pStyle w:val="49"/>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_Toc7140 </w:instrText>
      </w:r>
      <w:r>
        <w:rPr>
          <w:rFonts w:hint="eastAsia" w:cs="宋体"/>
          <w:szCs w:val="21"/>
          <w:highlight w:val="none"/>
        </w:rPr>
        <w:fldChar w:fldCharType="separate"/>
      </w:r>
      <w:r>
        <w:rPr>
          <w:rFonts w:hint="eastAsia" w:hAnsi="宋体" w:cs="黑体"/>
          <w:highlight w:val="none"/>
        </w:rPr>
        <w:t>招标人对工程主要材料设备的要求</w:t>
      </w:r>
      <w:r>
        <w:tab/>
      </w:r>
      <w:r>
        <w:fldChar w:fldCharType="begin"/>
      </w:r>
      <w:r>
        <w:instrText xml:space="preserve"> PAGEREF _Toc7140 \h </w:instrText>
      </w:r>
      <w:r>
        <w:fldChar w:fldCharType="separate"/>
      </w:r>
      <w:r>
        <w:t>239</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_Toc29224 </w:instrText>
      </w:r>
      <w:r>
        <w:rPr>
          <w:rFonts w:hint="eastAsia" w:cs="宋体"/>
          <w:szCs w:val="21"/>
          <w:highlight w:val="none"/>
        </w:rPr>
        <w:fldChar w:fldCharType="separate"/>
      </w:r>
      <w:r>
        <w:rPr>
          <w:rFonts w:hint="eastAsia" w:ascii="宋体" w:hAnsi="宋体" w:eastAsia="宋体" w:cs="宋体"/>
          <w:bCs/>
          <w:snapToGrid w:val="0"/>
          <w:kern w:val="1"/>
          <w:szCs w:val="21"/>
          <w:lang w:val="zh-CN"/>
        </w:rPr>
        <w:t>1.技术要求</w:t>
      </w:r>
      <w:r>
        <w:tab/>
      </w:r>
      <w:r>
        <w:fldChar w:fldCharType="begin"/>
      </w:r>
      <w:r>
        <w:instrText xml:space="preserve"> PAGEREF _Toc29224 \h </w:instrText>
      </w:r>
      <w:r>
        <w:fldChar w:fldCharType="separate"/>
      </w:r>
      <w:r>
        <w:t>239</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_Toc24089 </w:instrText>
      </w:r>
      <w:r>
        <w:rPr>
          <w:rFonts w:hint="eastAsia" w:cs="宋体"/>
          <w:szCs w:val="21"/>
          <w:highlight w:val="none"/>
        </w:rPr>
        <w:fldChar w:fldCharType="separate"/>
      </w:r>
      <w:r>
        <w:rPr>
          <w:rFonts w:hint="eastAsia" w:ascii="宋体" w:hAnsi="宋体" w:eastAsia="宋体" w:cs="宋体"/>
          <w:bCs/>
          <w:snapToGrid w:val="0"/>
          <w:kern w:val="1"/>
          <w:szCs w:val="21"/>
          <w:lang w:val="zh-CN"/>
        </w:rPr>
        <w:t>2.质量要求</w:t>
      </w:r>
      <w:r>
        <w:tab/>
      </w:r>
      <w:r>
        <w:fldChar w:fldCharType="begin"/>
      </w:r>
      <w:r>
        <w:instrText xml:space="preserve"> PAGEREF _Toc24089 \h </w:instrText>
      </w:r>
      <w:r>
        <w:fldChar w:fldCharType="separate"/>
      </w:r>
      <w:r>
        <w:t>239</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_Toc7227 </w:instrText>
      </w:r>
      <w:r>
        <w:rPr>
          <w:rFonts w:hint="eastAsia" w:cs="宋体"/>
          <w:szCs w:val="21"/>
          <w:highlight w:val="none"/>
        </w:rPr>
        <w:fldChar w:fldCharType="separate"/>
      </w:r>
      <w:r>
        <w:rPr>
          <w:rFonts w:hint="eastAsia" w:ascii="宋体" w:hAnsi="宋体" w:eastAsia="宋体" w:cs="宋体"/>
          <w:szCs w:val="21"/>
          <w:shd w:val="clear" w:color="auto" w:fill="FFFFFF"/>
          <w:lang w:eastAsia="zh-CN"/>
        </w:rPr>
        <w:t>3</w:t>
      </w:r>
      <w:r>
        <w:rPr>
          <w:rFonts w:hint="eastAsia" w:ascii="宋体" w:hAnsi="宋体" w:cs="宋体"/>
          <w:szCs w:val="21"/>
          <w:shd w:val="clear" w:color="auto" w:fill="FFFFFF"/>
        </w:rPr>
        <w:t>.1本次招标的电梯品牌按本招标文件的《主要材料设备参考品牌明细表》内的推荐品牌范围采购。</w:t>
      </w:r>
      <w:r>
        <w:tab/>
      </w:r>
      <w:r>
        <w:fldChar w:fldCharType="begin"/>
      </w:r>
      <w:r>
        <w:instrText xml:space="preserve"> PAGEREF _Toc7227 \h </w:instrText>
      </w:r>
      <w:r>
        <w:fldChar w:fldCharType="separate"/>
      </w:r>
      <w:r>
        <w:t>239</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_Toc12641 </w:instrText>
      </w:r>
      <w:r>
        <w:rPr>
          <w:rFonts w:hint="eastAsia" w:cs="宋体"/>
          <w:szCs w:val="21"/>
          <w:highlight w:val="none"/>
        </w:rPr>
        <w:fldChar w:fldCharType="separate"/>
      </w:r>
      <w:r>
        <w:rPr>
          <w:rFonts w:hint="eastAsia" w:ascii="宋体" w:hAnsi="宋体" w:eastAsia="宋体" w:cs="宋体"/>
          <w:szCs w:val="21"/>
          <w:shd w:val="clear" w:color="auto" w:fill="FFFFFF"/>
          <w:lang w:eastAsia="zh-CN"/>
        </w:rPr>
        <w:t>3</w:t>
      </w:r>
      <w:r>
        <w:rPr>
          <w:rFonts w:hint="eastAsia" w:ascii="宋体" w:hAnsi="宋体" w:cs="宋体"/>
          <w:szCs w:val="21"/>
          <w:shd w:val="clear" w:color="auto" w:fill="FFFFFF"/>
        </w:rPr>
        <w:t>.2项目需求描述</w:t>
      </w:r>
      <w:r>
        <w:tab/>
      </w:r>
      <w:r>
        <w:fldChar w:fldCharType="begin"/>
      </w:r>
      <w:r>
        <w:instrText xml:space="preserve"> PAGEREF _Toc12641 \h </w:instrText>
      </w:r>
      <w:r>
        <w:fldChar w:fldCharType="separate"/>
      </w:r>
      <w:r>
        <w:t>240</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_Toc17148 </w:instrText>
      </w:r>
      <w:r>
        <w:rPr>
          <w:rFonts w:hint="eastAsia" w:cs="宋体"/>
          <w:szCs w:val="21"/>
          <w:highlight w:val="none"/>
        </w:rPr>
        <w:fldChar w:fldCharType="separate"/>
      </w:r>
      <w:r>
        <w:rPr>
          <w:rFonts w:hint="eastAsia" w:ascii="宋体" w:hAnsi="宋体" w:eastAsia="宋体" w:cs="宋体"/>
          <w:szCs w:val="21"/>
          <w:shd w:val="clear" w:color="auto" w:fill="FFFFFF"/>
          <w:lang w:eastAsia="zh-CN"/>
        </w:rPr>
        <w:t>3</w:t>
      </w:r>
      <w:r>
        <w:rPr>
          <w:rFonts w:hint="eastAsia" w:ascii="宋体" w:hAnsi="宋体" w:cs="宋体"/>
          <w:szCs w:val="21"/>
          <w:shd w:val="clear" w:color="auto" w:fill="FFFFFF"/>
        </w:rPr>
        <w:t>.3标准</w:t>
      </w:r>
      <w:r>
        <w:tab/>
      </w:r>
      <w:r>
        <w:fldChar w:fldCharType="begin"/>
      </w:r>
      <w:r>
        <w:instrText xml:space="preserve"> PAGEREF _Toc17148 \h </w:instrText>
      </w:r>
      <w:r>
        <w:fldChar w:fldCharType="separate"/>
      </w:r>
      <w:r>
        <w:t>240</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_Toc7160 </w:instrText>
      </w:r>
      <w:r>
        <w:rPr>
          <w:rFonts w:hint="eastAsia" w:cs="宋体"/>
          <w:szCs w:val="21"/>
          <w:highlight w:val="none"/>
        </w:rPr>
        <w:fldChar w:fldCharType="separate"/>
      </w:r>
      <w:r>
        <w:rPr>
          <w:rFonts w:hint="eastAsia" w:ascii="宋体" w:hAnsi="宋体" w:eastAsia="宋体" w:cs="宋体"/>
          <w:szCs w:val="21"/>
          <w:shd w:val="clear" w:color="auto" w:fill="FFFFFF"/>
          <w:lang w:eastAsia="zh-CN"/>
        </w:rPr>
        <w:t>3</w:t>
      </w:r>
      <w:r>
        <w:rPr>
          <w:rFonts w:hint="eastAsia" w:ascii="宋体" w:hAnsi="宋体" w:cs="宋体"/>
          <w:szCs w:val="21"/>
          <w:shd w:val="clear" w:color="auto" w:fill="FFFFFF"/>
        </w:rPr>
        <w:t>.4技术规格与功能要求</w:t>
      </w:r>
      <w:r>
        <w:tab/>
      </w:r>
      <w:r>
        <w:fldChar w:fldCharType="begin"/>
      </w:r>
      <w:r>
        <w:instrText xml:space="preserve"> PAGEREF _Toc7160 \h </w:instrText>
      </w:r>
      <w:r>
        <w:fldChar w:fldCharType="separate"/>
      </w:r>
      <w:r>
        <w:t>241</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_Toc9419 </w:instrText>
      </w:r>
      <w:r>
        <w:rPr>
          <w:rFonts w:hint="eastAsia" w:cs="宋体"/>
          <w:szCs w:val="21"/>
          <w:highlight w:val="none"/>
        </w:rPr>
        <w:fldChar w:fldCharType="separate"/>
      </w:r>
      <w:r>
        <w:rPr>
          <w:rFonts w:hint="eastAsia" w:ascii="宋体" w:hAnsi="宋体" w:eastAsia="宋体" w:cs="宋体"/>
          <w:szCs w:val="21"/>
          <w:shd w:val="clear" w:color="auto" w:fill="FFFFFF"/>
          <w:lang w:eastAsia="zh-CN"/>
        </w:rPr>
        <w:t>3</w:t>
      </w:r>
      <w:r>
        <w:rPr>
          <w:rFonts w:hint="eastAsia" w:ascii="宋体" w:hAnsi="宋体" w:cs="宋体"/>
          <w:szCs w:val="21"/>
          <w:shd w:val="clear" w:color="auto" w:fill="FFFFFF"/>
        </w:rPr>
        <w:t>.5安装调试要求</w:t>
      </w:r>
      <w:r>
        <w:tab/>
      </w:r>
      <w:r>
        <w:fldChar w:fldCharType="begin"/>
      </w:r>
      <w:r>
        <w:instrText xml:space="preserve"> PAGEREF _Toc9419 \h </w:instrText>
      </w:r>
      <w:r>
        <w:fldChar w:fldCharType="separate"/>
      </w:r>
      <w:r>
        <w:t>250</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_Toc22381 </w:instrText>
      </w:r>
      <w:r>
        <w:rPr>
          <w:rFonts w:hint="eastAsia" w:cs="宋体"/>
          <w:szCs w:val="21"/>
          <w:highlight w:val="none"/>
        </w:rPr>
        <w:fldChar w:fldCharType="separate"/>
      </w:r>
      <w:r>
        <w:rPr>
          <w:rFonts w:hint="eastAsia" w:ascii="宋体" w:hAnsi="宋体" w:eastAsia="宋体" w:cs="宋体"/>
          <w:szCs w:val="21"/>
          <w:shd w:val="clear" w:color="auto" w:fill="FFFFFF"/>
          <w:lang w:eastAsia="zh-CN"/>
        </w:rPr>
        <w:t>3</w:t>
      </w:r>
      <w:r>
        <w:rPr>
          <w:rFonts w:hint="eastAsia" w:ascii="宋体" w:hAnsi="宋体" w:cs="宋体"/>
          <w:szCs w:val="21"/>
          <w:shd w:val="clear" w:color="auto" w:fill="FFFFFF"/>
        </w:rPr>
        <w:t>.6验收条件及标准</w:t>
      </w:r>
      <w:r>
        <w:tab/>
      </w:r>
      <w:r>
        <w:fldChar w:fldCharType="begin"/>
      </w:r>
      <w:r>
        <w:instrText xml:space="preserve"> PAGEREF _Toc22381 \h </w:instrText>
      </w:r>
      <w:r>
        <w:fldChar w:fldCharType="separate"/>
      </w:r>
      <w:r>
        <w:t>250</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_Toc32490 </w:instrText>
      </w:r>
      <w:r>
        <w:rPr>
          <w:rFonts w:hint="eastAsia" w:cs="宋体"/>
          <w:szCs w:val="21"/>
          <w:highlight w:val="none"/>
        </w:rPr>
        <w:fldChar w:fldCharType="separate"/>
      </w:r>
      <w:r>
        <w:rPr>
          <w:rFonts w:hint="eastAsia" w:hAnsi="宋体" w:cs="黑体"/>
          <w:szCs w:val="21"/>
        </w:rPr>
        <w:t xml:space="preserve">3. </w:t>
      </w:r>
      <w:r>
        <w:rPr>
          <w:rFonts w:hint="eastAsia" w:hAnsi="宋体" w:cs="黑体"/>
          <w:szCs w:val="21"/>
          <w:highlight w:val="none"/>
        </w:rPr>
        <w:t>参考品牌</w:t>
      </w:r>
      <w:r>
        <w:tab/>
      </w:r>
      <w:r>
        <w:fldChar w:fldCharType="begin"/>
      </w:r>
      <w:r>
        <w:instrText xml:space="preserve"> PAGEREF _Toc32490 \h </w:instrText>
      </w:r>
      <w:r>
        <w:fldChar w:fldCharType="separate"/>
      </w:r>
      <w:r>
        <w:t>257</w:t>
      </w:r>
      <w:r>
        <w:fldChar w:fldCharType="end"/>
      </w:r>
      <w:r>
        <w:rPr>
          <w:rFonts w:hint="eastAsia" w:cs="宋体"/>
          <w:color w:val="auto"/>
          <w:szCs w:val="21"/>
          <w:highlight w:val="none"/>
        </w:rPr>
        <w:fldChar w:fldCharType="end"/>
      </w:r>
    </w:p>
    <w:p>
      <w:pPr>
        <w:pStyle w:val="31"/>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_Toc5691 </w:instrText>
      </w:r>
      <w:r>
        <w:rPr>
          <w:rFonts w:hint="eastAsia" w:cs="宋体"/>
          <w:szCs w:val="21"/>
          <w:highlight w:val="none"/>
        </w:rPr>
        <w:fldChar w:fldCharType="separate"/>
      </w:r>
      <w:r>
        <w:rPr>
          <w:rFonts w:hint="eastAsia" w:ascii="黑体" w:eastAsia="黑体"/>
          <w:szCs w:val="24"/>
        </w:rPr>
        <w:t>主要材料设备参考品牌明细表</w:t>
      </w:r>
      <w:r>
        <w:tab/>
      </w:r>
      <w:r>
        <w:fldChar w:fldCharType="begin"/>
      </w:r>
      <w:r>
        <w:instrText xml:space="preserve"> PAGEREF _Toc5691 \h </w:instrText>
      </w:r>
      <w:r>
        <w:fldChar w:fldCharType="separate"/>
      </w:r>
      <w:r>
        <w:t>257</w:t>
      </w:r>
      <w:r>
        <w:fldChar w:fldCharType="end"/>
      </w:r>
      <w:r>
        <w:rPr>
          <w:rFonts w:hint="eastAsia" w:cs="宋体"/>
          <w:color w:val="auto"/>
          <w:szCs w:val="21"/>
          <w:highlight w:val="none"/>
        </w:rPr>
        <w:fldChar w:fldCharType="end"/>
      </w:r>
    </w:p>
    <w:p>
      <w:pPr>
        <w:pStyle w:val="49"/>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_Toc796 </w:instrText>
      </w:r>
      <w:r>
        <w:rPr>
          <w:rFonts w:hint="eastAsia" w:cs="宋体"/>
          <w:szCs w:val="21"/>
          <w:highlight w:val="none"/>
        </w:rPr>
        <w:fldChar w:fldCharType="separate"/>
      </w:r>
      <w:r>
        <w:rPr>
          <w:rFonts w:hint="eastAsia" w:hAnsi="宋体" w:cs="黑体"/>
          <w:highlight w:val="none"/>
        </w:rPr>
        <w:t>招标人自行采购的材料设备</w:t>
      </w:r>
      <w:r>
        <w:tab/>
      </w:r>
      <w:r>
        <w:fldChar w:fldCharType="begin"/>
      </w:r>
      <w:r>
        <w:instrText xml:space="preserve"> PAGEREF _Toc796 \h </w:instrText>
      </w:r>
      <w:r>
        <w:fldChar w:fldCharType="separate"/>
      </w:r>
      <w:r>
        <w:t>264</w:t>
      </w:r>
      <w:r>
        <w:fldChar w:fldCharType="end"/>
      </w:r>
      <w:r>
        <w:rPr>
          <w:rFonts w:hint="eastAsia" w:cs="宋体"/>
          <w:color w:val="auto"/>
          <w:szCs w:val="21"/>
          <w:highlight w:val="none"/>
        </w:rPr>
        <w:fldChar w:fldCharType="end"/>
      </w:r>
    </w:p>
    <w:p>
      <w:pPr>
        <w:pStyle w:val="49"/>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_Toc20333 </w:instrText>
      </w:r>
      <w:r>
        <w:rPr>
          <w:rFonts w:hint="eastAsia" w:cs="宋体"/>
          <w:szCs w:val="21"/>
          <w:highlight w:val="none"/>
        </w:rPr>
        <w:fldChar w:fldCharType="separate"/>
      </w:r>
      <w:r>
        <w:rPr>
          <w:rFonts w:hint="eastAsia" w:hAnsi="宋体" w:cs="黑体"/>
          <w:highlight w:val="none"/>
        </w:rPr>
        <w:t>其他要求</w:t>
      </w:r>
      <w:r>
        <w:tab/>
      </w:r>
      <w:r>
        <w:fldChar w:fldCharType="begin"/>
      </w:r>
      <w:r>
        <w:instrText xml:space="preserve"> PAGEREF _Toc20333 \h </w:instrText>
      </w:r>
      <w:r>
        <w:fldChar w:fldCharType="separate"/>
      </w:r>
      <w:r>
        <w:t>265</w:t>
      </w:r>
      <w:r>
        <w:fldChar w:fldCharType="end"/>
      </w:r>
      <w:r>
        <w:rPr>
          <w:rFonts w:hint="eastAsia" w:cs="宋体"/>
          <w:color w:val="auto"/>
          <w:szCs w:val="21"/>
          <w:highlight w:val="none"/>
        </w:rPr>
        <w:fldChar w:fldCharType="end"/>
      </w:r>
    </w:p>
    <w:p>
      <w:pPr>
        <w:pStyle w:val="40"/>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_Toc28495 </w:instrText>
      </w:r>
      <w:r>
        <w:rPr>
          <w:rFonts w:hint="eastAsia" w:cs="宋体"/>
          <w:szCs w:val="21"/>
          <w:highlight w:val="none"/>
        </w:rPr>
        <w:fldChar w:fldCharType="separate"/>
      </w:r>
      <w:r>
        <w:rPr>
          <w:rFonts w:hint="eastAsia" w:ascii="黑体" w:eastAsia="黑体" w:cs="黑体"/>
          <w:kern w:val="1"/>
          <w:szCs w:val="52"/>
          <w:highlight w:val="none"/>
        </w:rPr>
        <w:t>第三卷</w:t>
      </w:r>
      <w:r>
        <w:tab/>
      </w:r>
      <w:r>
        <w:fldChar w:fldCharType="begin"/>
      </w:r>
      <w:r>
        <w:instrText xml:space="preserve"> PAGEREF _Toc28495 \h </w:instrText>
      </w:r>
      <w:r>
        <w:fldChar w:fldCharType="separate"/>
      </w:r>
      <w:r>
        <w:t>266</w:t>
      </w:r>
      <w:r>
        <w:fldChar w:fldCharType="end"/>
      </w:r>
      <w:r>
        <w:rPr>
          <w:rFonts w:hint="eastAsia" w:cs="宋体"/>
          <w:color w:val="auto"/>
          <w:szCs w:val="21"/>
          <w:highlight w:val="none"/>
        </w:rPr>
        <w:fldChar w:fldCharType="end"/>
      </w:r>
    </w:p>
    <w:p>
      <w:pPr>
        <w:pStyle w:val="40"/>
        <w:tabs>
          <w:tab w:val="right" w:leader="dot" w:pos="9781"/>
        </w:tabs>
      </w:pPr>
      <w:r>
        <w:rPr>
          <w:rFonts w:hint="eastAsia" w:cs="宋体"/>
          <w:color w:val="auto"/>
          <w:szCs w:val="21"/>
          <w:highlight w:val="none"/>
        </w:rPr>
        <w:fldChar w:fldCharType="begin"/>
      </w:r>
      <w:r>
        <w:rPr>
          <w:rFonts w:hint="eastAsia" w:cs="宋体"/>
          <w:szCs w:val="21"/>
          <w:highlight w:val="none"/>
        </w:rPr>
        <w:instrText xml:space="preserve"> HYPERLINK \l _Toc2073 </w:instrText>
      </w:r>
      <w:r>
        <w:rPr>
          <w:rFonts w:hint="eastAsia" w:cs="宋体"/>
          <w:szCs w:val="21"/>
          <w:highlight w:val="none"/>
        </w:rPr>
        <w:fldChar w:fldCharType="separate"/>
      </w:r>
      <w:r>
        <w:rPr>
          <w:rFonts w:hint="eastAsia" w:ascii="黑体" w:hAnsi="黑体" w:eastAsia="黑体" w:cs="宋体"/>
          <w:kern w:val="1"/>
          <w:szCs w:val="44"/>
          <w:highlight w:val="none"/>
        </w:rPr>
        <w:t>第九章 投标文件格式</w:t>
      </w:r>
      <w:r>
        <w:tab/>
      </w:r>
      <w:r>
        <w:fldChar w:fldCharType="begin"/>
      </w:r>
      <w:r>
        <w:instrText xml:space="preserve"> PAGEREF _Toc2073 \h </w:instrText>
      </w:r>
      <w:r>
        <w:fldChar w:fldCharType="separate"/>
      </w:r>
      <w:r>
        <w:t>267</w:t>
      </w:r>
      <w:r>
        <w:fldChar w:fldCharType="end"/>
      </w:r>
      <w:r>
        <w:rPr>
          <w:rFonts w:hint="eastAsia" w:cs="宋体"/>
          <w:color w:val="auto"/>
          <w:szCs w:val="21"/>
          <w:highlight w:val="none"/>
        </w:rPr>
        <w:fldChar w:fldCharType="end"/>
      </w:r>
    </w:p>
    <w:p>
      <w:pPr>
        <w:rPr>
          <w:rFonts w:cs="宋体"/>
          <w:color w:val="auto"/>
          <w:sz w:val="21"/>
          <w:szCs w:val="21"/>
          <w:highlight w:val="none"/>
        </w:rPr>
        <w:sectPr>
          <w:headerReference r:id="rId4" w:type="first"/>
          <w:footerReference r:id="rId7" w:type="first"/>
          <w:footerReference r:id="rId5" w:type="default"/>
          <w:footerReference r:id="rId6" w:type="even"/>
          <w:footnotePr>
            <w:numFmt w:val="decimalEnclosedCircleChinese"/>
            <w:numRestart w:val="eachPage"/>
          </w:footnotePr>
          <w:pgSz w:w="11906" w:h="16838"/>
          <w:pgMar w:top="1440" w:right="991" w:bottom="1440" w:left="1134" w:header="851" w:footer="992" w:gutter="0"/>
          <w:pgNumType w:start="1"/>
          <w:cols w:space="720" w:num="1"/>
          <w:titlePg/>
          <w:docGrid w:type="linesAndChars" w:linePitch="312" w:charSpace="0"/>
        </w:sectPr>
      </w:pPr>
      <w:r>
        <w:rPr>
          <w:rFonts w:hint="eastAsia" w:cs="宋体"/>
          <w:color w:val="auto"/>
          <w:szCs w:val="21"/>
          <w:highlight w:val="none"/>
        </w:rPr>
        <w:fldChar w:fldCharType="end"/>
      </w:r>
      <w:bookmarkStart w:id="0" w:name="_Toc152042287"/>
      <w:bookmarkEnd w:id="0"/>
      <w:bookmarkStart w:id="1" w:name="_Toc144974479"/>
      <w:bookmarkEnd w:id="1"/>
      <w:bookmarkStart w:id="2" w:name="_Toc152045511"/>
      <w:bookmarkEnd w:id="2"/>
      <w:bookmarkStart w:id="3" w:name="_Toc247513932"/>
      <w:bookmarkEnd w:id="3"/>
      <w:bookmarkStart w:id="4" w:name="_Toc247527533"/>
      <w:bookmarkEnd w:id="4"/>
    </w:p>
    <w:p>
      <w:pPr>
        <w:rPr>
          <w:rFonts w:cs="宋体"/>
          <w:caps/>
          <w:color w:val="auto"/>
          <w:kern w:val="1"/>
          <w:sz w:val="21"/>
          <w:szCs w:val="21"/>
          <w:highlight w:val="none"/>
        </w:rPr>
      </w:pPr>
    </w:p>
    <w:p>
      <w:pPr>
        <w:pStyle w:val="3"/>
        <w:spacing w:before="4000" w:line="360" w:lineRule="auto"/>
        <w:jc w:val="center"/>
        <w:rPr>
          <w:rFonts w:ascii="黑体" w:hAnsi="黑体" w:eastAsia="黑体" w:cs="宋体"/>
          <w:color w:val="auto"/>
          <w:kern w:val="1"/>
          <w:highlight w:val="none"/>
        </w:rPr>
      </w:pPr>
      <w:bookmarkStart w:id="5" w:name="_Toc414046691"/>
      <w:bookmarkEnd w:id="5"/>
      <w:bookmarkStart w:id="6" w:name="_Toc106703194"/>
      <w:bookmarkStart w:id="7" w:name="_Toc29554"/>
      <w:bookmarkStart w:id="8" w:name="_Toc18177"/>
      <w:bookmarkStart w:id="9" w:name="_Toc61877236"/>
      <w:bookmarkStart w:id="10" w:name="_Toc30850"/>
      <w:bookmarkStart w:id="11" w:name="_Toc29722"/>
      <w:bookmarkStart w:id="12" w:name="_Toc28388"/>
      <w:bookmarkStart w:id="13" w:name="_Toc24332"/>
      <w:bookmarkStart w:id="14" w:name="_Toc19623"/>
      <w:bookmarkStart w:id="15" w:name="_Toc30170318"/>
      <w:bookmarkStart w:id="16" w:name="_Toc21412"/>
      <w:bookmarkStart w:id="17" w:name="_Toc52112866"/>
      <w:bookmarkStart w:id="18" w:name="_Toc458439918"/>
      <w:r>
        <w:rPr>
          <w:rFonts w:ascii="黑体" w:hAnsi="黑体" w:eastAsia="黑体" w:cs="宋体"/>
          <w:color w:val="auto"/>
          <w:kern w:val="1"/>
          <w:highlight w:val="none"/>
        </w:rPr>
        <w:t>第一卷</w:t>
      </w:r>
      <w:bookmarkEnd w:id="6"/>
      <w:bookmarkEnd w:id="7"/>
      <w:bookmarkEnd w:id="8"/>
      <w:bookmarkEnd w:id="9"/>
      <w:bookmarkEnd w:id="10"/>
      <w:bookmarkEnd w:id="11"/>
      <w:bookmarkEnd w:id="12"/>
      <w:bookmarkEnd w:id="13"/>
      <w:bookmarkEnd w:id="14"/>
      <w:bookmarkEnd w:id="15"/>
      <w:bookmarkEnd w:id="16"/>
      <w:bookmarkEnd w:id="17"/>
      <w:bookmarkStart w:id="19" w:name="_Toc247513933"/>
      <w:bookmarkEnd w:id="19"/>
      <w:bookmarkStart w:id="20" w:name="_Toc247527534"/>
      <w:bookmarkEnd w:id="20"/>
      <w:bookmarkStart w:id="21" w:name="_Toc414046692"/>
      <w:bookmarkEnd w:id="21"/>
    </w:p>
    <w:p>
      <w:pPr>
        <w:pStyle w:val="3"/>
        <w:spacing w:before="4000" w:line="360" w:lineRule="auto"/>
        <w:jc w:val="center"/>
        <w:rPr>
          <w:rFonts w:cs="宋体"/>
          <w:b w:val="0"/>
          <w:color w:val="auto"/>
          <w:kern w:val="1"/>
          <w:sz w:val="21"/>
          <w:szCs w:val="21"/>
          <w:highlight w:val="none"/>
        </w:rPr>
      </w:pPr>
      <w:r>
        <w:rPr>
          <w:rFonts w:hint="eastAsia" w:cs="宋体"/>
          <w:color w:val="auto"/>
          <w:kern w:val="1"/>
          <w:sz w:val="21"/>
          <w:szCs w:val="21"/>
          <w:highlight w:val="none"/>
        </w:rPr>
        <w:br w:type="page"/>
      </w:r>
      <w:bookmarkEnd w:id="18"/>
      <w:bookmarkStart w:id="22" w:name="_Toc1250"/>
      <w:bookmarkStart w:id="23" w:name="_Toc30170319"/>
      <w:bookmarkStart w:id="24" w:name="_Toc17468"/>
      <w:bookmarkStart w:id="25" w:name="_Toc26617"/>
      <w:bookmarkStart w:id="26" w:name="_Toc28290"/>
      <w:bookmarkStart w:id="27" w:name="_Toc106703195"/>
      <w:bookmarkStart w:id="28" w:name="_Toc18146"/>
      <w:bookmarkStart w:id="29" w:name="_Toc61877237"/>
      <w:bookmarkStart w:id="30" w:name="_Toc23938"/>
      <w:bookmarkStart w:id="31" w:name="_Toc21447"/>
      <w:bookmarkStart w:id="32" w:name="_Toc8578"/>
      <w:bookmarkStart w:id="33" w:name="_Toc52112867"/>
      <w:r>
        <w:rPr>
          <w:rFonts w:hint="eastAsia" w:ascii="黑体" w:hAnsi="黑体" w:eastAsia="黑体"/>
          <w:color w:val="auto"/>
          <w:kern w:val="1"/>
          <w:highlight w:val="none"/>
        </w:rPr>
        <w:t xml:space="preserve">第一章 </w:t>
      </w:r>
      <w:r>
        <w:rPr>
          <w:rFonts w:ascii="黑体" w:hAnsi="黑体" w:eastAsia="黑体"/>
          <w:color w:val="auto"/>
          <w:kern w:val="1"/>
          <w:highlight w:val="none"/>
        </w:rPr>
        <w:t>招标公告</w:t>
      </w:r>
      <w:bookmarkEnd w:id="22"/>
      <w:bookmarkEnd w:id="23"/>
      <w:bookmarkEnd w:id="24"/>
      <w:r>
        <w:rPr>
          <w:rFonts w:hint="eastAsia" w:ascii="黑体" w:hAnsi="黑体" w:eastAsia="黑体"/>
          <w:color w:val="auto"/>
          <w:highlight w:val="none"/>
        </w:rPr>
        <w:t>/投标邀请书</w:t>
      </w:r>
      <w:bookmarkEnd w:id="25"/>
      <w:bookmarkEnd w:id="26"/>
      <w:bookmarkEnd w:id="27"/>
      <w:bookmarkEnd w:id="28"/>
      <w:bookmarkEnd w:id="29"/>
      <w:bookmarkEnd w:id="30"/>
      <w:bookmarkEnd w:id="31"/>
      <w:bookmarkEnd w:id="32"/>
      <w:bookmarkEnd w:id="33"/>
    </w:p>
    <w:p>
      <w:pPr>
        <w:spacing w:line="360" w:lineRule="auto"/>
        <w:ind w:firstLine="2520"/>
        <w:rPr>
          <w:rFonts w:cs="宋体"/>
          <w:color w:val="auto"/>
          <w:kern w:val="1"/>
          <w:sz w:val="21"/>
          <w:szCs w:val="21"/>
          <w:highlight w:val="none"/>
        </w:rPr>
      </w:pPr>
      <w:r>
        <w:rPr>
          <w:rFonts w:hint="eastAsia" w:cs="宋体"/>
          <w:color w:val="auto"/>
          <w:kern w:val="1"/>
          <w:sz w:val="21"/>
          <w:szCs w:val="21"/>
          <w:highlight w:val="none"/>
        </w:rPr>
        <w:t xml:space="preserve">   </w:t>
      </w:r>
    </w:p>
    <w:p>
      <w:pPr>
        <w:pStyle w:val="4"/>
        <w:spacing w:beforeLines="0" w:afterLines="0"/>
        <w:jc w:val="center"/>
        <w:rPr>
          <w:color w:val="auto"/>
          <w:highlight w:val="none"/>
        </w:rPr>
      </w:pPr>
      <w:r>
        <w:rPr>
          <w:rFonts w:hint="eastAsia" w:ascii="宋体" w:hAnsi="宋体" w:eastAsia="宋体" w:cs="宋体"/>
          <w:color w:val="auto"/>
          <w:sz w:val="21"/>
          <w:szCs w:val="21"/>
          <w:highlight w:val="none"/>
        </w:rPr>
        <w:br w:type="page"/>
      </w:r>
      <w:bookmarkStart w:id="34" w:name="_Toc10010"/>
      <w:bookmarkStart w:id="35" w:name="_Toc52112868"/>
      <w:bookmarkStart w:id="36" w:name="_Toc61877238"/>
      <w:bookmarkStart w:id="37" w:name="_Toc106703196"/>
      <w:bookmarkStart w:id="38" w:name="_Toc32021"/>
      <w:bookmarkStart w:id="39" w:name="_Toc22495"/>
      <w:bookmarkStart w:id="40" w:name="_Toc24373"/>
      <w:bookmarkStart w:id="41" w:name="_Toc31748"/>
      <w:bookmarkStart w:id="42" w:name="_Toc8463"/>
      <w:r>
        <w:rPr>
          <w:color w:val="auto"/>
          <w:highlight w:val="none"/>
        </w:rPr>
        <w:t>第一章</w:t>
      </w:r>
      <w:r>
        <w:rPr>
          <w:rFonts w:hint="eastAsia"/>
          <w:color w:val="auto"/>
          <w:highlight w:val="none"/>
        </w:rPr>
        <w:t xml:space="preserve">  </w:t>
      </w:r>
      <w:r>
        <w:rPr>
          <w:color w:val="auto"/>
          <w:highlight w:val="none"/>
        </w:rPr>
        <w:t>招标公告</w:t>
      </w:r>
      <w:bookmarkEnd w:id="34"/>
      <w:bookmarkEnd w:id="35"/>
      <w:bookmarkEnd w:id="36"/>
      <w:bookmarkEnd w:id="37"/>
      <w:bookmarkEnd w:id="38"/>
      <w:bookmarkEnd w:id="39"/>
      <w:bookmarkEnd w:id="40"/>
      <w:bookmarkEnd w:id="41"/>
      <w:bookmarkEnd w:id="42"/>
    </w:p>
    <w:p>
      <w:pPr>
        <w:pStyle w:val="4"/>
        <w:spacing w:beforeLines="0" w:afterLines="0"/>
        <w:rPr>
          <w:color w:val="auto"/>
          <w:highlight w:val="none"/>
        </w:rPr>
      </w:pPr>
      <w:bookmarkStart w:id="43" w:name="_Toc247527535"/>
      <w:bookmarkEnd w:id="43"/>
      <w:bookmarkStart w:id="44" w:name="_Toc247513934"/>
      <w:bookmarkEnd w:id="44"/>
      <w:bookmarkStart w:id="45" w:name="_Toc152045512"/>
      <w:bookmarkEnd w:id="45"/>
      <w:bookmarkStart w:id="46" w:name="_Toc144974480"/>
      <w:bookmarkEnd w:id="46"/>
      <w:bookmarkStart w:id="47" w:name="_Toc152042288"/>
      <w:bookmarkEnd w:id="47"/>
      <w:bookmarkStart w:id="48" w:name="_Toc414046693"/>
      <w:bookmarkEnd w:id="48"/>
      <w:bookmarkStart w:id="49" w:name="_Toc30170320"/>
      <w:bookmarkStart w:id="50" w:name="_Toc61877239"/>
      <w:bookmarkStart w:id="51" w:name="_Toc30840"/>
      <w:bookmarkStart w:id="52" w:name="_Toc15533"/>
      <w:bookmarkStart w:id="53" w:name="_Toc52112869"/>
      <w:bookmarkStart w:id="54" w:name="_Toc106703197"/>
      <w:bookmarkStart w:id="55" w:name="_Toc15884"/>
      <w:bookmarkStart w:id="56" w:name="_Toc26875"/>
      <w:bookmarkStart w:id="57" w:name="_Toc458439919"/>
      <w:bookmarkStart w:id="58" w:name="_Toc28767"/>
      <w:bookmarkStart w:id="59" w:name="_Toc7573"/>
      <w:bookmarkStart w:id="60" w:name="_Toc28418"/>
      <w:bookmarkStart w:id="61" w:name="_Toc27434"/>
      <w:r>
        <w:rPr>
          <w:color w:val="auto"/>
          <w:highlight w:val="none"/>
        </w:rPr>
        <w:t>1. 招标条件</w:t>
      </w:r>
      <w:bookmarkEnd w:id="49"/>
      <w:bookmarkEnd w:id="50"/>
      <w:bookmarkEnd w:id="51"/>
      <w:bookmarkEnd w:id="52"/>
      <w:bookmarkEnd w:id="53"/>
      <w:bookmarkEnd w:id="54"/>
      <w:bookmarkEnd w:id="55"/>
      <w:bookmarkEnd w:id="56"/>
      <w:bookmarkEnd w:id="57"/>
      <w:bookmarkEnd w:id="58"/>
      <w:bookmarkEnd w:id="59"/>
      <w:bookmarkEnd w:id="60"/>
      <w:bookmarkEnd w:id="61"/>
    </w:p>
    <w:p>
      <w:pPr>
        <w:widowControl/>
        <w:spacing w:line="360" w:lineRule="auto"/>
        <w:ind w:firstLine="420" w:firstLineChars="200"/>
        <w:jc w:val="left"/>
        <w:rPr>
          <w:rFonts w:cs="宋体"/>
          <w:color w:val="auto"/>
          <w:sz w:val="21"/>
          <w:szCs w:val="21"/>
          <w:highlight w:val="none"/>
        </w:rPr>
      </w:pPr>
      <w:r>
        <w:rPr>
          <w:rFonts w:hint="eastAsia" w:cs="宋体"/>
          <w:color w:val="auto"/>
          <w:sz w:val="21"/>
          <w:szCs w:val="21"/>
          <w:highlight w:val="none"/>
        </w:rPr>
        <w:t>本招标项目</w:t>
      </w:r>
      <w:r>
        <w:rPr>
          <w:rFonts w:hint="eastAsia" w:cs="宋体"/>
          <w:color w:val="auto"/>
          <w:sz w:val="21"/>
          <w:szCs w:val="21"/>
          <w:highlight w:val="none"/>
          <w:u w:val="single"/>
        </w:rPr>
        <w:t xml:space="preserve"> </w:t>
      </w:r>
      <w:r>
        <w:rPr>
          <w:rFonts w:hint="eastAsia" w:cs="Times New Roman"/>
          <w:color w:val="0000FF"/>
          <w:sz w:val="21"/>
          <w:szCs w:val="21"/>
          <w:highlight w:val="none"/>
          <w:u w:val="single"/>
          <w:lang w:eastAsia="zh-CN"/>
        </w:rPr>
        <w:t>信达智慧科技园（施工“评定分离”）</w:t>
      </w:r>
      <w:r>
        <w:rPr>
          <w:rFonts w:hint="eastAsia" w:cs="宋体"/>
          <w:color w:val="auto"/>
          <w:sz w:val="21"/>
          <w:szCs w:val="21"/>
          <w:highlight w:val="none"/>
        </w:rPr>
        <w:t>已由</w:t>
      </w:r>
      <w:r>
        <w:rPr>
          <w:rFonts w:hint="eastAsia" w:cs="宋体"/>
          <w:color w:val="auto"/>
          <w:sz w:val="21"/>
          <w:szCs w:val="21"/>
          <w:highlight w:val="none"/>
          <w:u w:val="single"/>
        </w:rPr>
        <w:t xml:space="preserve"> </w:t>
      </w:r>
      <w:r>
        <w:rPr>
          <w:rFonts w:hint="eastAsia" w:ascii="宋体" w:hAnsi="宋体" w:eastAsia="宋体" w:cs="Times New Roman"/>
          <w:color w:val="0000FF"/>
          <w:sz w:val="21"/>
          <w:szCs w:val="21"/>
          <w:highlight w:val="none"/>
          <w:u w:val="single"/>
          <w:lang w:val="en-US" w:eastAsia="zh-CN"/>
        </w:rPr>
        <w:t>厦门火炬高技术产业开发区管理委员会</w:t>
      </w:r>
      <w:r>
        <w:rPr>
          <w:rFonts w:hint="eastAsia" w:cs="宋体"/>
          <w:color w:val="auto"/>
          <w:sz w:val="21"/>
          <w:szCs w:val="21"/>
          <w:highlight w:val="none"/>
        </w:rPr>
        <w:t>以</w:t>
      </w:r>
      <w:r>
        <w:rPr>
          <w:rFonts w:hint="eastAsia" w:ascii="宋体" w:hAnsi="宋体" w:eastAsia="宋体" w:cs="Times New Roman"/>
          <w:color w:val="0000FF"/>
          <w:sz w:val="21"/>
          <w:szCs w:val="21"/>
          <w:highlight w:val="none"/>
          <w:u w:val="single"/>
          <w:lang w:val="en-US" w:eastAsia="zh-CN"/>
        </w:rPr>
        <w:t>厦门市企业投资项目备案证明（厦高管计备2023172号）</w:t>
      </w:r>
      <w:r>
        <w:rPr>
          <w:rFonts w:hint="eastAsia" w:cs="宋体"/>
          <w:color w:val="auto"/>
          <w:sz w:val="21"/>
          <w:szCs w:val="21"/>
          <w:highlight w:val="none"/>
        </w:rPr>
        <w:t>批准建设，建设单位为</w:t>
      </w:r>
      <w:r>
        <w:rPr>
          <w:rFonts w:hint="eastAsia" w:cs="宋体"/>
          <w:color w:val="auto"/>
          <w:sz w:val="21"/>
          <w:szCs w:val="21"/>
          <w:highlight w:val="none"/>
          <w:u w:val="single"/>
        </w:rPr>
        <w:t xml:space="preserve"> </w:t>
      </w:r>
      <w:r>
        <w:rPr>
          <w:rFonts w:hint="eastAsia" w:ascii="宋体" w:hAnsi="宋体" w:eastAsia="宋体" w:cs="Times New Roman"/>
          <w:color w:val="0000FF"/>
          <w:sz w:val="21"/>
          <w:szCs w:val="21"/>
          <w:highlight w:val="none"/>
          <w:u w:val="single"/>
          <w:lang w:val="en-US" w:eastAsia="zh-CN"/>
        </w:rPr>
        <w:t xml:space="preserve">厦门信达物联科技有限公司 </w:t>
      </w:r>
      <w:r>
        <w:rPr>
          <w:rFonts w:hint="eastAsia" w:cs="宋体"/>
          <w:color w:val="auto"/>
          <w:sz w:val="21"/>
          <w:szCs w:val="21"/>
          <w:highlight w:val="none"/>
        </w:rPr>
        <w:t>， 建设资金来源</w:t>
      </w:r>
      <w:r>
        <w:rPr>
          <w:rFonts w:hint="eastAsia" w:cs="宋体"/>
          <w:color w:val="auto"/>
          <w:sz w:val="21"/>
          <w:szCs w:val="21"/>
          <w:highlight w:val="none"/>
          <w:u w:val="single"/>
        </w:rPr>
        <w:t xml:space="preserve"> </w:t>
      </w:r>
      <w:r>
        <w:rPr>
          <w:rFonts w:hint="eastAsia" w:ascii="宋体" w:hAnsi="宋体" w:eastAsia="宋体" w:cs="Times New Roman"/>
          <w:color w:val="0000FF"/>
          <w:sz w:val="21"/>
          <w:szCs w:val="21"/>
          <w:highlight w:val="none"/>
          <w:u w:val="single"/>
          <w:lang w:val="en-US" w:eastAsia="zh-CN"/>
        </w:rPr>
        <w:t>国有自筹</w:t>
      </w:r>
      <w:r>
        <w:rPr>
          <w:rFonts w:hint="eastAsia" w:cs="宋体"/>
          <w:color w:val="auto"/>
          <w:sz w:val="21"/>
          <w:szCs w:val="21"/>
          <w:highlight w:val="none"/>
          <w:u w:val="single"/>
        </w:rPr>
        <w:t xml:space="preserve"> </w:t>
      </w:r>
      <w:r>
        <w:rPr>
          <w:rFonts w:hint="eastAsia" w:cs="宋体"/>
          <w:color w:val="auto"/>
          <w:sz w:val="21"/>
          <w:szCs w:val="21"/>
          <w:highlight w:val="none"/>
        </w:rPr>
        <w:t>，招标人为</w:t>
      </w:r>
      <w:r>
        <w:rPr>
          <w:rFonts w:hint="eastAsia" w:cs="宋体"/>
          <w:color w:val="auto"/>
          <w:sz w:val="21"/>
          <w:szCs w:val="21"/>
          <w:highlight w:val="none"/>
          <w:u w:val="single"/>
        </w:rPr>
        <w:t xml:space="preserve"> </w:t>
      </w:r>
      <w:r>
        <w:rPr>
          <w:rFonts w:hint="eastAsia" w:cs="宋体"/>
          <w:color w:val="0000FF"/>
          <w:sz w:val="21"/>
          <w:szCs w:val="21"/>
          <w:highlight w:val="none"/>
          <w:u w:val="single"/>
        </w:rPr>
        <w:t>厦门国贸建设开发有限公司</w:t>
      </w:r>
      <w:r>
        <w:rPr>
          <w:rFonts w:hint="eastAsia" w:cs="宋体"/>
          <w:color w:val="auto"/>
          <w:sz w:val="21"/>
          <w:szCs w:val="21"/>
          <w:highlight w:val="none"/>
          <w:u w:val="single"/>
        </w:rPr>
        <w:t xml:space="preserve"> </w:t>
      </w:r>
      <w:r>
        <w:rPr>
          <w:rFonts w:hint="eastAsia" w:cs="宋体"/>
          <w:color w:val="auto"/>
          <w:sz w:val="21"/>
          <w:szCs w:val="21"/>
          <w:highlight w:val="none"/>
        </w:rPr>
        <w:t>，委托的招标代理单位为</w:t>
      </w:r>
      <w:r>
        <w:rPr>
          <w:rFonts w:hint="eastAsia" w:cs="宋体"/>
          <w:color w:val="auto"/>
          <w:sz w:val="21"/>
          <w:szCs w:val="21"/>
          <w:highlight w:val="none"/>
          <w:u w:val="single"/>
        </w:rPr>
        <w:t xml:space="preserve"> </w:t>
      </w:r>
      <w:r>
        <w:rPr>
          <w:rFonts w:hint="eastAsia" w:cs="宋体"/>
          <w:color w:val="0000FF"/>
          <w:sz w:val="21"/>
          <w:szCs w:val="21"/>
          <w:highlight w:val="none"/>
          <w:u w:val="single"/>
          <w:lang w:eastAsia="zh-CN"/>
        </w:rPr>
        <w:t>福州信源工程造价咨询有限公司</w:t>
      </w:r>
      <w:r>
        <w:rPr>
          <w:rFonts w:hint="eastAsia" w:cs="宋体"/>
          <w:color w:val="auto"/>
          <w:sz w:val="21"/>
          <w:szCs w:val="21"/>
          <w:highlight w:val="none"/>
          <w:u w:val="single"/>
        </w:rPr>
        <w:t xml:space="preserve"> </w:t>
      </w:r>
      <w:r>
        <w:rPr>
          <w:rFonts w:hint="eastAsia" w:cs="宋体"/>
          <w:color w:val="auto"/>
          <w:sz w:val="21"/>
          <w:szCs w:val="21"/>
          <w:highlight w:val="none"/>
        </w:rPr>
        <w:t>。本项目已具备招标条件，现对该项目的施工进行公开招标。</w:t>
      </w:r>
    </w:p>
    <w:p>
      <w:pPr>
        <w:pStyle w:val="4"/>
        <w:spacing w:beforeLines="0" w:afterLines="0"/>
        <w:rPr>
          <w:color w:val="auto"/>
          <w:highlight w:val="none"/>
        </w:rPr>
      </w:pPr>
      <w:bookmarkStart w:id="62" w:name="_Toc152045513"/>
      <w:bookmarkEnd w:id="62"/>
      <w:bookmarkStart w:id="63" w:name="_Toc247513935"/>
      <w:bookmarkEnd w:id="63"/>
      <w:bookmarkStart w:id="64" w:name="_Toc414046694"/>
      <w:bookmarkEnd w:id="64"/>
      <w:bookmarkStart w:id="65" w:name="_Toc144974481"/>
      <w:bookmarkEnd w:id="65"/>
      <w:bookmarkStart w:id="66" w:name="_Toc152042289"/>
      <w:bookmarkEnd w:id="66"/>
      <w:bookmarkStart w:id="67" w:name="_Toc247527536"/>
      <w:bookmarkEnd w:id="67"/>
      <w:bookmarkStart w:id="68" w:name="_Toc27392"/>
      <w:bookmarkStart w:id="69" w:name="_Toc458439920"/>
      <w:bookmarkStart w:id="70" w:name="_Toc11228"/>
      <w:bookmarkStart w:id="71" w:name="_Toc106703198"/>
      <w:bookmarkStart w:id="72" w:name="_Toc32304"/>
      <w:bookmarkStart w:id="73" w:name="_Toc8655"/>
      <w:bookmarkStart w:id="74" w:name="_Toc28177"/>
      <w:bookmarkStart w:id="75" w:name="_Toc3537"/>
      <w:bookmarkStart w:id="76" w:name="_Toc471"/>
      <w:bookmarkStart w:id="77" w:name="_Toc30170321"/>
      <w:bookmarkStart w:id="78" w:name="_Toc25302"/>
      <w:bookmarkStart w:id="79" w:name="_Toc61877240"/>
      <w:r>
        <w:rPr>
          <w:rFonts w:hint="eastAsia"/>
          <w:color w:val="auto"/>
          <w:highlight w:val="none"/>
        </w:rPr>
        <w:t>2. 项目概况与招标范围</w:t>
      </w:r>
      <w:bookmarkEnd w:id="68"/>
      <w:bookmarkEnd w:id="69"/>
      <w:bookmarkEnd w:id="70"/>
      <w:bookmarkEnd w:id="71"/>
      <w:bookmarkEnd w:id="72"/>
      <w:bookmarkEnd w:id="73"/>
      <w:bookmarkEnd w:id="74"/>
      <w:bookmarkEnd w:id="75"/>
      <w:bookmarkEnd w:id="76"/>
      <w:bookmarkEnd w:id="77"/>
      <w:bookmarkEnd w:id="78"/>
      <w:bookmarkEnd w:id="79"/>
      <w:r>
        <w:rPr>
          <w:rFonts w:hint="eastAsia"/>
          <w:color w:val="auto"/>
          <w:highlight w:val="none"/>
        </w:rPr>
        <w:tab/>
      </w:r>
    </w:p>
    <w:p>
      <w:pPr>
        <w:spacing w:line="360" w:lineRule="auto"/>
        <w:ind w:firstLine="413" w:firstLineChars="196"/>
        <w:rPr>
          <w:rFonts w:cs="宋体"/>
          <w:b/>
          <w:color w:val="auto"/>
          <w:kern w:val="1"/>
          <w:sz w:val="21"/>
          <w:szCs w:val="21"/>
          <w:highlight w:val="none"/>
        </w:rPr>
      </w:pPr>
      <w:r>
        <w:rPr>
          <w:rFonts w:hint="eastAsia" w:cs="宋体"/>
          <w:b/>
          <w:color w:val="auto"/>
          <w:kern w:val="1"/>
          <w:sz w:val="21"/>
          <w:szCs w:val="21"/>
          <w:highlight w:val="none"/>
        </w:rPr>
        <w:t>2.1项目概况</w:t>
      </w:r>
    </w:p>
    <w:p>
      <w:pPr>
        <w:spacing w:line="360" w:lineRule="auto"/>
        <w:ind w:firstLine="420" w:firstLineChars="200"/>
        <w:rPr>
          <w:rFonts w:hint="eastAsia" w:ascii="宋体" w:hAnsi="宋体" w:eastAsia="宋体" w:cs="宋体"/>
          <w:color w:val="0000FF"/>
          <w:sz w:val="21"/>
          <w:szCs w:val="21"/>
          <w:highlight w:val="none"/>
          <w:u w:val="single"/>
        </w:rPr>
      </w:pPr>
      <w:r>
        <w:rPr>
          <w:rFonts w:hint="eastAsia" w:cs="宋体"/>
          <w:color w:val="auto"/>
          <w:kern w:val="1"/>
          <w:sz w:val="21"/>
          <w:szCs w:val="21"/>
          <w:highlight w:val="none"/>
        </w:rPr>
        <w:t>2.1.1建设地点：</w:t>
      </w:r>
      <w:r>
        <w:rPr>
          <w:rFonts w:hint="eastAsia" w:ascii="宋体" w:hAnsi="宋体" w:eastAsia="宋体" w:cs="Times New Roman"/>
          <w:color w:val="0000FF"/>
          <w:sz w:val="21"/>
          <w:szCs w:val="21"/>
          <w:highlight w:val="none"/>
          <w:u w:val="single"/>
          <w:lang w:val="en-US" w:eastAsia="zh-CN"/>
        </w:rPr>
        <w:t>厦门市翔安区同翔高新城专精特新产业园</w:t>
      </w:r>
      <w:r>
        <w:rPr>
          <w:rFonts w:hint="eastAsia" w:ascii="宋体" w:hAnsi="宋体" w:eastAsia="宋体" w:cs="宋体"/>
          <w:color w:val="0000FF"/>
          <w:sz w:val="21"/>
          <w:szCs w:val="21"/>
          <w:highlight w:val="none"/>
          <w:u w:val="single"/>
          <w:lang w:val="en-US" w:eastAsia="zh-CN"/>
        </w:rPr>
        <w:t>区</w:t>
      </w:r>
      <w:r>
        <w:rPr>
          <w:rFonts w:hint="eastAsia" w:ascii="宋体" w:hAnsi="宋体" w:eastAsia="宋体" w:cs="宋体"/>
          <w:color w:val="0000FF"/>
          <w:sz w:val="21"/>
          <w:szCs w:val="21"/>
          <w:highlight w:val="none"/>
          <w:u w:val="single"/>
        </w:rPr>
        <w:t>。</w:t>
      </w:r>
    </w:p>
    <w:p>
      <w:pPr>
        <w:spacing w:line="360" w:lineRule="auto"/>
        <w:ind w:firstLine="420" w:firstLineChars="200"/>
        <w:jc w:val="left"/>
        <w:rPr>
          <w:rFonts w:hint="default" w:ascii="宋体" w:hAnsi="宋体" w:eastAsia="宋体" w:cs="宋体"/>
          <w:color w:val="0000FF"/>
          <w:sz w:val="21"/>
          <w:szCs w:val="21"/>
          <w:highlight w:val="none"/>
          <w:u w:val="single"/>
          <w:lang w:val="en-US" w:eastAsia="zh-CN"/>
        </w:rPr>
      </w:pPr>
      <w:r>
        <w:rPr>
          <w:rFonts w:hint="eastAsia" w:cs="宋体"/>
          <w:color w:val="auto"/>
          <w:kern w:val="1"/>
          <w:sz w:val="21"/>
          <w:szCs w:val="21"/>
          <w:highlight w:val="none"/>
        </w:rPr>
        <w:t>2.1.2建设规模</w:t>
      </w:r>
      <w:r>
        <w:rPr>
          <w:rStyle w:val="74"/>
          <w:rFonts w:hint="eastAsia" w:cs="宋体"/>
          <w:color w:val="auto"/>
          <w:kern w:val="1"/>
          <w:sz w:val="21"/>
          <w:szCs w:val="21"/>
          <w:highlight w:val="none"/>
        </w:rPr>
        <w:footnoteReference w:id="0"/>
      </w:r>
      <w:r>
        <w:rPr>
          <w:rFonts w:hint="eastAsia" w:cs="宋体"/>
          <w:color w:val="auto"/>
          <w:kern w:val="1"/>
          <w:sz w:val="21"/>
          <w:szCs w:val="21"/>
          <w:highlight w:val="none"/>
        </w:rPr>
        <w:t>：</w:t>
      </w:r>
      <w:r>
        <w:rPr>
          <w:rFonts w:hint="eastAsia" w:ascii="宋体" w:hAnsi="宋体" w:eastAsia="宋体" w:cs="Times New Roman"/>
          <w:color w:val="0000FF"/>
          <w:sz w:val="21"/>
          <w:szCs w:val="21"/>
          <w:highlight w:val="none"/>
          <w:u w:val="single"/>
          <w:lang w:val="en-US" w:eastAsia="zh-CN"/>
        </w:rPr>
        <w:t>本项目建设用地面积为29109.530㎡，总建筑面积约</w:t>
      </w:r>
      <w:r>
        <w:rPr>
          <w:rFonts w:hint="eastAsia" w:cs="Times New Roman"/>
          <w:color w:val="0000FF"/>
          <w:sz w:val="21"/>
          <w:szCs w:val="21"/>
          <w:highlight w:val="none"/>
          <w:u w:val="single"/>
          <w:lang w:val="en-US" w:eastAsia="zh-CN"/>
        </w:rPr>
        <w:t>77808.24</w:t>
      </w:r>
      <w:r>
        <w:rPr>
          <w:rFonts w:hint="eastAsia" w:ascii="宋体" w:hAnsi="宋体" w:eastAsia="宋体" w:cs="Times New Roman"/>
          <w:color w:val="0000FF"/>
          <w:sz w:val="21"/>
          <w:szCs w:val="21"/>
          <w:highlight w:val="none"/>
          <w:u w:val="single"/>
          <w:lang w:val="en-US" w:eastAsia="zh-CN"/>
        </w:rPr>
        <w:t>㎡，其中地上总建筑面积约为</w:t>
      </w:r>
      <w:r>
        <w:rPr>
          <w:rFonts w:hint="eastAsia" w:cs="Times New Roman"/>
          <w:color w:val="0000FF"/>
          <w:sz w:val="21"/>
          <w:szCs w:val="21"/>
          <w:highlight w:val="none"/>
          <w:u w:val="single"/>
          <w:lang w:val="en-US" w:eastAsia="zh-CN"/>
        </w:rPr>
        <w:t>74536.47</w:t>
      </w:r>
      <w:r>
        <w:rPr>
          <w:rFonts w:hint="eastAsia" w:ascii="宋体" w:hAnsi="宋体" w:eastAsia="宋体" w:cs="Times New Roman"/>
          <w:color w:val="0000FF"/>
          <w:sz w:val="21"/>
          <w:szCs w:val="21"/>
          <w:highlight w:val="none"/>
          <w:u w:val="single"/>
          <w:lang w:val="en-US" w:eastAsia="zh-CN"/>
        </w:rPr>
        <w:t>㎡，其中地下室建筑面积约3271.77㎡，</w:t>
      </w:r>
      <w:r>
        <w:rPr>
          <w:rFonts w:hint="eastAsia" w:cs="Times New Roman"/>
          <w:color w:val="0000FF"/>
          <w:sz w:val="21"/>
          <w:szCs w:val="21"/>
          <w:highlight w:val="none"/>
          <w:u w:val="single"/>
          <w:lang w:val="en-US" w:eastAsia="zh-CN"/>
        </w:rPr>
        <w:t>最大单体建筑面积约30344.702</w:t>
      </w:r>
      <w:r>
        <w:rPr>
          <w:rFonts w:hint="eastAsia" w:ascii="宋体" w:hAnsi="宋体" w:eastAsia="宋体" w:cs="Times New Roman"/>
          <w:color w:val="0000FF"/>
          <w:sz w:val="21"/>
          <w:szCs w:val="21"/>
          <w:highlight w:val="none"/>
          <w:u w:val="single"/>
          <w:lang w:val="en-US" w:eastAsia="zh-CN"/>
        </w:rPr>
        <w:t>㎡。</w:t>
      </w:r>
      <w:r>
        <w:rPr>
          <w:rFonts w:hint="eastAsia"/>
          <w:color w:val="0000FF"/>
          <w:sz w:val="21"/>
          <w:szCs w:val="21"/>
          <w:highlight w:val="none"/>
          <w:u w:val="single"/>
        </w:rPr>
        <w:t>本工程共4 栋，地上</w:t>
      </w:r>
      <w:r>
        <w:rPr>
          <w:rFonts w:hint="eastAsia"/>
          <w:color w:val="0000FF"/>
          <w:sz w:val="21"/>
          <w:szCs w:val="21"/>
          <w:highlight w:val="none"/>
          <w:u w:val="single"/>
          <w:lang w:eastAsia="zh-CN"/>
        </w:rPr>
        <w:t>7</w:t>
      </w:r>
      <w:r>
        <w:rPr>
          <w:rFonts w:hint="eastAsia"/>
          <w:color w:val="0000FF"/>
          <w:sz w:val="21"/>
          <w:szCs w:val="21"/>
          <w:highlight w:val="none"/>
          <w:u w:val="single"/>
        </w:rPr>
        <w:t>-</w:t>
      </w:r>
      <w:r>
        <w:rPr>
          <w:rFonts w:hint="eastAsia"/>
          <w:color w:val="0000FF"/>
          <w:sz w:val="21"/>
          <w:szCs w:val="21"/>
          <w:highlight w:val="none"/>
          <w:u w:val="single"/>
          <w:lang w:eastAsia="zh-CN"/>
        </w:rPr>
        <w:t>1</w:t>
      </w:r>
      <w:r>
        <w:rPr>
          <w:rFonts w:hint="eastAsia"/>
          <w:color w:val="0000FF"/>
          <w:sz w:val="21"/>
          <w:szCs w:val="21"/>
          <w:highlight w:val="none"/>
          <w:u w:val="single"/>
          <w:lang w:val="en-US" w:eastAsia="zh-CN"/>
        </w:rPr>
        <w:t>1</w:t>
      </w:r>
      <w:r>
        <w:rPr>
          <w:rFonts w:hint="eastAsia"/>
          <w:color w:val="0000FF"/>
          <w:sz w:val="21"/>
          <w:szCs w:val="21"/>
          <w:highlight w:val="none"/>
          <w:u w:val="single"/>
        </w:rPr>
        <w:t>层，地下1层，建筑高度</w:t>
      </w:r>
      <w:r>
        <w:rPr>
          <w:rFonts w:hint="eastAsia"/>
          <w:color w:val="0000FF"/>
          <w:sz w:val="21"/>
          <w:szCs w:val="21"/>
          <w:highlight w:val="none"/>
          <w:u w:val="single"/>
          <w:lang w:eastAsia="zh-CN"/>
        </w:rPr>
        <w:t>48.2</w:t>
      </w:r>
      <w:r>
        <w:rPr>
          <w:rFonts w:hint="eastAsia"/>
          <w:color w:val="0000FF"/>
          <w:sz w:val="21"/>
          <w:szCs w:val="21"/>
          <w:highlight w:val="none"/>
          <w:u w:val="single"/>
        </w:rPr>
        <w:t>米，单跨最大跨度</w:t>
      </w:r>
      <w:r>
        <w:rPr>
          <w:rFonts w:hint="eastAsia"/>
          <w:color w:val="0000FF"/>
          <w:sz w:val="21"/>
          <w:szCs w:val="21"/>
          <w:highlight w:val="none"/>
          <w:u w:val="single"/>
          <w:lang w:val="en-US" w:eastAsia="zh-CN"/>
        </w:rPr>
        <w:t>23</w:t>
      </w:r>
      <w:r>
        <w:rPr>
          <w:rFonts w:hint="eastAsia"/>
          <w:color w:val="0000FF"/>
          <w:sz w:val="21"/>
          <w:szCs w:val="21"/>
          <w:highlight w:val="none"/>
          <w:u w:val="single"/>
        </w:rPr>
        <w:t>米，</w:t>
      </w:r>
      <w:r>
        <w:rPr>
          <w:rFonts w:hint="eastAsia" w:ascii="宋体" w:hAnsi="宋体" w:eastAsia="宋体" w:cs="Times New Roman"/>
          <w:color w:val="0000FF"/>
          <w:sz w:val="21"/>
          <w:szCs w:val="21"/>
          <w:highlight w:val="none"/>
          <w:u w:val="single"/>
          <w:lang w:val="en-US" w:eastAsia="zh-CN"/>
        </w:rPr>
        <w:t>其中包含专业生产厂房、标准厂房、研发中试厂房、非生产性用房（餐厅、宿舍）、室外景观绿化及相关配套设施及其他工程</w:t>
      </w:r>
      <w:r>
        <w:rPr>
          <w:rFonts w:hint="eastAsia" w:cs="Times New Roman"/>
          <w:color w:val="0000FF"/>
          <w:sz w:val="21"/>
          <w:szCs w:val="21"/>
          <w:highlight w:val="none"/>
          <w:u w:val="single"/>
          <w:lang w:val="en-US" w:eastAsia="zh-CN"/>
        </w:rPr>
        <w:t>，</w:t>
      </w:r>
      <w:r>
        <w:rPr>
          <w:rFonts w:hint="eastAsia" w:ascii="宋体" w:hAnsi="宋体" w:eastAsia="宋体" w:cs="Times New Roman"/>
          <w:color w:val="0000FF"/>
          <w:sz w:val="21"/>
          <w:szCs w:val="21"/>
          <w:highlight w:val="none"/>
          <w:u w:val="single"/>
          <w:lang w:val="en-US" w:eastAsia="zh-CN"/>
        </w:rPr>
        <w:t>建安工程费约</w:t>
      </w:r>
      <w:r>
        <w:rPr>
          <w:rFonts w:hint="eastAsia" w:cs="Times New Roman"/>
          <w:color w:val="0000FF"/>
          <w:sz w:val="21"/>
          <w:szCs w:val="21"/>
          <w:highlight w:val="none"/>
          <w:u w:val="single"/>
          <w:lang w:val="en-US" w:eastAsia="zh-CN"/>
        </w:rPr>
        <w:t>21500</w:t>
      </w:r>
      <w:r>
        <w:rPr>
          <w:rFonts w:hint="eastAsia" w:ascii="宋体" w:hAnsi="宋体" w:eastAsia="宋体" w:cs="Times New Roman"/>
          <w:color w:val="0000FF"/>
          <w:sz w:val="21"/>
          <w:szCs w:val="21"/>
          <w:highlight w:val="none"/>
          <w:u w:val="single"/>
          <w:lang w:val="en-US" w:eastAsia="zh-CN"/>
        </w:rPr>
        <w:t>万元。</w:t>
      </w:r>
    </w:p>
    <w:p>
      <w:pPr>
        <w:spacing w:line="360" w:lineRule="auto"/>
        <w:ind w:firstLine="420"/>
        <w:rPr>
          <w:rFonts w:cs="宋体"/>
          <w:color w:val="auto"/>
          <w:kern w:val="1"/>
          <w:sz w:val="21"/>
          <w:szCs w:val="21"/>
          <w:highlight w:val="none"/>
        </w:rPr>
      </w:pPr>
      <w:r>
        <w:rPr>
          <w:rFonts w:hint="eastAsia" w:cs="宋体"/>
          <w:color w:val="auto"/>
          <w:sz w:val="21"/>
          <w:szCs w:val="21"/>
          <w:highlight w:val="none"/>
        </w:rPr>
        <w:t>2.1.3</w:t>
      </w:r>
      <w:r>
        <w:rPr>
          <w:rFonts w:hint="eastAsia" w:cs="宋体"/>
          <w:color w:val="auto"/>
          <w:kern w:val="1"/>
          <w:sz w:val="21"/>
          <w:szCs w:val="21"/>
          <w:highlight w:val="none"/>
        </w:rPr>
        <w:t>最高投标报价限价，招标人按以下第</w:t>
      </w:r>
      <w:r>
        <w:rPr>
          <w:rFonts w:hint="eastAsia" w:cs="宋体"/>
          <w:color w:val="auto"/>
          <w:kern w:val="1"/>
          <w:sz w:val="21"/>
          <w:szCs w:val="21"/>
          <w:highlight w:val="none"/>
          <w:u w:val="single"/>
        </w:rPr>
        <w:t xml:space="preserve"> </w:t>
      </w:r>
      <w:r>
        <w:rPr>
          <w:rFonts w:hint="eastAsia" w:cs="宋体"/>
          <w:color w:val="0000FF"/>
          <w:sz w:val="21"/>
          <w:szCs w:val="21"/>
          <w:highlight w:val="none"/>
          <w:u w:val="single"/>
        </w:rPr>
        <w:t>（2）</w:t>
      </w:r>
      <w:r>
        <w:rPr>
          <w:rFonts w:hint="eastAsia" w:cs="宋体"/>
          <w:color w:val="auto"/>
          <w:kern w:val="1"/>
          <w:sz w:val="21"/>
          <w:szCs w:val="21"/>
          <w:highlight w:val="none"/>
          <w:u w:val="single"/>
        </w:rPr>
        <w:t xml:space="preserve"> </w:t>
      </w:r>
      <w:r>
        <w:rPr>
          <w:rFonts w:hint="eastAsia" w:cs="宋体"/>
          <w:color w:val="auto"/>
          <w:kern w:val="1"/>
          <w:sz w:val="21"/>
          <w:szCs w:val="21"/>
          <w:highlight w:val="none"/>
        </w:rPr>
        <w:t>项方式发布：</w:t>
      </w:r>
    </w:p>
    <w:p>
      <w:pPr>
        <w:spacing w:line="360" w:lineRule="auto"/>
        <w:ind w:firstLine="420"/>
        <w:rPr>
          <w:rFonts w:cs="宋体"/>
          <w:color w:val="auto"/>
          <w:sz w:val="21"/>
          <w:szCs w:val="21"/>
          <w:highlight w:val="none"/>
          <w:u w:val="single"/>
        </w:rPr>
      </w:pPr>
      <w:r>
        <w:rPr>
          <w:rFonts w:hint="eastAsia" w:cs="宋体"/>
          <w:color w:val="auto"/>
          <w:kern w:val="1"/>
          <w:sz w:val="21"/>
          <w:szCs w:val="21"/>
          <w:highlight w:val="none"/>
        </w:rPr>
        <w:t>（1）</w:t>
      </w:r>
      <w:r>
        <w:rPr>
          <w:rFonts w:hint="eastAsia" w:cs="宋体"/>
          <w:color w:val="auto"/>
          <w:sz w:val="21"/>
          <w:szCs w:val="21"/>
          <w:highlight w:val="none"/>
          <w:u w:val="single"/>
        </w:rPr>
        <w:t xml:space="preserve">   </w:t>
      </w:r>
      <w:r>
        <w:rPr>
          <w:rFonts w:hint="eastAsia" w:cs="宋体"/>
          <w:color w:val="0000FF"/>
          <w:sz w:val="21"/>
          <w:szCs w:val="21"/>
          <w:highlight w:val="none"/>
          <w:u w:val="single"/>
        </w:rPr>
        <w:t>/</w:t>
      </w:r>
      <w:r>
        <w:rPr>
          <w:rFonts w:hint="eastAsia" w:cs="宋体"/>
          <w:color w:val="auto"/>
          <w:sz w:val="21"/>
          <w:szCs w:val="21"/>
          <w:highlight w:val="none"/>
          <w:u w:val="single"/>
        </w:rPr>
        <w:t xml:space="preserve">    </w:t>
      </w:r>
      <w:r>
        <w:rPr>
          <w:rFonts w:hint="eastAsia" w:cs="宋体"/>
          <w:color w:val="auto"/>
          <w:sz w:val="21"/>
          <w:szCs w:val="21"/>
          <w:highlight w:val="none"/>
        </w:rPr>
        <w:t>元，</w:t>
      </w:r>
      <w:r>
        <w:rPr>
          <w:rFonts w:hint="eastAsia"/>
          <w:color w:val="auto"/>
          <w:sz w:val="21"/>
          <w:szCs w:val="21"/>
          <w:highlight w:val="none"/>
        </w:rPr>
        <w:t>招标项目应用建筑信息模型（BIM）技术的，BIM技术应用费</w:t>
      </w:r>
      <w:r>
        <w:rPr>
          <w:rFonts w:hint="eastAsia"/>
          <w:color w:val="auto"/>
          <w:sz w:val="21"/>
          <w:szCs w:val="21"/>
          <w:highlight w:val="none"/>
          <w:u w:val="single"/>
        </w:rPr>
        <w:t xml:space="preserve">  </w:t>
      </w:r>
      <w:r>
        <w:rPr>
          <w:rFonts w:hint="eastAsia" w:cs="宋体"/>
          <w:color w:val="0000FF"/>
          <w:sz w:val="21"/>
          <w:szCs w:val="21"/>
          <w:highlight w:val="none"/>
          <w:u w:val="single"/>
        </w:rPr>
        <w:t>/</w:t>
      </w:r>
      <w:r>
        <w:rPr>
          <w:rFonts w:hint="eastAsia"/>
          <w:color w:val="auto"/>
          <w:sz w:val="21"/>
          <w:szCs w:val="21"/>
          <w:highlight w:val="none"/>
          <w:u w:val="single"/>
        </w:rPr>
        <w:t xml:space="preserve">  </w:t>
      </w:r>
      <w:r>
        <w:rPr>
          <w:rFonts w:hint="eastAsia"/>
          <w:color w:val="auto"/>
          <w:sz w:val="21"/>
          <w:szCs w:val="21"/>
          <w:highlight w:val="none"/>
        </w:rPr>
        <w:t>元。</w:t>
      </w:r>
    </w:p>
    <w:p>
      <w:pPr>
        <w:spacing w:line="360" w:lineRule="auto"/>
        <w:ind w:firstLine="420"/>
        <w:rPr>
          <w:rFonts w:cs="宋体"/>
          <w:color w:val="auto"/>
          <w:sz w:val="21"/>
          <w:szCs w:val="21"/>
          <w:highlight w:val="none"/>
          <w:u w:val="single"/>
        </w:rPr>
      </w:pPr>
      <w:r>
        <w:rPr>
          <w:rFonts w:hint="eastAsia" w:cs="宋体"/>
          <w:color w:val="auto"/>
          <w:sz w:val="21"/>
          <w:szCs w:val="21"/>
          <w:highlight w:val="none"/>
        </w:rPr>
        <w:t>（2）投标截止时间7日前发布。</w:t>
      </w:r>
      <w:r>
        <w:rPr>
          <w:rFonts w:hint="eastAsia"/>
          <w:color w:val="auto"/>
          <w:sz w:val="21"/>
          <w:szCs w:val="21"/>
          <w:highlight w:val="none"/>
        </w:rPr>
        <w:t>招标项目应用建筑信息模型（BIM）技术的，BIM技术应用费在最高投标报价限价中发布。</w:t>
      </w:r>
    </w:p>
    <w:p>
      <w:pPr>
        <w:spacing w:line="360" w:lineRule="auto"/>
        <w:ind w:firstLine="420"/>
        <w:rPr>
          <w:rFonts w:cs="宋体"/>
          <w:color w:val="auto"/>
          <w:sz w:val="21"/>
          <w:szCs w:val="21"/>
          <w:highlight w:val="none"/>
          <w:u w:val="single"/>
        </w:rPr>
      </w:pPr>
      <w:r>
        <w:rPr>
          <w:rFonts w:hint="eastAsia" w:cs="宋体"/>
          <w:color w:val="auto"/>
          <w:sz w:val="21"/>
          <w:szCs w:val="21"/>
          <w:highlight w:val="none"/>
        </w:rPr>
        <w:t>2.1.4计划工期：总工期为</w:t>
      </w:r>
      <w:r>
        <w:rPr>
          <w:rFonts w:hint="eastAsia" w:cs="宋体"/>
          <w:color w:val="auto"/>
          <w:sz w:val="21"/>
          <w:szCs w:val="21"/>
          <w:highlight w:val="none"/>
          <w:u w:val="single"/>
        </w:rPr>
        <w:t xml:space="preserve"> </w:t>
      </w:r>
      <w:r>
        <w:rPr>
          <w:rFonts w:hint="eastAsia" w:cs="宋体"/>
          <w:color w:val="0000FF"/>
          <w:sz w:val="21"/>
          <w:szCs w:val="21"/>
          <w:highlight w:val="none"/>
          <w:u w:val="single"/>
          <w:lang w:val="en-US" w:eastAsia="zh-CN"/>
        </w:rPr>
        <w:t>710</w:t>
      </w:r>
      <w:r>
        <w:rPr>
          <w:rFonts w:hint="eastAsia" w:cs="宋体"/>
          <w:color w:val="auto"/>
          <w:sz w:val="21"/>
          <w:szCs w:val="21"/>
          <w:highlight w:val="none"/>
          <w:u w:val="single"/>
        </w:rPr>
        <w:t xml:space="preserve"> </w:t>
      </w:r>
      <w:r>
        <w:rPr>
          <w:rFonts w:hint="eastAsia" w:cs="宋体"/>
          <w:color w:val="auto"/>
          <w:sz w:val="21"/>
          <w:szCs w:val="21"/>
          <w:highlight w:val="none"/>
        </w:rPr>
        <w:t>日历天，定额工期</w:t>
      </w:r>
      <w:r>
        <w:rPr>
          <w:rFonts w:hint="eastAsia" w:cs="宋体"/>
          <w:color w:val="auto"/>
          <w:sz w:val="21"/>
          <w:szCs w:val="21"/>
          <w:highlight w:val="none"/>
          <w:u w:val="single"/>
        </w:rPr>
        <w:t xml:space="preserve"> </w:t>
      </w:r>
      <w:r>
        <w:rPr>
          <w:rFonts w:hint="eastAsia" w:cs="宋体"/>
          <w:color w:val="auto"/>
          <w:sz w:val="21"/>
          <w:szCs w:val="21"/>
          <w:highlight w:val="none"/>
          <w:u w:val="single"/>
          <w:lang w:val="en-US" w:eastAsia="zh-CN"/>
        </w:rPr>
        <w:t>763</w:t>
      </w:r>
      <w:r>
        <w:rPr>
          <w:rFonts w:hint="eastAsia" w:cs="宋体"/>
          <w:color w:val="auto"/>
          <w:sz w:val="21"/>
          <w:szCs w:val="21"/>
          <w:highlight w:val="none"/>
          <w:u w:val="single"/>
        </w:rPr>
        <w:t xml:space="preserve"> </w:t>
      </w:r>
      <w:r>
        <w:rPr>
          <w:rFonts w:hint="eastAsia" w:cs="宋体"/>
          <w:color w:val="auto"/>
          <w:sz w:val="21"/>
          <w:szCs w:val="21"/>
          <w:highlight w:val="none"/>
        </w:rPr>
        <w:t>日历天；其中各关键节点的工期要求为</w:t>
      </w:r>
      <w:r>
        <w:rPr>
          <w:rFonts w:hint="eastAsia" w:cs="宋体"/>
          <w:color w:val="auto"/>
          <w:sz w:val="21"/>
          <w:szCs w:val="21"/>
          <w:highlight w:val="none"/>
          <w:u w:val="single"/>
        </w:rPr>
        <w:t xml:space="preserve"> </w:t>
      </w:r>
      <w:r>
        <w:rPr>
          <w:rFonts w:hint="eastAsia" w:cs="宋体"/>
          <w:color w:val="0000FF"/>
          <w:sz w:val="21"/>
          <w:szCs w:val="21"/>
          <w:highlight w:val="none"/>
          <w:u w:val="single"/>
          <w:lang w:eastAsia="zh-CN"/>
        </w:rPr>
        <w:t>详见投标人须知前附表约定。</w:t>
      </w:r>
    </w:p>
    <w:p>
      <w:pPr>
        <w:spacing w:line="360" w:lineRule="auto"/>
        <w:ind w:left="420"/>
        <w:rPr>
          <w:rFonts w:cs="宋体"/>
          <w:color w:val="auto"/>
          <w:kern w:val="1"/>
          <w:sz w:val="21"/>
          <w:szCs w:val="21"/>
          <w:highlight w:val="none"/>
          <w:u w:val="single"/>
        </w:rPr>
      </w:pPr>
      <w:r>
        <w:rPr>
          <w:rFonts w:hint="eastAsia" w:cs="宋体"/>
          <w:color w:val="auto"/>
          <w:sz w:val="21"/>
          <w:szCs w:val="21"/>
          <w:highlight w:val="none"/>
        </w:rPr>
        <w:t>2.1.5质量要求：</w:t>
      </w:r>
      <w:r>
        <w:rPr>
          <w:rFonts w:hint="eastAsia" w:cs="宋体"/>
          <w:color w:val="auto"/>
          <w:kern w:val="1"/>
          <w:sz w:val="21"/>
          <w:szCs w:val="21"/>
          <w:highlight w:val="none"/>
          <w:u w:val="single"/>
        </w:rPr>
        <w:t xml:space="preserve"> </w:t>
      </w:r>
      <w:r>
        <w:rPr>
          <w:rFonts w:hint="eastAsia" w:cs="宋体"/>
          <w:color w:val="0000FF"/>
          <w:kern w:val="1"/>
          <w:sz w:val="21"/>
          <w:szCs w:val="21"/>
          <w:highlight w:val="none"/>
          <w:u w:val="single"/>
          <w:lang w:eastAsia="zh-CN"/>
        </w:rPr>
        <w:t>合格</w:t>
      </w:r>
      <w:r>
        <w:rPr>
          <w:rFonts w:hint="eastAsia" w:cs="宋体"/>
          <w:color w:val="auto"/>
          <w:kern w:val="1"/>
          <w:sz w:val="21"/>
          <w:szCs w:val="21"/>
          <w:highlight w:val="none"/>
          <w:u w:val="single"/>
        </w:rPr>
        <w:t xml:space="preserve">  </w:t>
      </w:r>
    </w:p>
    <w:p>
      <w:pPr>
        <w:spacing w:line="360" w:lineRule="auto"/>
        <w:ind w:firstLine="420"/>
        <w:rPr>
          <w:rFonts w:cs="宋体"/>
          <w:b/>
          <w:color w:val="auto"/>
          <w:kern w:val="1"/>
          <w:sz w:val="21"/>
          <w:szCs w:val="21"/>
          <w:highlight w:val="none"/>
        </w:rPr>
      </w:pPr>
      <w:r>
        <w:rPr>
          <w:rFonts w:hint="eastAsia" w:cs="宋体"/>
          <w:b/>
          <w:color w:val="auto"/>
          <w:kern w:val="1"/>
          <w:sz w:val="21"/>
          <w:szCs w:val="21"/>
          <w:highlight w:val="none"/>
        </w:rPr>
        <w:t>2.2招标范围与内容</w:t>
      </w:r>
    </w:p>
    <w:p>
      <w:pPr>
        <w:spacing w:line="360" w:lineRule="auto"/>
        <w:ind w:firstLine="420" w:firstLineChars="200"/>
        <w:rPr>
          <w:rFonts w:cs="宋体"/>
          <w:color w:val="auto"/>
          <w:kern w:val="1"/>
          <w:sz w:val="21"/>
          <w:szCs w:val="21"/>
          <w:highlight w:val="none"/>
        </w:rPr>
      </w:pPr>
      <w:r>
        <w:rPr>
          <w:rFonts w:hint="eastAsia" w:cs="宋体"/>
          <w:color w:val="auto"/>
          <w:kern w:val="1"/>
          <w:sz w:val="21"/>
          <w:szCs w:val="21"/>
          <w:highlight w:val="none"/>
        </w:rPr>
        <w:t>2.2.1</w:t>
      </w:r>
      <w:r>
        <w:rPr>
          <w:rFonts w:hint="eastAsia" w:cs="宋体"/>
          <w:color w:val="auto"/>
          <w:sz w:val="21"/>
          <w:szCs w:val="21"/>
          <w:highlight w:val="none"/>
        </w:rPr>
        <w:t>工程类别</w:t>
      </w:r>
      <w:r>
        <w:rPr>
          <w:rStyle w:val="74"/>
          <w:rFonts w:hint="eastAsia" w:cs="宋体"/>
          <w:color w:val="auto"/>
          <w:sz w:val="21"/>
          <w:szCs w:val="21"/>
          <w:highlight w:val="none"/>
        </w:rPr>
        <w:footnoteReference w:id="1"/>
      </w:r>
      <w:r>
        <w:rPr>
          <w:rFonts w:hint="eastAsia" w:cs="宋体"/>
          <w:color w:val="auto"/>
          <w:sz w:val="21"/>
          <w:szCs w:val="21"/>
          <w:highlight w:val="none"/>
        </w:rPr>
        <w:t>：</w:t>
      </w:r>
      <w:r>
        <w:rPr>
          <w:rFonts w:hint="eastAsia" w:cs="宋体"/>
          <w:color w:val="auto"/>
          <w:sz w:val="21"/>
          <w:szCs w:val="21"/>
          <w:highlight w:val="none"/>
          <w:u w:val="single"/>
        </w:rPr>
        <w:t xml:space="preserve"> </w:t>
      </w:r>
      <w:r>
        <w:rPr>
          <w:rFonts w:hint="eastAsia" w:cs="宋体"/>
          <w:color w:val="0000FF"/>
          <w:sz w:val="21"/>
          <w:szCs w:val="21"/>
          <w:highlight w:val="none"/>
          <w:u w:val="single"/>
        </w:rPr>
        <w:t>房屋建筑工程</w:t>
      </w:r>
      <w:r>
        <w:rPr>
          <w:rFonts w:hint="eastAsia" w:cs="宋体"/>
          <w:color w:val="auto"/>
          <w:sz w:val="21"/>
          <w:szCs w:val="21"/>
          <w:highlight w:val="none"/>
          <w:u w:val="single"/>
        </w:rPr>
        <w:t xml:space="preserve">  </w:t>
      </w:r>
    </w:p>
    <w:p>
      <w:pPr>
        <w:spacing w:line="360" w:lineRule="auto"/>
        <w:ind w:firstLine="420" w:firstLineChars="200"/>
        <w:rPr>
          <w:rFonts w:cs="宋体"/>
          <w:color w:val="auto"/>
          <w:kern w:val="1"/>
          <w:sz w:val="21"/>
          <w:szCs w:val="21"/>
          <w:highlight w:val="none"/>
        </w:rPr>
      </w:pPr>
      <w:r>
        <w:rPr>
          <w:rFonts w:hint="eastAsia" w:cs="宋体"/>
          <w:color w:val="auto"/>
          <w:kern w:val="1"/>
          <w:sz w:val="21"/>
          <w:szCs w:val="21"/>
          <w:highlight w:val="none"/>
        </w:rPr>
        <w:t>2.2.2</w:t>
      </w:r>
      <w:r>
        <w:rPr>
          <w:rFonts w:hint="eastAsia" w:cs="宋体"/>
          <w:color w:val="auto"/>
          <w:sz w:val="21"/>
          <w:szCs w:val="21"/>
          <w:highlight w:val="none"/>
        </w:rPr>
        <w:t>招标类型</w:t>
      </w:r>
      <w:r>
        <w:rPr>
          <w:rStyle w:val="74"/>
          <w:rFonts w:hint="eastAsia" w:cs="宋体"/>
          <w:color w:val="auto"/>
          <w:sz w:val="21"/>
          <w:szCs w:val="21"/>
          <w:highlight w:val="none"/>
        </w:rPr>
        <w:footnoteReference w:id="2"/>
      </w:r>
      <w:r>
        <w:rPr>
          <w:rFonts w:hint="eastAsia" w:cs="宋体"/>
          <w:color w:val="auto"/>
          <w:sz w:val="21"/>
          <w:szCs w:val="21"/>
          <w:highlight w:val="none"/>
        </w:rPr>
        <w:t>：</w:t>
      </w:r>
      <w:r>
        <w:rPr>
          <w:rFonts w:hint="eastAsia" w:cs="宋体"/>
          <w:color w:val="auto"/>
          <w:sz w:val="21"/>
          <w:szCs w:val="21"/>
          <w:highlight w:val="none"/>
          <w:u w:val="single"/>
        </w:rPr>
        <w:t xml:space="preserve">  </w:t>
      </w:r>
      <w:r>
        <w:rPr>
          <w:rFonts w:hint="eastAsia" w:cs="宋体"/>
          <w:color w:val="0000FF"/>
          <w:sz w:val="21"/>
          <w:szCs w:val="21"/>
          <w:highlight w:val="none"/>
          <w:u w:val="single"/>
        </w:rPr>
        <w:t>施工总承包</w:t>
      </w:r>
      <w:r>
        <w:rPr>
          <w:rFonts w:hint="eastAsia" w:cs="宋体"/>
          <w:color w:val="auto"/>
          <w:sz w:val="21"/>
          <w:szCs w:val="21"/>
          <w:highlight w:val="none"/>
          <w:u w:val="single"/>
        </w:rPr>
        <w:t xml:space="preserve">  </w:t>
      </w:r>
    </w:p>
    <w:p>
      <w:pPr>
        <w:spacing w:line="360" w:lineRule="auto"/>
        <w:ind w:firstLine="420" w:firstLineChars="200"/>
        <w:rPr>
          <w:rFonts w:hint="eastAsia" w:ascii="宋体" w:hAnsi="宋体" w:eastAsia="宋体" w:cs="宋体"/>
          <w:color w:val="0000FF"/>
          <w:sz w:val="21"/>
          <w:szCs w:val="21"/>
          <w:highlight w:val="none"/>
          <w:u w:val="single"/>
        </w:rPr>
      </w:pPr>
      <w:r>
        <w:rPr>
          <w:rFonts w:hint="eastAsia" w:cs="宋体"/>
          <w:color w:val="auto"/>
          <w:kern w:val="1"/>
          <w:sz w:val="21"/>
          <w:szCs w:val="21"/>
          <w:highlight w:val="none"/>
        </w:rPr>
        <w:t>2.2.3招标范围：</w:t>
      </w:r>
      <w:r>
        <w:rPr>
          <w:rFonts w:hint="eastAsia" w:ascii="宋体" w:hAnsi="宋体" w:eastAsia="宋体" w:cs="宋体"/>
          <w:color w:val="0000FF"/>
          <w:sz w:val="21"/>
          <w:szCs w:val="21"/>
          <w:highlight w:val="none"/>
          <w:u w:val="single"/>
        </w:rPr>
        <w:t>包含但不限于：边坡及基坑支护工程、土石方工程、桩基工程、地下室</w:t>
      </w:r>
      <w:r>
        <w:rPr>
          <w:rFonts w:hint="eastAsia" w:cs="宋体"/>
          <w:color w:val="0000FF"/>
          <w:sz w:val="21"/>
          <w:szCs w:val="21"/>
          <w:highlight w:val="none"/>
          <w:u w:val="single"/>
          <w:lang w:val="en-US" w:eastAsia="zh-CN"/>
        </w:rPr>
        <w:t>及上部主体结构</w:t>
      </w:r>
      <w:r>
        <w:rPr>
          <w:rFonts w:hint="eastAsia" w:ascii="宋体" w:hAnsi="宋体" w:eastAsia="宋体" w:cs="宋体"/>
          <w:color w:val="0000FF"/>
          <w:sz w:val="21"/>
          <w:szCs w:val="21"/>
          <w:highlight w:val="none"/>
          <w:u w:val="single"/>
        </w:rPr>
        <w:t>工程、装修工程、</w:t>
      </w:r>
      <w:r>
        <w:rPr>
          <w:rFonts w:hint="eastAsia" w:cs="宋体"/>
          <w:color w:val="0000FF"/>
          <w:sz w:val="21"/>
          <w:szCs w:val="21"/>
          <w:highlight w:val="none"/>
          <w:u w:val="single"/>
          <w:lang w:val="en-US" w:eastAsia="zh-CN"/>
        </w:rPr>
        <w:t>门窗工程</w:t>
      </w:r>
      <w:r>
        <w:rPr>
          <w:rFonts w:hint="eastAsia" w:ascii="宋体" w:hAnsi="宋体" w:eastAsia="宋体" w:cs="宋体"/>
          <w:color w:val="0000FF"/>
          <w:sz w:val="21"/>
          <w:szCs w:val="21"/>
          <w:highlight w:val="none"/>
          <w:u w:val="single"/>
        </w:rPr>
        <w:t>、人防工程、给排水工程、电气工程、消防工程、暖通工程、智能化</w:t>
      </w:r>
      <w:r>
        <w:rPr>
          <w:rFonts w:hint="eastAsia" w:cs="宋体"/>
          <w:color w:val="0000FF"/>
          <w:sz w:val="21"/>
          <w:szCs w:val="21"/>
          <w:highlight w:val="none"/>
          <w:u w:val="single"/>
          <w:lang w:val="en-US" w:eastAsia="zh-CN"/>
        </w:rPr>
        <w:t>预埋</w:t>
      </w:r>
      <w:r>
        <w:rPr>
          <w:rFonts w:hint="eastAsia" w:ascii="宋体" w:hAnsi="宋体" w:eastAsia="宋体" w:cs="宋体"/>
          <w:color w:val="0000FF"/>
          <w:sz w:val="21"/>
          <w:szCs w:val="21"/>
          <w:highlight w:val="none"/>
          <w:u w:val="single"/>
        </w:rPr>
        <w:t>、通信配套工程、柴油发电机组、抗震支架、</w:t>
      </w:r>
      <w:r>
        <w:rPr>
          <w:rFonts w:hint="eastAsia" w:cs="宋体"/>
          <w:color w:val="0000FF"/>
          <w:sz w:val="21"/>
          <w:szCs w:val="21"/>
          <w:highlight w:val="none"/>
          <w:u w:val="single"/>
          <w:lang w:val="en-US" w:eastAsia="zh-CN"/>
        </w:rPr>
        <w:t>厨房设备</w:t>
      </w:r>
      <w:r>
        <w:rPr>
          <w:rFonts w:hint="eastAsia" w:ascii="宋体" w:hAnsi="宋体" w:eastAsia="宋体" w:cs="宋体"/>
          <w:color w:val="0000FF"/>
          <w:sz w:val="21"/>
          <w:szCs w:val="21"/>
          <w:highlight w:val="none"/>
          <w:u w:val="single"/>
        </w:rPr>
        <w:t>、电梯采购及安装、标识标牌工程、室外</w:t>
      </w:r>
      <w:r>
        <w:rPr>
          <w:rFonts w:hint="eastAsia" w:cs="宋体"/>
          <w:color w:val="0000FF"/>
          <w:sz w:val="21"/>
          <w:szCs w:val="21"/>
          <w:highlight w:val="none"/>
          <w:u w:val="single"/>
          <w:lang w:val="en-US" w:eastAsia="zh-CN"/>
        </w:rPr>
        <w:t>综合管网</w:t>
      </w:r>
      <w:r>
        <w:rPr>
          <w:rFonts w:hint="eastAsia" w:ascii="宋体" w:hAnsi="宋体" w:eastAsia="宋体" w:cs="宋体"/>
          <w:color w:val="0000FF"/>
          <w:sz w:val="21"/>
          <w:szCs w:val="21"/>
          <w:highlight w:val="none"/>
          <w:u w:val="single"/>
        </w:rPr>
        <w:t>工程、</w:t>
      </w:r>
      <w:r>
        <w:rPr>
          <w:rFonts w:hint="eastAsia" w:cs="宋体"/>
          <w:color w:val="0000FF"/>
          <w:sz w:val="21"/>
          <w:szCs w:val="21"/>
          <w:highlight w:val="none"/>
          <w:u w:val="single"/>
          <w:lang w:val="en-US" w:eastAsia="zh-CN"/>
        </w:rPr>
        <w:t>室外土建工程</w:t>
      </w:r>
      <w:r>
        <w:rPr>
          <w:rFonts w:hint="eastAsia" w:cs="宋体"/>
          <w:color w:val="0000FF"/>
          <w:kern w:val="1"/>
          <w:sz w:val="21"/>
          <w:szCs w:val="21"/>
          <w:highlight w:val="none"/>
          <w:u w:val="single"/>
        </w:rPr>
        <w:t>（包括但不限于道路工程、景观绿化、海绵城市建设）</w:t>
      </w:r>
      <w:r>
        <w:rPr>
          <w:rFonts w:hint="eastAsia" w:cs="宋体"/>
          <w:color w:val="0000FF"/>
          <w:kern w:val="1"/>
          <w:sz w:val="21"/>
          <w:szCs w:val="21"/>
          <w:highlight w:val="none"/>
          <w:u w:val="single"/>
          <w:lang w:eastAsia="zh-CN"/>
        </w:rPr>
        <w:t>、</w:t>
      </w:r>
      <w:r>
        <w:rPr>
          <w:rFonts w:hint="eastAsia" w:cs="宋体"/>
          <w:color w:val="0000FF"/>
          <w:sz w:val="21"/>
          <w:szCs w:val="21"/>
          <w:highlight w:val="none"/>
          <w:u w:val="single"/>
          <w:lang w:val="en-US" w:eastAsia="zh-CN"/>
        </w:rPr>
        <w:t>永久用水用电工程</w:t>
      </w:r>
      <w:r>
        <w:rPr>
          <w:rFonts w:hint="eastAsia" w:ascii="宋体" w:hAnsi="宋体" w:eastAsia="宋体" w:cs="宋体"/>
          <w:color w:val="0000FF"/>
          <w:sz w:val="21"/>
          <w:szCs w:val="21"/>
          <w:highlight w:val="none"/>
          <w:u w:val="single"/>
        </w:rPr>
        <w:t>及相关配套工程</w:t>
      </w:r>
      <w:r>
        <w:rPr>
          <w:rFonts w:hint="eastAsia" w:cs="宋体"/>
          <w:color w:val="0000FF"/>
          <w:sz w:val="21"/>
          <w:szCs w:val="21"/>
          <w:highlight w:val="none"/>
          <w:u w:val="single"/>
          <w:lang w:val="en-US" w:eastAsia="zh-CN"/>
        </w:rPr>
        <w:t>等</w:t>
      </w:r>
      <w:r>
        <w:rPr>
          <w:rFonts w:hint="eastAsia" w:ascii="宋体" w:hAnsi="宋体" w:eastAsia="宋体" w:cs="宋体"/>
          <w:color w:val="0000FF"/>
          <w:sz w:val="21"/>
          <w:szCs w:val="21"/>
          <w:highlight w:val="none"/>
          <w:u w:val="single"/>
        </w:rPr>
        <w:t>；具体详见施工图纸及工程量清单</w:t>
      </w:r>
      <w:r>
        <w:rPr>
          <w:rFonts w:hint="eastAsia" w:ascii="宋体" w:hAnsi="宋体" w:eastAsia="宋体" w:cs="宋体"/>
          <w:color w:val="0000FF"/>
          <w:sz w:val="21"/>
          <w:szCs w:val="21"/>
          <w:highlight w:val="none"/>
          <w:u w:val="single"/>
          <w:lang w:eastAsia="zh-CN"/>
        </w:rPr>
        <w:t>。</w:t>
      </w:r>
    </w:p>
    <w:p>
      <w:pPr>
        <w:spacing w:line="360" w:lineRule="auto"/>
        <w:ind w:firstLine="420"/>
        <w:rPr>
          <w:rFonts w:cs="宋体"/>
          <w:color w:val="auto"/>
          <w:sz w:val="21"/>
          <w:szCs w:val="21"/>
          <w:highlight w:val="none"/>
          <w:u w:val="single"/>
        </w:rPr>
      </w:pPr>
      <w:r>
        <w:rPr>
          <w:rFonts w:hint="eastAsia" w:cs="宋体"/>
          <w:color w:val="auto"/>
          <w:kern w:val="1"/>
          <w:sz w:val="21"/>
          <w:szCs w:val="21"/>
          <w:highlight w:val="none"/>
        </w:rPr>
        <w:t>2.2.4</w:t>
      </w:r>
      <w:r>
        <w:rPr>
          <w:rFonts w:hint="eastAsia" w:cs="宋体"/>
          <w:color w:val="auto"/>
          <w:sz w:val="21"/>
          <w:szCs w:val="21"/>
          <w:highlight w:val="none"/>
        </w:rPr>
        <w:t>招标内容：</w:t>
      </w:r>
      <w:r>
        <w:rPr>
          <w:rFonts w:hint="eastAsia" w:cs="宋体"/>
          <w:color w:val="auto"/>
          <w:sz w:val="21"/>
          <w:szCs w:val="21"/>
          <w:highlight w:val="none"/>
          <w:u w:val="single"/>
        </w:rPr>
        <w:t xml:space="preserve"> </w:t>
      </w:r>
      <w:r>
        <w:rPr>
          <w:rFonts w:hint="eastAsia" w:ascii="宋体" w:hAnsi="宋体" w:eastAsia="宋体"/>
          <w:color w:val="0000FF"/>
          <w:sz w:val="21"/>
          <w:szCs w:val="21"/>
          <w:highlight w:val="none"/>
          <w:u w:val="single"/>
          <w:lang w:eastAsia="zh-CN"/>
        </w:rPr>
        <w:t>具体详见施工图纸及工程量清单</w:t>
      </w:r>
      <w:r>
        <w:rPr>
          <w:rFonts w:hint="eastAsia" w:cs="宋体"/>
          <w:color w:val="0000FF"/>
          <w:kern w:val="1"/>
          <w:sz w:val="21"/>
          <w:szCs w:val="21"/>
          <w:highlight w:val="none"/>
          <w:u w:val="single"/>
          <w:lang w:eastAsia="zh-CN"/>
        </w:rPr>
        <w:t>。</w:t>
      </w:r>
      <w:r>
        <w:rPr>
          <w:rFonts w:hint="eastAsia"/>
          <w:color w:val="auto"/>
          <w:sz w:val="21"/>
          <w:szCs w:val="21"/>
          <w:highlight w:val="none"/>
          <w:u w:val="single"/>
        </w:rPr>
        <w:t xml:space="preserve">其中，本招标项目 </w:t>
      </w:r>
      <w:r>
        <w:rPr>
          <w:rFonts w:hint="eastAsia"/>
          <w:color w:val="0000FF"/>
          <w:sz w:val="21"/>
          <w:szCs w:val="21"/>
          <w:highlight w:val="none"/>
          <w:u w:val="single"/>
          <w:lang w:eastAsia="zh-CN"/>
        </w:rPr>
        <w:t>不应用</w:t>
      </w:r>
      <w:r>
        <w:rPr>
          <w:rFonts w:hint="eastAsia"/>
          <w:color w:val="auto"/>
          <w:sz w:val="21"/>
          <w:szCs w:val="21"/>
          <w:highlight w:val="none"/>
          <w:u w:val="single"/>
        </w:rPr>
        <w:t xml:space="preserve">  </w:t>
      </w:r>
      <w:r>
        <w:rPr>
          <w:rStyle w:val="74"/>
          <w:color w:val="auto"/>
          <w:sz w:val="21"/>
          <w:szCs w:val="21"/>
          <w:highlight w:val="none"/>
          <w:u w:val="single"/>
        </w:rPr>
        <w:footnoteReference w:id="3"/>
      </w:r>
      <w:r>
        <w:rPr>
          <w:rFonts w:hint="eastAsia"/>
          <w:color w:val="auto"/>
          <w:sz w:val="21"/>
          <w:szCs w:val="21"/>
          <w:highlight w:val="none"/>
          <w:u w:val="single"/>
        </w:rPr>
        <w:t>建筑信息模型（BIM）技术</w:t>
      </w:r>
      <w:r>
        <w:rPr>
          <w:rStyle w:val="74"/>
          <w:color w:val="auto"/>
          <w:sz w:val="21"/>
          <w:szCs w:val="21"/>
          <w:highlight w:val="none"/>
          <w:u w:val="single"/>
        </w:rPr>
        <w:footnoteReference w:id="4"/>
      </w:r>
      <w:r>
        <w:rPr>
          <w:rFonts w:hint="eastAsia"/>
          <w:color w:val="auto"/>
          <w:sz w:val="21"/>
          <w:szCs w:val="21"/>
          <w:highlight w:val="none"/>
        </w:rPr>
        <w:t>。</w:t>
      </w:r>
    </w:p>
    <w:p>
      <w:pPr>
        <w:spacing w:line="360" w:lineRule="auto"/>
        <w:ind w:firstLine="420"/>
        <w:rPr>
          <w:rFonts w:cs="宋体"/>
          <w:color w:val="auto"/>
          <w:sz w:val="21"/>
          <w:szCs w:val="21"/>
          <w:highlight w:val="none"/>
          <w:u w:val="single"/>
        </w:rPr>
      </w:pPr>
      <w:r>
        <w:rPr>
          <w:rFonts w:hint="eastAsia" w:cs="宋体"/>
          <w:color w:val="auto"/>
          <w:sz w:val="21"/>
          <w:szCs w:val="21"/>
          <w:highlight w:val="none"/>
        </w:rPr>
        <w:t>2.2.5标段划分：</w:t>
      </w:r>
      <w:r>
        <w:rPr>
          <w:rFonts w:hint="eastAsia" w:cs="宋体"/>
          <w:color w:val="auto"/>
          <w:sz w:val="21"/>
          <w:szCs w:val="21"/>
          <w:highlight w:val="none"/>
          <w:u w:val="single"/>
        </w:rPr>
        <w:t xml:space="preserve">   </w:t>
      </w:r>
      <w:r>
        <w:rPr>
          <w:rFonts w:hint="eastAsia" w:cs="宋体"/>
          <w:color w:val="0000FF"/>
          <w:sz w:val="21"/>
          <w:szCs w:val="21"/>
          <w:highlight w:val="none"/>
          <w:u w:val="single"/>
          <w:lang w:val="en-US" w:eastAsia="zh-CN"/>
        </w:rPr>
        <w:t>/</w:t>
      </w:r>
      <w:r>
        <w:rPr>
          <w:rFonts w:hint="eastAsia" w:cs="宋体"/>
          <w:color w:val="auto"/>
          <w:sz w:val="21"/>
          <w:szCs w:val="21"/>
          <w:highlight w:val="none"/>
          <w:u w:val="single"/>
        </w:rPr>
        <w:t xml:space="preserve">   </w:t>
      </w:r>
    </w:p>
    <w:p>
      <w:pPr>
        <w:pStyle w:val="4"/>
        <w:spacing w:beforeLines="0" w:afterLines="0"/>
        <w:rPr>
          <w:color w:val="auto"/>
          <w:highlight w:val="none"/>
        </w:rPr>
      </w:pPr>
      <w:bookmarkStart w:id="80" w:name="_Toc152045514"/>
      <w:bookmarkEnd w:id="80"/>
      <w:bookmarkStart w:id="81" w:name="_Toc247527537"/>
      <w:bookmarkEnd w:id="81"/>
      <w:bookmarkStart w:id="82" w:name="_Toc414046695"/>
      <w:bookmarkEnd w:id="82"/>
      <w:bookmarkStart w:id="83" w:name="_Toc152042290"/>
      <w:bookmarkEnd w:id="83"/>
      <w:bookmarkStart w:id="84" w:name="_Toc144974482"/>
      <w:bookmarkEnd w:id="84"/>
      <w:bookmarkStart w:id="85" w:name="_Toc247513936"/>
      <w:bookmarkEnd w:id="85"/>
      <w:bookmarkStart w:id="86" w:name="_Toc61877241"/>
      <w:bookmarkStart w:id="87" w:name="_Toc9970"/>
      <w:bookmarkStart w:id="88" w:name="_Toc26290"/>
      <w:bookmarkStart w:id="89" w:name="_Toc4684"/>
      <w:bookmarkStart w:id="90" w:name="_Toc106703199"/>
      <w:bookmarkStart w:id="91" w:name="_Toc7100"/>
      <w:bookmarkStart w:id="92" w:name="_Toc1752"/>
      <w:bookmarkStart w:id="93" w:name="_Toc5524"/>
      <w:bookmarkStart w:id="94" w:name="_Toc1818"/>
      <w:bookmarkStart w:id="95" w:name="_Toc10048"/>
      <w:bookmarkStart w:id="96" w:name="_Toc30170322"/>
      <w:bookmarkStart w:id="97" w:name="_Toc458439921"/>
      <w:r>
        <w:rPr>
          <w:rFonts w:hint="eastAsia"/>
          <w:color w:val="auto"/>
          <w:highlight w:val="none"/>
        </w:rPr>
        <w:t>3. 投标人资格要求</w:t>
      </w:r>
      <w:bookmarkEnd w:id="86"/>
      <w:bookmarkEnd w:id="87"/>
      <w:bookmarkEnd w:id="88"/>
      <w:bookmarkEnd w:id="89"/>
      <w:bookmarkEnd w:id="90"/>
      <w:bookmarkEnd w:id="91"/>
      <w:bookmarkEnd w:id="92"/>
      <w:bookmarkEnd w:id="93"/>
      <w:bookmarkEnd w:id="94"/>
      <w:bookmarkEnd w:id="95"/>
      <w:bookmarkEnd w:id="96"/>
      <w:bookmarkEnd w:id="97"/>
    </w:p>
    <w:p>
      <w:pPr>
        <w:widowControl/>
        <w:tabs>
          <w:tab w:val="left" w:pos="510"/>
          <w:tab w:val="left" w:pos="900"/>
          <w:tab w:val="left" w:pos="1100"/>
        </w:tabs>
        <w:spacing w:line="360" w:lineRule="auto"/>
        <w:ind w:firstLine="420" w:firstLineChars="200"/>
        <w:jc w:val="left"/>
        <w:rPr>
          <w:rFonts w:cs="宋体"/>
          <w:color w:val="auto"/>
          <w:sz w:val="21"/>
          <w:szCs w:val="21"/>
          <w:highlight w:val="none"/>
        </w:rPr>
      </w:pPr>
      <w:r>
        <w:rPr>
          <w:rFonts w:hint="eastAsia" w:cs="宋体"/>
          <w:color w:val="auto"/>
          <w:kern w:val="1"/>
          <w:sz w:val="21"/>
          <w:szCs w:val="21"/>
          <w:highlight w:val="none"/>
        </w:rPr>
        <w:t>3.1</w:t>
      </w:r>
      <w:r>
        <w:rPr>
          <w:rFonts w:hint="eastAsia" w:cs="宋体"/>
          <w:color w:val="auto"/>
          <w:sz w:val="21"/>
          <w:szCs w:val="21"/>
          <w:highlight w:val="none"/>
        </w:rPr>
        <w:t>本招标项目要求投标人须具备有效的不低于</w:t>
      </w:r>
      <w:r>
        <w:rPr>
          <w:rFonts w:hint="eastAsia" w:cs="宋体"/>
          <w:color w:val="auto"/>
          <w:sz w:val="21"/>
          <w:szCs w:val="21"/>
          <w:highlight w:val="none"/>
          <w:u w:val="single"/>
        </w:rPr>
        <w:t xml:space="preserve"> </w:t>
      </w:r>
      <w:r>
        <w:rPr>
          <w:rFonts w:hint="eastAsia" w:ascii="宋体" w:hAnsi="宋体" w:eastAsia="宋体" w:cs="宋体"/>
          <w:color w:val="0000FF"/>
          <w:sz w:val="21"/>
          <w:szCs w:val="21"/>
          <w:highlight w:val="none"/>
          <w:u w:val="single"/>
          <w:lang w:eastAsia="zh-CN" w:bidi="zh-CN"/>
        </w:rPr>
        <w:t>叁</w:t>
      </w:r>
      <w:r>
        <w:rPr>
          <w:rFonts w:hint="eastAsia" w:ascii="宋体" w:hAnsi="宋体" w:eastAsia="宋体" w:cs="宋体"/>
          <w:color w:val="0000FF"/>
          <w:sz w:val="21"/>
          <w:szCs w:val="21"/>
          <w:highlight w:val="none"/>
          <w:u w:val="single"/>
          <w:lang w:bidi="zh-CN"/>
        </w:rPr>
        <w:t>级建</w:t>
      </w:r>
      <w:r>
        <w:rPr>
          <w:rFonts w:hint="eastAsia" w:cs="宋体"/>
          <w:color w:val="0000FF"/>
          <w:sz w:val="21"/>
          <w:szCs w:val="21"/>
          <w:highlight w:val="none"/>
          <w:u w:val="single"/>
          <w:lang w:bidi="zh-CN"/>
        </w:rPr>
        <w:t>筑工程施工总承包</w:t>
      </w:r>
      <w:r>
        <w:rPr>
          <w:rFonts w:hint="eastAsia" w:cs="宋体"/>
          <w:color w:val="auto"/>
          <w:sz w:val="21"/>
          <w:szCs w:val="21"/>
          <w:highlight w:val="none"/>
          <w:u w:val="single"/>
        </w:rPr>
        <w:t xml:space="preserve"> </w:t>
      </w:r>
      <w:r>
        <w:rPr>
          <w:rFonts w:hint="eastAsia" w:cs="宋体"/>
          <w:color w:val="auto"/>
          <w:sz w:val="21"/>
          <w:szCs w:val="21"/>
          <w:highlight w:val="none"/>
        </w:rPr>
        <w:t>资质</w:t>
      </w:r>
      <w:r>
        <w:rPr>
          <w:rStyle w:val="74"/>
          <w:rFonts w:hint="eastAsia" w:cs="宋体"/>
          <w:color w:val="auto"/>
          <w:sz w:val="21"/>
          <w:szCs w:val="21"/>
          <w:highlight w:val="none"/>
        </w:rPr>
        <w:footnoteReference w:id="5"/>
      </w:r>
      <w:r>
        <w:rPr>
          <w:rFonts w:hint="eastAsia" w:cs="宋体"/>
          <w:color w:val="auto"/>
          <w:sz w:val="21"/>
          <w:szCs w:val="21"/>
          <w:highlight w:val="none"/>
        </w:rPr>
        <w:t>和《施工企业安全生产许可证》。</w:t>
      </w:r>
    </w:p>
    <w:p>
      <w:pPr>
        <w:widowControl/>
        <w:tabs>
          <w:tab w:val="left" w:pos="510"/>
          <w:tab w:val="left" w:pos="900"/>
          <w:tab w:val="left" w:pos="1100"/>
        </w:tabs>
        <w:spacing w:line="360" w:lineRule="auto"/>
        <w:ind w:firstLine="420" w:firstLineChars="200"/>
        <w:jc w:val="left"/>
        <w:rPr>
          <w:rFonts w:cs="宋体"/>
          <w:color w:val="auto"/>
          <w:sz w:val="21"/>
          <w:szCs w:val="21"/>
          <w:highlight w:val="none"/>
        </w:rPr>
      </w:pPr>
      <w:r>
        <w:rPr>
          <w:rFonts w:hint="eastAsia" w:cs="宋体"/>
          <w:color w:val="auto"/>
          <w:sz w:val="21"/>
          <w:szCs w:val="21"/>
          <w:highlight w:val="none"/>
        </w:rPr>
        <w:t>3.2投标人拟担任本招标项目的项目负责人（即项目经理，下同）须具备有效的不低于</w:t>
      </w:r>
      <w:r>
        <w:rPr>
          <w:rFonts w:hint="eastAsia" w:cs="宋体"/>
          <w:color w:val="auto"/>
          <w:sz w:val="21"/>
          <w:szCs w:val="21"/>
          <w:highlight w:val="none"/>
          <w:u w:val="single"/>
        </w:rPr>
        <w:t xml:space="preserve"> </w:t>
      </w:r>
      <w:r>
        <w:rPr>
          <w:rFonts w:hint="eastAsia" w:cs="宋体"/>
          <w:color w:val="0000FF"/>
          <w:sz w:val="21"/>
          <w:szCs w:val="21"/>
          <w:highlight w:val="none"/>
          <w:u w:val="single"/>
          <w:lang w:bidi="zh-CN"/>
        </w:rPr>
        <w:t>壹级建筑工程专业注册建造师执业资格</w:t>
      </w:r>
      <w:r>
        <w:rPr>
          <w:rFonts w:hint="eastAsia" w:cs="宋体"/>
          <w:color w:val="auto"/>
          <w:sz w:val="21"/>
          <w:szCs w:val="21"/>
          <w:highlight w:val="none"/>
          <w:u w:val="single"/>
        </w:rPr>
        <w:t xml:space="preserve"> </w:t>
      </w:r>
      <w:r>
        <w:rPr>
          <w:rFonts w:hint="eastAsia" w:cs="宋体"/>
          <w:color w:val="auto"/>
          <w:sz w:val="21"/>
          <w:szCs w:val="21"/>
          <w:highlight w:val="none"/>
        </w:rPr>
        <w:t>，并具备有效的安全生产考核合格证书（B证）</w:t>
      </w:r>
      <w:r>
        <w:rPr>
          <w:rStyle w:val="74"/>
          <w:rFonts w:hint="eastAsia" w:cs="宋体"/>
          <w:color w:val="auto"/>
          <w:sz w:val="21"/>
          <w:szCs w:val="21"/>
          <w:highlight w:val="none"/>
        </w:rPr>
        <w:footnoteReference w:id="6"/>
      </w:r>
      <w:r>
        <w:rPr>
          <w:rFonts w:hint="eastAsia" w:cs="宋体"/>
          <w:color w:val="auto"/>
          <w:sz w:val="21"/>
          <w:szCs w:val="21"/>
          <w:highlight w:val="none"/>
        </w:rPr>
        <w:t>。</w:t>
      </w:r>
    </w:p>
    <w:p>
      <w:pPr>
        <w:widowControl/>
        <w:tabs>
          <w:tab w:val="left" w:pos="510"/>
          <w:tab w:val="left" w:pos="900"/>
          <w:tab w:val="left" w:pos="1100"/>
        </w:tabs>
        <w:spacing w:line="360" w:lineRule="auto"/>
        <w:ind w:firstLine="420" w:firstLineChars="200"/>
        <w:jc w:val="left"/>
        <w:rPr>
          <w:rFonts w:cs="宋体"/>
          <w:color w:val="auto"/>
          <w:sz w:val="21"/>
          <w:szCs w:val="21"/>
          <w:highlight w:val="none"/>
        </w:rPr>
      </w:pPr>
      <w:r>
        <w:rPr>
          <w:rFonts w:hint="eastAsia" w:cs="宋体"/>
          <w:color w:val="auto"/>
          <w:sz w:val="21"/>
          <w:szCs w:val="21"/>
          <w:highlight w:val="none"/>
        </w:rPr>
        <w:t>3.3投标人的厦门市建筑施工企业信用综合评价结果：</w:t>
      </w:r>
      <w:r>
        <w:rPr>
          <w:rFonts w:hint="eastAsia" w:cs="宋体"/>
          <w:color w:val="auto"/>
          <w:sz w:val="21"/>
          <w:szCs w:val="21"/>
          <w:highlight w:val="none"/>
          <w:u w:val="single" w:color="000000"/>
        </w:rPr>
        <w:t xml:space="preserve"> </w:t>
      </w:r>
      <w:r>
        <w:rPr>
          <w:rFonts w:hint="eastAsia" w:cs="宋体"/>
          <w:color w:val="0000FF"/>
          <w:sz w:val="21"/>
          <w:szCs w:val="21"/>
          <w:highlight w:val="none"/>
          <w:u w:val="single"/>
          <w:lang w:val="en-US" w:eastAsia="zh-CN"/>
        </w:rPr>
        <w:t>/</w:t>
      </w:r>
      <w:r>
        <w:rPr>
          <w:rFonts w:hint="eastAsia" w:cs="宋体"/>
          <w:color w:val="auto"/>
          <w:sz w:val="21"/>
          <w:szCs w:val="21"/>
          <w:highlight w:val="none"/>
        </w:rPr>
        <w:t>年度信用综合评价的信用等级为</w:t>
      </w:r>
      <w:r>
        <w:rPr>
          <w:rFonts w:hint="eastAsia" w:cs="宋体"/>
          <w:color w:val="auto"/>
          <w:sz w:val="21"/>
          <w:szCs w:val="21"/>
          <w:highlight w:val="none"/>
          <w:u w:val="single"/>
          <w:lang w:val="en-US" w:eastAsia="zh-CN"/>
        </w:rPr>
        <w:t>/</w:t>
      </w:r>
      <w:r>
        <w:rPr>
          <w:rFonts w:hint="eastAsia" w:cs="宋体"/>
          <w:color w:val="auto"/>
          <w:sz w:val="21"/>
          <w:szCs w:val="21"/>
          <w:highlight w:val="none"/>
        </w:rPr>
        <w:t>级别。</w:t>
      </w:r>
    </w:p>
    <w:p>
      <w:pPr>
        <w:spacing w:line="360" w:lineRule="auto"/>
        <w:ind w:firstLine="420" w:firstLineChars="200"/>
        <w:rPr>
          <w:rFonts w:cs="宋体"/>
          <w:color w:val="auto"/>
          <w:sz w:val="21"/>
          <w:szCs w:val="21"/>
          <w:highlight w:val="none"/>
          <w:u w:val="single"/>
        </w:rPr>
      </w:pPr>
      <w:r>
        <w:rPr>
          <w:rFonts w:hint="eastAsia" w:cs="宋体"/>
          <w:color w:val="auto"/>
          <w:kern w:val="1"/>
          <w:sz w:val="21"/>
          <w:szCs w:val="21"/>
          <w:highlight w:val="none"/>
        </w:rPr>
        <w:t>3.4投标人</w:t>
      </w:r>
      <w:r>
        <w:rPr>
          <w:rFonts w:hint="eastAsia" w:cs="宋体"/>
          <w:color w:val="auto"/>
          <w:sz w:val="21"/>
          <w:szCs w:val="21"/>
          <w:highlight w:val="none"/>
        </w:rPr>
        <w:t>类似工程业绩要求：</w:t>
      </w:r>
      <w:r>
        <w:rPr>
          <w:rFonts w:hint="eastAsia" w:cs="宋体"/>
          <w:iCs/>
          <w:color w:val="auto"/>
          <w:sz w:val="21"/>
          <w:szCs w:val="21"/>
          <w:highlight w:val="none"/>
          <w:u w:val="single"/>
        </w:rPr>
        <w:t xml:space="preserve"> </w:t>
      </w:r>
      <w:r>
        <w:rPr>
          <w:rFonts w:hint="eastAsia" w:cs="宋体"/>
          <w:iCs/>
          <w:color w:val="0000FF"/>
          <w:sz w:val="21"/>
          <w:szCs w:val="21"/>
          <w:highlight w:val="none"/>
          <w:u w:val="single"/>
          <w:lang w:val="en-US" w:eastAsia="zh-CN"/>
        </w:rPr>
        <w:t>/</w:t>
      </w:r>
      <w:r>
        <w:rPr>
          <w:rFonts w:hint="eastAsia" w:cs="宋体"/>
          <w:color w:val="auto"/>
          <w:sz w:val="21"/>
          <w:szCs w:val="21"/>
          <w:highlight w:val="none"/>
        </w:rPr>
        <w:t>个；“类似工程业绩”是指：自本招标项目在法定媒介发布招标公告之日的前五年内（含本招标项目在法定媒介发布招标公告之日）完成的并经竣工验收合格的</w:t>
      </w:r>
      <w:r>
        <w:rPr>
          <w:rFonts w:hint="eastAsia" w:cs="宋体"/>
          <w:color w:val="auto"/>
          <w:sz w:val="21"/>
          <w:szCs w:val="21"/>
          <w:highlight w:val="none"/>
          <w:u w:val="single"/>
        </w:rPr>
        <w:t xml:space="preserve"> </w:t>
      </w:r>
      <w:r>
        <w:rPr>
          <w:rFonts w:hint="eastAsia" w:cs="宋体"/>
          <w:color w:val="0000FF"/>
          <w:sz w:val="21"/>
          <w:szCs w:val="21"/>
          <w:highlight w:val="none"/>
          <w:u w:val="single"/>
          <w:lang w:val="en-US" w:eastAsia="zh-CN" w:bidi="zh-CN"/>
        </w:rPr>
        <w:t>/</w:t>
      </w:r>
      <w:r>
        <w:rPr>
          <w:rFonts w:hint="eastAsia" w:cs="宋体"/>
          <w:color w:val="auto"/>
          <w:sz w:val="21"/>
          <w:szCs w:val="21"/>
          <w:highlight w:val="none"/>
          <w:u w:val="single"/>
        </w:rPr>
        <w:t xml:space="preserve"> </w:t>
      </w:r>
      <w:r>
        <w:rPr>
          <w:rFonts w:hint="eastAsia" w:cs="宋体"/>
          <w:color w:val="auto"/>
          <w:sz w:val="21"/>
          <w:szCs w:val="21"/>
          <w:highlight w:val="none"/>
        </w:rPr>
        <w:t>。</w:t>
      </w:r>
      <w:r>
        <w:rPr>
          <w:rStyle w:val="74"/>
          <w:rFonts w:cs="宋体"/>
          <w:color w:val="auto"/>
          <w:sz w:val="21"/>
          <w:szCs w:val="21"/>
          <w:highlight w:val="none"/>
        </w:rPr>
        <w:footnoteReference w:id="7"/>
      </w:r>
    </w:p>
    <w:p>
      <w:pPr>
        <w:shd w:val="clear" w:color="000000" w:fill="FFFFFF"/>
        <w:spacing w:line="360" w:lineRule="auto"/>
        <w:ind w:firstLine="488"/>
        <w:rPr>
          <w:rFonts w:cs="宋体"/>
          <w:color w:val="auto"/>
          <w:sz w:val="21"/>
          <w:szCs w:val="21"/>
          <w:highlight w:val="none"/>
        </w:rPr>
      </w:pPr>
      <w:r>
        <w:rPr>
          <w:rFonts w:hint="eastAsia" w:cs="宋体"/>
          <w:color w:val="auto"/>
          <w:sz w:val="21"/>
          <w:szCs w:val="21"/>
          <w:highlight w:val="none"/>
        </w:rPr>
        <w:t>3.5联合体投标</w:t>
      </w:r>
    </w:p>
    <w:p>
      <w:pPr>
        <w:shd w:val="clear" w:color="000000" w:fill="FFFFFF"/>
        <w:spacing w:line="360" w:lineRule="auto"/>
        <w:ind w:firstLine="488"/>
        <w:rPr>
          <w:rFonts w:cs="宋体"/>
          <w:color w:val="auto"/>
          <w:sz w:val="21"/>
          <w:szCs w:val="21"/>
          <w:highlight w:val="none"/>
        </w:rPr>
      </w:pPr>
      <w:r>
        <w:rPr>
          <w:rFonts w:hint="eastAsia" w:cs="宋体"/>
          <w:color w:val="auto"/>
          <w:sz w:val="21"/>
          <w:szCs w:val="21"/>
          <w:highlight w:val="none"/>
        </w:rPr>
        <w:t>3.5.1根据《厦门市建设局关于建筑业招商引进企业营收和业绩促进措施的通知》（厦建筑[2021]138号）规定，本招标项目允许非本市注册的建筑业企业与其在厦注册的子公司【由该企业全资或控股（控股指持股比例大于50%）】或在厦注册的关联企业【关联企业指与该企业最终由同一集团（公司）控股（控股指持股比例大于50%）的企业】的其中一家，组成承担相同承包内容的联合体参与投标，承担相同承包内容的单位组成联合体的，按照资质等级较低的单位确定资质等级。其中：</w:t>
      </w:r>
    </w:p>
    <w:p>
      <w:pPr>
        <w:shd w:val="clear" w:color="000000" w:fill="FFFFFF"/>
        <w:spacing w:line="360" w:lineRule="auto"/>
        <w:ind w:firstLine="488"/>
        <w:rPr>
          <w:rFonts w:cs="宋体"/>
          <w:color w:val="auto"/>
          <w:sz w:val="21"/>
          <w:szCs w:val="21"/>
          <w:highlight w:val="none"/>
        </w:rPr>
      </w:pPr>
      <w:r>
        <w:rPr>
          <w:rFonts w:hint="eastAsia" w:cs="宋体"/>
          <w:color w:val="auto"/>
          <w:sz w:val="21"/>
          <w:szCs w:val="21"/>
          <w:highlight w:val="none"/>
        </w:rPr>
        <w:t>（1）联合体协议书应明确由上述子公司或关联企业作为联合体牵头人。</w:t>
      </w:r>
    </w:p>
    <w:p>
      <w:pPr>
        <w:shd w:val="clear" w:color="000000" w:fill="FFFFFF"/>
        <w:spacing w:line="360" w:lineRule="auto"/>
        <w:ind w:firstLine="488"/>
        <w:rPr>
          <w:rFonts w:cs="宋体"/>
          <w:color w:val="auto"/>
          <w:sz w:val="21"/>
          <w:szCs w:val="21"/>
          <w:highlight w:val="none"/>
        </w:rPr>
      </w:pPr>
      <w:r>
        <w:rPr>
          <w:rFonts w:hint="eastAsia" w:cs="宋体"/>
          <w:color w:val="auto"/>
          <w:sz w:val="21"/>
          <w:szCs w:val="21"/>
          <w:highlight w:val="none"/>
        </w:rPr>
        <w:t>（2）联合体协议书应明确联合体投标人的业绩以联合体牵头人或联合体其余成员的业绩为准。前述业绩指投标人须知前附表附录1第2项所要求的类似工程业绩。</w:t>
      </w:r>
    </w:p>
    <w:p>
      <w:pPr>
        <w:shd w:val="clear" w:color="000000" w:fill="FFFFFF"/>
        <w:spacing w:line="360" w:lineRule="auto"/>
        <w:ind w:firstLine="488"/>
        <w:rPr>
          <w:rFonts w:cs="宋体"/>
          <w:color w:val="auto"/>
          <w:sz w:val="21"/>
          <w:szCs w:val="21"/>
          <w:highlight w:val="none"/>
        </w:rPr>
      </w:pPr>
      <w:r>
        <w:rPr>
          <w:rFonts w:hint="eastAsia" w:cs="宋体"/>
          <w:color w:val="auto"/>
          <w:sz w:val="21"/>
          <w:szCs w:val="21"/>
          <w:highlight w:val="none"/>
        </w:rPr>
        <w:t>（3）联合体协议书应明确联合体投标人的信用以联合体牵头人或联合体其余成员的信用为准。前述信用指投标人须知前附表附录1第3项所要求的厦门市建筑施工企业信用综合评价结果（包括信用等级和综合得分）和投标人须知前附表附录1第5项第2条所要求的福建省建筑施工企业信用综合评价分值。</w:t>
      </w:r>
    </w:p>
    <w:p>
      <w:pPr>
        <w:shd w:val="clear" w:color="000000" w:fill="FFFFFF"/>
        <w:spacing w:line="360" w:lineRule="auto"/>
        <w:ind w:firstLine="488"/>
        <w:rPr>
          <w:rFonts w:cs="宋体"/>
          <w:color w:val="auto"/>
          <w:sz w:val="21"/>
          <w:szCs w:val="21"/>
          <w:highlight w:val="none"/>
        </w:rPr>
      </w:pPr>
      <w:r>
        <w:rPr>
          <w:rFonts w:hint="eastAsia" w:cs="宋体"/>
          <w:color w:val="auto"/>
          <w:sz w:val="21"/>
          <w:szCs w:val="21"/>
          <w:highlight w:val="none"/>
        </w:rPr>
        <w:t>（4）联合体投标人应在投标文件中提交联合体各方之间的母子公司或关联企业关系的证明资料。</w:t>
      </w:r>
    </w:p>
    <w:p>
      <w:pPr>
        <w:shd w:val="clear" w:color="000000" w:fill="FFFFFF"/>
        <w:spacing w:line="360" w:lineRule="auto"/>
        <w:ind w:firstLine="488"/>
        <w:rPr>
          <w:rFonts w:cs="宋体"/>
          <w:color w:val="auto"/>
          <w:sz w:val="21"/>
          <w:szCs w:val="21"/>
          <w:highlight w:val="none"/>
        </w:rPr>
      </w:pPr>
      <w:r>
        <w:rPr>
          <w:rFonts w:hint="eastAsia" w:cs="宋体"/>
          <w:color w:val="auto"/>
          <w:sz w:val="21"/>
          <w:szCs w:val="21"/>
          <w:highlight w:val="none"/>
        </w:rPr>
        <w:t>3.5.2本招标项目</w:t>
      </w:r>
      <w:r>
        <w:rPr>
          <w:rFonts w:hint="eastAsia" w:cs="宋体"/>
          <w:color w:val="auto"/>
          <w:sz w:val="21"/>
          <w:szCs w:val="21"/>
          <w:highlight w:val="none"/>
          <w:u w:val="single"/>
        </w:rPr>
        <w:t xml:space="preserve"> </w:t>
      </w:r>
      <w:r>
        <w:rPr>
          <w:rFonts w:hint="eastAsia" w:cs="宋体"/>
          <w:color w:val="0000FF"/>
          <w:sz w:val="21"/>
          <w:szCs w:val="21"/>
          <w:highlight w:val="none"/>
          <w:u w:val="single"/>
          <w:lang w:bidi="zh-CN"/>
        </w:rPr>
        <w:t>不接受</w:t>
      </w:r>
      <w:r>
        <w:rPr>
          <w:rFonts w:hint="eastAsia" w:cs="宋体"/>
          <w:color w:val="auto"/>
          <w:sz w:val="21"/>
          <w:szCs w:val="21"/>
          <w:highlight w:val="none"/>
          <w:u w:val="single"/>
        </w:rPr>
        <w:t xml:space="preserve">  </w:t>
      </w:r>
      <w:r>
        <w:rPr>
          <w:rStyle w:val="74"/>
          <w:rFonts w:cs="宋体"/>
          <w:color w:val="auto"/>
          <w:sz w:val="21"/>
          <w:szCs w:val="21"/>
          <w:highlight w:val="none"/>
          <w:u w:val="single"/>
        </w:rPr>
        <w:footnoteReference w:id="8"/>
      </w:r>
      <w:r>
        <w:rPr>
          <w:rFonts w:hint="eastAsia" w:cs="宋体"/>
          <w:color w:val="auto"/>
          <w:sz w:val="21"/>
          <w:szCs w:val="21"/>
          <w:highlight w:val="none"/>
        </w:rPr>
        <w:t>除3.5.1项情形以外的联合体投标。招标人接受联合体投标的，自愿组成联合体的应由</w:t>
      </w:r>
      <w:r>
        <w:rPr>
          <w:rFonts w:hint="eastAsia" w:cs="宋体"/>
          <w:color w:val="auto"/>
          <w:sz w:val="21"/>
          <w:szCs w:val="21"/>
          <w:highlight w:val="none"/>
          <w:u w:val="single"/>
        </w:rPr>
        <w:t xml:space="preserve">  </w:t>
      </w:r>
      <w:r>
        <w:rPr>
          <w:rFonts w:hint="eastAsia" w:cs="宋体"/>
          <w:color w:val="0000FF"/>
          <w:sz w:val="21"/>
          <w:szCs w:val="21"/>
          <w:highlight w:val="none"/>
          <w:u w:val="single"/>
          <w:lang w:val="en-US" w:eastAsia="zh-CN"/>
        </w:rPr>
        <w:t>/</w:t>
      </w:r>
      <w:r>
        <w:rPr>
          <w:rFonts w:hint="eastAsia" w:cs="宋体"/>
          <w:color w:val="auto"/>
          <w:sz w:val="21"/>
          <w:szCs w:val="21"/>
          <w:highlight w:val="none"/>
          <w:u w:val="single"/>
        </w:rPr>
        <w:t xml:space="preserve">  </w:t>
      </w:r>
      <w:r>
        <w:rPr>
          <w:rFonts w:hint="eastAsia" w:cs="宋体"/>
          <w:color w:val="auto"/>
          <w:sz w:val="21"/>
          <w:szCs w:val="21"/>
          <w:highlight w:val="none"/>
        </w:rPr>
        <w:t>为牵头人，联合体投标人成员数量不得超过</w:t>
      </w:r>
      <w:r>
        <w:rPr>
          <w:rFonts w:hint="eastAsia" w:cs="宋体"/>
          <w:color w:val="auto"/>
          <w:sz w:val="21"/>
          <w:szCs w:val="21"/>
          <w:highlight w:val="none"/>
          <w:u w:val="single"/>
        </w:rPr>
        <w:t xml:space="preserve"> </w:t>
      </w:r>
      <w:r>
        <w:rPr>
          <w:rFonts w:hint="eastAsia" w:cs="宋体"/>
          <w:color w:val="0000FF"/>
          <w:sz w:val="21"/>
          <w:szCs w:val="21"/>
          <w:highlight w:val="none"/>
          <w:u w:val="single"/>
          <w:lang w:val="en-US" w:eastAsia="zh-CN"/>
        </w:rPr>
        <w:t>/</w:t>
      </w:r>
      <w:r>
        <w:rPr>
          <w:rFonts w:hint="eastAsia" w:cs="宋体"/>
          <w:color w:val="auto"/>
          <w:sz w:val="21"/>
          <w:szCs w:val="21"/>
          <w:highlight w:val="none"/>
          <w:u w:val="single"/>
        </w:rPr>
        <w:t xml:space="preserve"> </w:t>
      </w:r>
      <w:r>
        <w:rPr>
          <w:rFonts w:hint="eastAsia" w:cs="宋体"/>
          <w:color w:val="auto"/>
          <w:sz w:val="21"/>
          <w:szCs w:val="21"/>
          <w:highlight w:val="none"/>
        </w:rPr>
        <w:t>家，且各方应具备其所承担招标项目承包内容的相应资质条件；承担相同承包内容的单位组成联合体的，按照资质等级较低的单位确定资质等级。</w:t>
      </w:r>
    </w:p>
    <w:p>
      <w:pPr>
        <w:widowControl/>
        <w:tabs>
          <w:tab w:val="left" w:pos="510"/>
          <w:tab w:val="left" w:pos="900"/>
          <w:tab w:val="left" w:pos="1100"/>
        </w:tabs>
        <w:adjustRightInd w:val="0"/>
        <w:spacing w:line="360" w:lineRule="auto"/>
        <w:ind w:firstLine="420" w:firstLineChars="200"/>
        <w:jc w:val="left"/>
        <w:textAlignment w:val="baseline"/>
        <w:rPr>
          <w:rFonts w:cs="宋体"/>
          <w:color w:val="auto"/>
          <w:sz w:val="21"/>
          <w:szCs w:val="21"/>
          <w:highlight w:val="none"/>
        </w:rPr>
      </w:pPr>
      <w:bookmarkStart w:id="98" w:name="_Toc247527538"/>
      <w:bookmarkEnd w:id="98"/>
      <w:bookmarkStart w:id="99" w:name="_Toc144974483"/>
      <w:bookmarkEnd w:id="99"/>
      <w:bookmarkStart w:id="100" w:name="_Toc152042291"/>
      <w:bookmarkEnd w:id="100"/>
      <w:bookmarkStart w:id="101" w:name="_Toc247513937"/>
      <w:bookmarkEnd w:id="101"/>
      <w:bookmarkStart w:id="102" w:name="_Toc414046696"/>
      <w:bookmarkEnd w:id="102"/>
      <w:bookmarkStart w:id="103" w:name="_Toc152045515"/>
      <w:bookmarkEnd w:id="103"/>
      <w:bookmarkStart w:id="104" w:name="_Toc11193"/>
      <w:bookmarkStart w:id="105" w:name="_Toc30170323"/>
      <w:bookmarkStart w:id="106" w:name="_Toc458439922"/>
      <w:bookmarkStart w:id="107" w:name="_Toc23024"/>
      <w:r>
        <w:rPr>
          <w:rFonts w:hint="eastAsia" w:cs="宋体"/>
          <w:color w:val="auto"/>
          <w:sz w:val="21"/>
          <w:szCs w:val="21"/>
          <w:highlight w:val="none"/>
        </w:rPr>
        <w:t>3.6各投标人均可就本招标项目中所有标段投标，但最多允许中标</w:t>
      </w:r>
      <w:r>
        <w:rPr>
          <w:rFonts w:hint="eastAsia" w:cs="宋体"/>
          <w:color w:val="auto"/>
          <w:sz w:val="21"/>
          <w:szCs w:val="21"/>
          <w:highlight w:val="none"/>
          <w:u w:val="single"/>
        </w:rPr>
        <w:t>　</w:t>
      </w:r>
      <w:r>
        <w:rPr>
          <w:rFonts w:hint="eastAsia" w:cs="宋体"/>
          <w:color w:val="0000FF"/>
          <w:sz w:val="21"/>
          <w:szCs w:val="21"/>
          <w:highlight w:val="none"/>
          <w:u w:val="single"/>
          <w:lang w:val="en-US" w:eastAsia="zh-CN"/>
        </w:rPr>
        <w:t>/</w:t>
      </w:r>
      <w:r>
        <w:rPr>
          <w:rFonts w:hint="eastAsia" w:cs="宋体"/>
          <w:color w:val="auto"/>
          <w:sz w:val="21"/>
          <w:szCs w:val="21"/>
          <w:highlight w:val="none"/>
          <w:u w:val="single"/>
        </w:rPr>
        <w:t>　</w:t>
      </w:r>
      <w:r>
        <w:rPr>
          <w:rFonts w:hint="eastAsia" w:cs="宋体"/>
          <w:color w:val="auto"/>
          <w:sz w:val="21"/>
          <w:szCs w:val="21"/>
          <w:highlight w:val="none"/>
        </w:rPr>
        <w:t>（具体数量）个标段。</w:t>
      </w:r>
    </w:p>
    <w:p>
      <w:pPr>
        <w:widowControl/>
        <w:tabs>
          <w:tab w:val="left" w:pos="510"/>
          <w:tab w:val="left" w:pos="900"/>
          <w:tab w:val="left" w:pos="1100"/>
        </w:tabs>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3.7其他资格要求详见招标文件，本招标项目采用资格后审方式对投标人的资格进行审查。</w:t>
      </w:r>
    </w:p>
    <w:p>
      <w:pPr>
        <w:widowControl/>
        <w:tabs>
          <w:tab w:val="left" w:pos="510"/>
          <w:tab w:val="left" w:pos="900"/>
          <w:tab w:val="left" w:pos="1100"/>
        </w:tabs>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3.8本招标项目不要求投标人在招投标期间缴纳农民工工资保证金。</w:t>
      </w:r>
    </w:p>
    <w:p>
      <w:pPr>
        <w:pStyle w:val="58"/>
        <w:rPr>
          <w:color w:val="auto"/>
          <w:highlight w:val="none"/>
        </w:rPr>
      </w:pPr>
      <w:r>
        <w:rPr>
          <w:rFonts w:hint="eastAsia" w:ascii="宋体" w:hAnsi="宋体" w:cs="宋体"/>
          <w:color w:val="auto"/>
          <w:kern w:val="0"/>
          <w:szCs w:val="21"/>
          <w:highlight w:val="none"/>
        </w:rPr>
        <w:t>3.9 本</w:t>
      </w:r>
      <w:r>
        <w:rPr>
          <w:rFonts w:hint="eastAsia" w:cs="宋体"/>
          <w:color w:val="auto"/>
          <w:szCs w:val="21"/>
          <w:highlight w:val="none"/>
        </w:rPr>
        <w:t>招标项目不要求中标人在项目所在地设立分（子）公司，中标人应当依法履行纳税义务。</w:t>
      </w:r>
    </w:p>
    <w:p>
      <w:pPr>
        <w:pStyle w:val="4"/>
        <w:spacing w:beforeLines="0" w:afterLines="0"/>
        <w:rPr>
          <w:color w:val="auto"/>
          <w:highlight w:val="none"/>
        </w:rPr>
      </w:pPr>
      <w:bookmarkStart w:id="108" w:name="_Toc22341"/>
      <w:bookmarkStart w:id="109" w:name="_Toc18284"/>
      <w:bookmarkStart w:id="110" w:name="_Toc2832"/>
      <w:bookmarkStart w:id="111" w:name="_Toc30860"/>
      <w:bookmarkStart w:id="112" w:name="_Toc106703200"/>
      <w:bookmarkStart w:id="113" w:name="_Toc61877242"/>
      <w:bookmarkStart w:id="114" w:name="_Toc30187"/>
      <w:bookmarkStart w:id="115" w:name="_Toc31047"/>
      <w:r>
        <w:rPr>
          <w:rFonts w:hint="eastAsia"/>
          <w:color w:val="auto"/>
          <w:highlight w:val="none"/>
        </w:rPr>
        <w:t>4. 招标文件的获取</w:t>
      </w:r>
      <w:bookmarkEnd w:id="104"/>
      <w:bookmarkEnd w:id="105"/>
      <w:bookmarkEnd w:id="106"/>
      <w:bookmarkEnd w:id="107"/>
      <w:bookmarkEnd w:id="108"/>
      <w:bookmarkEnd w:id="109"/>
      <w:bookmarkEnd w:id="110"/>
      <w:bookmarkEnd w:id="111"/>
      <w:bookmarkEnd w:id="112"/>
      <w:bookmarkEnd w:id="113"/>
      <w:bookmarkEnd w:id="114"/>
      <w:bookmarkEnd w:id="115"/>
    </w:p>
    <w:p>
      <w:pPr>
        <w:spacing w:line="360" w:lineRule="auto"/>
        <w:ind w:firstLine="420"/>
        <w:rPr>
          <w:rFonts w:cs="宋体"/>
          <w:color w:val="auto"/>
          <w:sz w:val="21"/>
          <w:szCs w:val="21"/>
          <w:highlight w:val="none"/>
        </w:rPr>
      </w:pPr>
      <w:r>
        <w:rPr>
          <w:rFonts w:hint="eastAsia" w:cs="宋体"/>
          <w:color w:val="auto"/>
          <w:sz w:val="21"/>
          <w:szCs w:val="21"/>
          <w:highlight w:val="none"/>
        </w:rPr>
        <w:t>凡有意参加投标者，请于</w:t>
      </w:r>
      <w:r>
        <w:rPr>
          <w:rFonts w:hint="eastAsia" w:cs="宋体"/>
          <w:color w:val="0000FF"/>
          <w:sz w:val="21"/>
          <w:szCs w:val="21"/>
          <w:highlight w:val="none"/>
          <w:u w:val="single"/>
          <w:lang w:val="en-US" w:eastAsia="zh-CN" w:bidi="zh-CN"/>
        </w:rPr>
        <w:t>2024</w:t>
      </w:r>
      <w:r>
        <w:rPr>
          <w:rFonts w:hint="eastAsia" w:cs="宋体"/>
          <w:color w:val="auto"/>
          <w:sz w:val="21"/>
          <w:szCs w:val="21"/>
          <w:highlight w:val="none"/>
          <w:u w:val="single"/>
        </w:rPr>
        <w:t xml:space="preserve"> </w:t>
      </w:r>
      <w:r>
        <w:rPr>
          <w:rFonts w:hint="eastAsia" w:cs="宋体"/>
          <w:color w:val="auto"/>
          <w:sz w:val="21"/>
          <w:szCs w:val="21"/>
          <w:highlight w:val="none"/>
        </w:rPr>
        <w:t>年</w:t>
      </w:r>
      <w:r>
        <w:rPr>
          <w:rFonts w:hint="eastAsia" w:cs="宋体"/>
          <w:color w:val="auto"/>
          <w:sz w:val="21"/>
          <w:szCs w:val="21"/>
          <w:highlight w:val="none"/>
          <w:u w:val="single"/>
        </w:rPr>
        <w:t xml:space="preserve">    </w:t>
      </w:r>
      <w:r>
        <w:rPr>
          <w:rFonts w:hint="eastAsia" w:cs="宋体"/>
          <w:color w:val="auto"/>
          <w:sz w:val="21"/>
          <w:szCs w:val="21"/>
          <w:highlight w:val="none"/>
        </w:rPr>
        <w:t>月</w:t>
      </w:r>
      <w:r>
        <w:rPr>
          <w:rFonts w:hint="eastAsia" w:cs="宋体"/>
          <w:color w:val="auto"/>
          <w:sz w:val="21"/>
          <w:szCs w:val="21"/>
          <w:highlight w:val="none"/>
          <w:u w:val="single"/>
        </w:rPr>
        <w:t xml:space="preserve">    </w:t>
      </w:r>
      <w:r>
        <w:rPr>
          <w:rFonts w:hint="eastAsia" w:cs="宋体"/>
          <w:color w:val="auto"/>
          <w:sz w:val="21"/>
          <w:szCs w:val="21"/>
          <w:highlight w:val="none"/>
        </w:rPr>
        <w:t>日</w:t>
      </w:r>
      <w:r>
        <w:rPr>
          <w:rFonts w:hint="eastAsia" w:cs="宋体"/>
          <w:color w:val="auto"/>
          <w:sz w:val="21"/>
          <w:szCs w:val="21"/>
          <w:highlight w:val="none"/>
          <w:u w:val="single"/>
        </w:rPr>
        <w:t xml:space="preserve">   </w:t>
      </w:r>
      <w:r>
        <w:rPr>
          <w:rFonts w:hint="eastAsia" w:cs="宋体"/>
          <w:color w:val="auto"/>
          <w:sz w:val="21"/>
          <w:szCs w:val="21"/>
          <w:highlight w:val="none"/>
        </w:rPr>
        <w:t>时</w:t>
      </w:r>
      <w:r>
        <w:rPr>
          <w:rFonts w:hint="eastAsia" w:cs="宋体"/>
          <w:color w:val="auto"/>
          <w:sz w:val="21"/>
          <w:szCs w:val="21"/>
          <w:highlight w:val="none"/>
          <w:u w:val="single"/>
        </w:rPr>
        <w:t xml:space="preserve">   </w:t>
      </w:r>
      <w:r>
        <w:rPr>
          <w:rFonts w:hint="eastAsia" w:cs="宋体"/>
          <w:color w:val="auto"/>
          <w:sz w:val="21"/>
          <w:szCs w:val="21"/>
          <w:highlight w:val="none"/>
        </w:rPr>
        <w:t>分</w:t>
      </w:r>
      <w:r>
        <w:rPr>
          <w:rFonts w:hint="eastAsia" w:cs="宋体"/>
          <w:color w:val="auto"/>
          <w:sz w:val="21"/>
          <w:szCs w:val="21"/>
          <w:highlight w:val="none"/>
          <w:u w:val="single"/>
        </w:rPr>
        <w:t xml:space="preserve">   </w:t>
      </w:r>
      <w:r>
        <w:rPr>
          <w:rFonts w:hint="eastAsia" w:cs="宋体"/>
          <w:color w:val="auto"/>
          <w:sz w:val="21"/>
          <w:szCs w:val="21"/>
          <w:highlight w:val="none"/>
        </w:rPr>
        <w:t>秒至</w:t>
      </w:r>
      <w:r>
        <w:rPr>
          <w:rFonts w:hint="eastAsia" w:cs="宋体"/>
          <w:color w:val="auto"/>
          <w:sz w:val="21"/>
          <w:szCs w:val="21"/>
          <w:highlight w:val="none"/>
          <w:u w:val="single"/>
          <w:lang w:val="en-US" w:eastAsia="zh-CN"/>
        </w:rPr>
        <w:t>2024</w:t>
      </w:r>
      <w:r>
        <w:rPr>
          <w:rFonts w:hint="eastAsia" w:cs="宋体"/>
          <w:color w:val="auto"/>
          <w:sz w:val="21"/>
          <w:szCs w:val="21"/>
          <w:highlight w:val="none"/>
        </w:rPr>
        <w:t>年</w:t>
      </w:r>
      <w:r>
        <w:rPr>
          <w:rFonts w:hint="eastAsia" w:cs="宋体"/>
          <w:color w:val="auto"/>
          <w:sz w:val="21"/>
          <w:szCs w:val="21"/>
          <w:highlight w:val="none"/>
          <w:u w:val="single"/>
        </w:rPr>
        <w:t xml:space="preserve">    </w:t>
      </w:r>
      <w:r>
        <w:rPr>
          <w:rFonts w:hint="eastAsia" w:cs="宋体"/>
          <w:color w:val="auto"/>
          <w:sz w:val="21"/>
          <w:szCs w:val="21"/>
          <w:highlight w:val="none"/>
        </w:rPr>
        <w:t>月</w:t>
      </w:r>
      <w:r>
        <w:rPr>
          <w:rFonts w:hint="eastAsia" w:cs="宋体"/>
          <w:color w:val="auto"/>
          <w:sz w:val="21"/>
          <w:szCs w:val="21"/>
          <w:highlight w:val="none"/>
          <w:u w:val="single"/>
        </w:rPr>
        <w:t xml:space="preserve">    </w:t>
      </w:r>
      <w:r>
        <w:rPr>
          <w:rFonts w:hint="eastAsia" w:cs="宋体"/>
          <w:color w:val="auto"/>
          <w:sz w:val="21"/>
          <w:szCs w:val="21"/>
          <w:highlight w:val="none"/>
        </w:rPr>
        <w:t>日</w:t>
      </w:r>
      <w:r>
        <w:rPr>
          <w:rFonts w:hint="eastAsia" w:cs="宋体"/>
          <w:color w:val="auto"/>
          <w:sz w:val="21"/>
          <w:szCs w:val="21"/>
          <w:highlight w:val="none"/>
          <w:u w:val="single"/>
        </w:rPr>
        <w:t xml:space="preserve">   </w:t>
      </w:r>
      <w:r>
        <w:rPr>
          <w:rFonts w:hint="eastAsia" w:cs="宋体"/>
          <w:color w:val="auto"/>
          <w:sz w:val="21"/>
          <w:szCs w:val="21"/>
          <w:highlight w:val="none"/>
        </w:rPr>
        <w:t>时</w:t>
      </w:r>
      <w:r>
        <w:rPr>
          <w:rFonts w:hint="eastAsia" w:cs="宋体"/>
          <w:color w:val="auto"/>
          <w:sz w:val="21"/>
          <w:szCs w:val="21"/>
          <w:highlight w:val="none"/>
          <w:u w:val="single"/>
        </w:rPr>
        <w:t xml:space="preserve">   </w:t>
      </w:r>
      <w:r>
        <w:rPr>
          <w:rFonts w:hint="eastAsia" w:cs="宋体"/>
          <w:color w:val="auto"/>
          <w:sz w:val="21"/>
          <w:szCs w:val="21"/>
          <w:highlight w:val="none"/>
        </w:rPr>
        <w:t>分</w:t>
      </w:r>
      <w:r>
        <w:rPr>
          <w:rFonts w:hint="eastAsia" w:cs="宋体"/>
          <w:color w:val="auto"/>
          <w:sz w:val="21"/>
          <w:szCs w:val="21"/>
          <w:highlight w:val="none"/>
          <w:u w:val="single"/>
        </w:rPr>
        <w:t xml:space="preserve">   </w:t>
      </w:r>
      <w:r>
        <w:rPr>
          <w:rFonts w:hint="eastAsia" w:cs="宋体"/>
          <w:color w:val="auto"/>
          <w:sz w:val="21"/>
          <w:szCs w:val="21"/>
          <w:highlight w:val="none"/>
        </w:rPr>
        <w:t>秒通过</w:t>
      </w:r>
      <w:r>
        <w:rPr>
          <w:rFonts w:hint="eastAsia" w:cs="宋体"/>
          <w:color w:val="0000FF"/>
          <w:sz w:val="21"/>
          <w:szCs w:val="21"/>
          <w:highlight w:val="none"/>
          <w:u w:val="single"/>
          <w:lang w:bidi="zh-CN"/>
        </w:rPr>
        <w:t>厦门市建设工程电子招投标交易平台（ 网 址 ：http://120.41.36.88:9101/xmjy/）</w:t>
      </w:r>
      <w:r>
        <w:rPr>
          <w:rFonts w:hint="eastAsia" w:cs="宋体"/>
          <w:color w:val="auto"/>
          <w:sz w:val="21"/>
          <w:szCs w:val="21"/>
          <w:highlight w:val="none"/>
          <w:u w:val="single"/>
        </w:rPr>
        <w:t xml:space="preserve">  </w:t>
      </w:r>
      <w:r>
        <w:rPr>
          <w:rStyle w:val="74"/>
          <w:rFonts w:hint="eastAsia" w:cs="宋体"/>
          <w:color w:val="auto"/>
          <w:sz w:val="21"/>
          <w:szCs w:val="21"/>
          <w:highlight w:val="none"/>
          <w:u w:val="single"/>
        </w:rPr>
        <w:footnoteReference w:id="9"/>
      </w:r>
      <w:r>
        <w:rPr>
          <w:rFonts w:hint="eastAsia" w:cs="宋体"/>
          <w:color w:val="auto"/>
          <w:sz w:val="21"/>
          <w:szCs w:val="21"/>
          <w:highlight w:val="none"/>
        </w:rPr>
        <w:t>采取无记名方式免费下载电子招标文件等相关资料。本招标项目电子招标文件使用</w:t>
      </w:r>
      <w:r>
        <w:rPr>
          <w:rFonts w:hint="eastAsia" w:cs="宋体"/>
          <w:color w:val="auto"/>
          <w:sz w:val="21"/>
          <w:szCs w:val="21"/>
          <w:highlight w:val="none"/>
          <w:u w:val="single"/>
        </w:rPr>
        <w:t xml:space="preserve"> </w:t>
      </w:r>
      <w:r>
        <w:rPr>
          <w:rFonts w:hint="eastAsia" w:cs="宋体"/>
          <w:color w:val="auto"/>
          <w:sz w:val="21"/>
          <w:szCs w:val="21"/>
          <w:highlight w:val="none"/>
          <w:u w:val="single"/>
          <w:lang w:eastAsia="zh-CN"/>
        </w:rPr>
        <w:t>电子签名系统（版本：最新版本）</w:t>
      </w:r>
      <w:r>
        <w:rPr>
          <w:rFonts w:hint="eastAsia" w:cs="宋体"/>
          <w:color w:val="auto"/>
          <w:sz w:val="21"/>
          <w:szCs w:val="21"/>
          <w:highlight w:val="none"/>
          <w:u w:val="single"/>
        </w:rPr>
        <w:t xml:space="preserve"> </w:t>
      </w:r>
      <w:r>
        <w:rPr>
          <w:rStyle w:val="74"/>
          <w:rFonts w:hint="eastAsia" w:cs="宋体"/>
          <w:color w:val="auto"/>
          <w:sz w:val="21"/>
          <w:szCs w:val="21"/>
          <w:highlight w:val="none"/>
          <w:u w:val="single"/>
        </w:rPr>
        <w:footnoteReference w:id="10"/>
      </w:r>
      <w:r>
        <w:rPr>
          <w:rFonts w:hint="eastAsia" w:cs="宋体"/>
          <w:color w:val="auto"/>
          <w:sz w:val="21"/>
          <w:szCs w:val="21"/>
          <w:highlight w:val="none"/>
        </w:rPr>
        <w:t>打开。投标人获取招标文件后，应检查招标文件的合法有效性，合法有效的招标文件应具有招标人和招标代理机构的电子印章；招标人没有电子印章的，须附</w:t>
      </w:r>
      <w:r>
        <w:rPr>
          <w:rFonts w:hint="eastAsia" w:cs="宋体"/>
          <w:iCs/>
          <w:color w:val="auto"/>
          <w:sz w:val="21"/>
          <w:szCs w:val="21"/>
          <w:highlight w:val="none"/>
        </w:rPr>
        <w:t>招标人对招标代理机构的授权书。</w:t>
      </w:r>
    </w:p>
    <w:p>
      <w:pPr>
        <w:pStyle w:val="4"/>
        <w:spacing w:beforeLines="0" w:afterLines="0"/>
        <w:rPr>
          <w:color w:val="auto"/>
          <w:highlight w:val="none"/>
        </w:rPr>
      </w:pPr>
      <w:bookmarkStart w:id="116" w:name="_Toc152045516"/>
      <w:bookmarkEnd w:id="116"/>
      <w:bookmarkStart w:id="117" w:name="_Toc247527539"/>
      <w:bookmarkEnd w:id="117"/>
      <w:bookmarkStart w:id="118" w:name="_Toc152042292"/>
      <w:bookmarkEnd w:id="118"/>
      <w:bookmarkStart w:id="119" w:name="_Toc247513938"/>
      <w:bookmarkEnd w:id="119"/>
      <w:bookmarkStart w:id="120" w:name="_Toc414046697"/>
      <w:bookmarkEnd w:id="120"/>
      <w:bookmarkStart w:id="121" w:name="_Toc144974484"/>
      <w:bookmarkEnd w:id="121"/>
      <w:bookmarkStart w:id="122" w:name="_Toc506136686"/>
      <w:bookmarkStart w:id="123" w:name="_Toc3427"/>
      <w:bookmarkStart w:id="124" w:name="_Toc7858"/>
      <w:bookmarkStart w:id="125" w:name="_Toc17885"/>
      <w:bookmarkStart w:id="126" w:name="_Toc106703201"/>
      <w:bookmarkStart w:id="127" w:name="_Toc61877243"/>
      <w:bookmarkStart w:id="128" w:name="_Toc1419"/>
      <w:bookmarkStart w:id="129" w:name="_Toc12419"/>
      <w:bookmarkStart w:id="130" w:name="_Toc32363"/>
      <w:bookmarkStart w:id="131" w:name="_Toc30170324"/>
      <w:bookmarkStart w:id="132" w:name="_Toc15891"/>
      <w:bookmarkStart w:id="133" w:name="_Toc19945"/>
      <w:bookmarkStart w:id="134" w:name="_Toc458439923"/>
      <w:r>
        <w:rPr>
          <w:rFonts w:hint="eastAsia"/>
          <w:color w:val="auto"/>
          <w:highlight w:val="none"/>
        </w:rPr>
        <w:t>5. 投标文件的递交</w:t>
      </w:r>
      <w:bookmarkEnd w:id="122"/>
      <w:bookmarkEnd w:id="123"/>
      <w:bookmarkEnd w:id="124"/>
      <w:bookmarkEnd w:id="125"/>
      <w:bookmarkEnd w:id="126"/>
      <w:bookmarkEnd w:id="127"/>
      <w:bookmarkEnd w:id="128"/>
      <w:bookmarkEnd w:id="129"/>
      <w:bookmarkEnd w:id="130"/>
      <w:bookmarkEnd w:id="131"/>
      <w:bookmarkEnd w:id="132"/>
      <w:bookmarkEnd w:id="133"/>
    </w:p>
    <w:p>
      <w:pPr>
        <w:widowControl/>
        <w:tabs>
          <w:tab w:val="left" w:pos="900"/>
          <w:tab w:val="left" w:pos="1100"/>
        </w:tabs>
        <w:spacing w:line="360" w:lineRule="auto"/>
        <w:ind w:firstLine="420" w:firstLineChars="200"/>
        <w:rPr>
          <w:rFonts w:cs="宋体"/>
          <w:color w:val="auto"/>
          <w:sz w:val="21"/>
          <w:szCs w:val="21"/>
          <w:highlight w:val="none"/>
        </w:rPr>
      </w:pPr>
      <w:r>
        <w:rPr>
          <w:rFonts w:hint="eastAsia" w:cs="宋体"/>
          <w:color w:val="auto"/>
          <w:sz w:val="21"/>
          <w:szCs w:val="21"/>
          <w:highlight w:val="none"/>
        </w:rPr>
        <w:t>5.1投标文件递交的截止时间（投标截止时间）：</w:t>
      </w:r>
      <w:r>
        <w:rPr>
          <w:rFonts w:hint="eastAsia" w:cs="宋体"/>
          <w:color w:val="auto"/>
          <w:sz w:val="21"/>
          <w:szCs w:val="21"/>
          <w:highlight w:val="none"/>
          <w:u w:val="single"/>
          <w:lang w:val="en-US" w:eastAsia="zh-CN"/>
        </w:rPr>
        <w:t>2024</w:t>
      </w:r>
      <w:r>
        <w:rPr>
          <w:rFonts w:hint="eastAsia" w:cs="宋体"/>
          <w:color w:val="auto"/>
          <w:sz w:val="21"/>
          <w:szCs w:val="21"/>
          <w:highlight w:val="none"/>
        </w:rPr>
        <w:t>年</w:t>
      </w:r>
      <w:r>
        <w:rPr>
          <w:rFonts w:hint="eastAsia" w:cs="宋体"/>
          <w:color w:val="auto"/>
          <w:sz w:val="21"/>
          <w:szCs w:val="21"/>
          <w:highlight w:val="none"/>
          <w:u w:val="single"/>
        </w:rPr>
        <w:t xml:space="preserve">   </w:t>
      </w:r>
      <w:r>
        <w:rPr>
          <w:rFonts w:hint="eastAsia" w:cs="宋体"/>
          <w:color w:val="auto"/>
          <w:sz w:val="21"/>
          <w:szCs w:val="21"/>
          <w:highlight w:val="none"/>
        </w:rPr>
        <w:t>月</w:t>
      </w:r>
      <w:r>
        <w:rPr>
          <w:rFonts w:hint="eastAsia" w:cs="宋体"/>
          <w:color w:val="auto"/>
          <w:sz w:val="21"/>
          <w:szCs w:val="21"/>
          <w:highlight w:val="none"/>
          <w:u w:val="single"/>
        </w:rPr>
        <w:t xml:space="preserve">    </w:t>
      </w:r>
      <w:r>
        <w:rPr>
          <w:rFonts w:hint="eastAsia" w:cs="宋体"/>
          <w:color w:val="auto"/>
          <w:sz w:val="21"/>
          <w:szCs w:val="21"/>
          <w:highlight w:val="none"/>
        </w:rPr>
        <w:t>日</w:t>
      </w:r>
      <w:r>
        <w:rPr>
          <w:rFonts w:hint="eastAsia" w:cs="宋体"/>
          <w:color w:val="auto"/>
          <w:sz w:val="21"/>
          <w:szCs w:val="21"/>
          <w:highlight w:val="none"/>
          <w:u w:val="single"/>
        </w:rPr>
        <w:t xml:space="preserve">    </w:t>
      </w:r>
      <w:r>
        <w:rPr>
          <w:rFonts w:hint="eastAsia" w:cs="宋体"/>
          <w:color w:val="auto"/>
          <w:sz w:val="21"/>
          <w:szCs w:val="21"/>
          <w:highlight w:val="none"/>
        </w:rPr>
        <w:t>时</w:t>
      </w:r>
      <w:r>
        <w:rPr>
          <w:rFonts w:hint="eastAsia" w:cs="宋体"/>
          <w:color w:val="auto"/>
          <w:sz w:val="21"/>
          <w:szCs w:val="21"/>
          <w:highlight w:val="none"/>
          <w:u w:val="single"/>
        </w:rPr>
        <w:t xml:space="preserve">    </w:t>
      </w:r>
      <w:r>
        <w:rPr>
          <w:rFonts w:hint="eastAsia" w:cs="宋体"/>
          <w:color w:val="auto"/>
          <w:sz w:val="21"/>
          <w:szCs w:val="21"/>
          <w:highlight w:val="none"/>
        </w:rPr>
        <w:t>分</w:t>
      </w:r>
      <w:r>
        <w:rPr>
          <w:rFonts w:hint="eastAsia" w:cs="宋体"/>
          <w:color w:val="auto"/>
          <w:sz w:val="21"/>
          <w:szCs w:val="21"/>
          <w:highlight w:val="none"/>
          <w:u w:val="single"/>
        </w:rPr>
        <w:t xml:space="preserve">    </w:t>
      </w:r>
      <w:r>
        <w:rPr>
          <w:rFonts w:hint="eastAsia" w:cs="宋体"/>
          <w:color w:val="auto"/>
          <w:sz w:val="21"/>
          <w:szCs w:val="21"/>
          <w:highlight w:val="none"/>
        </w:rPr>
        <w:t>秒，投标人应在截止时间前通过</w:t>
      </w:r>
      <w:r>
        <w:rPr>
          <w:rFonts w:hint="eastAsia" w:cs="宋体"/>
          <w:color w:val="0000FF"/>
          <w:sz w:val="21"/>
          <w:szCs w:val="21"/>
          <w:highlight w:val="none"/>
          <w:u w:val="single"/>
          <w:lang w:bidi="zh-CN"/>
        </w:rPr>
        <w:t>厦门市建设工程电子招投标交易平台（ 网 址 ：http://120.41.36.88:9101/xmjy/）</w:t>
      </w:r>
      <w:r>
        <w:rPr>
          <w:rStyle w:val="74"/>
          <w:rFonts w:hint="eastAsia" w:cs="宋体"/>
          <w:color w:val="auto"/>
          <w:sz w:val="21"/>
          <w:szCs w:val="21"/>
          <w:highlight w:val="none"/>
          <w:u w:val="single"/>
        </w:rPr>
        <w:footnoteReference w:id="11"/>
      </w:r>
      <w:r>
        <w:rPr>
          <w:rFonts w:hint="eastAsia" w:cs="宋体"/>
          <w:color w:val="auto"/>
          <w:sz w:val="21"/>
          <w:szCs w:val="21"/>
          <w:highlight w:val="none"/>
        </w:rPr>
        <w:t>递交电子投标文件。</w:t>
      </w:r>
    </w:p>
    <w:p>
      <w:pPr>
        <w:widowControl/>
        <w:tabs>
          <w:tab w:val="left" w:pos="900"/>
          <w:tab w:val="left" w:pos="1100"/>
        </w:tabs>
        <w:spacing w:line="360" w:lineRule="auto"/>
        <w:ind w:firstLine="420" w:firstLineChars="200"/>
        <w:rPr>
          <w:rFonts w:cs="宋体"/>
          <w:color w:val="auto"/>
          <w:sz w:val="21"/>
          <w:szCs w:val="21"/>
          <w:highlight w:val="none"/>
        </w:rPr>
      </w:pPr>
      <w:r>
        <w:rPr>
          <w:rFonts w:hint="eastAsia" w:cs="宋体"/>
          <w:color w:val="auto"/>
          <w:sz w:val="21"/>
          <w:szCs w:val="21"/>
          <w:highlight w:val="none"/>
        </w:rPr>
        <w:t>5.2逾期送达的投标文件，公共资源电子交易平台将予以拒收。　　　　　　　　　</w:t>
      </w:r>
    </w:p>
    <w:p>
      <w:pPr>
        <w:pStyle w:val="4"/>
        <w:spacing w:beforeLines="0" w:afterLines="0"/>
        <w:rPr>
          <w:color w:val="auto"/>
          <w:highlight w:val="none"/>
        </w:rPr>
      </w:pPr>
      <w:bookmarkStart w:id="135" w:name="_Toc106703202"/>
      <w:bookmarkStart w:id="136" w:name="_Toc30170325"/>
      <w:bookmarkStart w:id="137" w:name="_Toc32414"/>
      <w:bookmarkStart w:id="138" w:name="_Toc1855"/>
      <w:bookmarkStart w:id="139" w:name="_Toc13928"/>
      <w:bookmarkStart w:id="140" w:name="_Toc26841"/>
      <w:bookmarkStart w:id="141" w:name="_Toc32680"/>
      <w:bookmarkStart w:id="142" w:name="_Toc11250"/>
      <w:bookmarkStart w:id="143" w:name="_Toc14773"/>
      <w:bookmarkStart w:id="144" w:name="_Toc7076"/>
      <w:bookmarkStart w:id="145" w:name="_Toc61877244"/>
      <w:r>
        <w:rPr>
          <w:rFonts w:hint="eastAsia"/>
          <w:color w:val="auto"/>
          <w:highlight w:val="none"/>
        </w:rPr>
        <w:t>6. 评标办法</w:t>
      </w:r>
      <w:bookmarkEnd w:id="134"/>
      <w:bookmarkEnd w:id="135"/>
      <w:bookmarkEnd w:id="136"/>
      <w:bookmarkEnd w:id="137"/>
      <w:bookmarkEnd w:id="138"/>
      <w:bookmarkEnd w:id="139"/>
      <w:bookmarkEnd w:id="140"/>
      <w:bookmarkEnd w:id="141"/>
      <w:bookmarkEnd w:id="142"/>
      <w:bookmarkEnd w:id="143"/>
      <w:bookmarkEnd w:id="144"/>
      <w:bookmarkEnd w:id="145"/>
    </w:p>
    <w:p>
      <w:pPr>
        <w:tabs>
          <w:tab w:val="left" w:pos="360"/>
        </w:tabs>
        <w:spacing w:line="360" w:lineRule="auto"/>
        <w:ind w:firstLine="420"/>
        <w:rPr>
          <w:rFonts w:hint="eastAsia" w:eastAsia="宋体" w:cs="宋体"/>
          <w:color w:val="auto"/>
          <w:kern w:val="1"/>
          <w:sz w:val="21"/>
          <w:szCs w:val="21"/>
          <w:highlight w:val="none"/>
          <w:u w:val="single"/>
          <w:lang w:val="en-US" w:eastAsia="zh-CN"/>
        </w:rPr>
      </w:pPr>
      <w:r>
        <w:rPr>
          <w:rFonts w:hint="eastAsia" w:cs="宋体"/>
          <w:color w:val="auto"/>
          <w:kern w:val="1"/>
          <w:sz w:val="21"/>
          <w:szCs w:val="21"/>
          <w:highlight w:val="none"/>
        </w:rPr>
        <w:t>本招标项目采用的评标办法：</w:t>
      </w:r>
      <w:r>
        <w:rPr>
          <w:rFonts w:hint="eastAsia" w:cs="宋体"/>
          <w:color w:val="auto"/>
          <w:kern w:val="1"/>
          <w:sz w:val="21"/>
          <w:szCs w:val="21"/>
          <w:highlight w:val="none"/>
          <w:u w:val="single"/>
        </w:rPr>
        <w:t>定性评审法（</w:t>
      </w:r>
      <w:r>
        <w:rPr>
          <w:rFonts w:hint="eastAsia" w:ascii="宋体" w:hAnsi="宋体" w:eastAsia="宋体" w:cs="宋体"/>
          <w:color w:val="0000FF"/>
          <w:sz w:val="21"/>
          <w:szCs w:val="21"/>
          <w:highlight w:val="none"/>
          <w:u w:val="single"/>
          <w:lang w:bidi="zh-CN"/>
        </w:rPr>
        <w:t>适用于</w:t>
      </w:r>
      <w:r>
        <w:rPr>
          <w:rFonts w:hint="eastAsia" w:ascii="宋体" w:hAnsi="宋体" w:eastAsia="宋体" w:cs="宋体"/>
          <w:color w:val="0000FF"/>
          <w:sz w:val="21"/>
          <w:szCs w:val="21"/>
          <w:highlight w:val="none"/>
          <w:u w:val="single"/>
          <w:lang w:bidi="zh-CN"/>
        </w:rPr>
        <w:footnoteReference w:id="12"/>
      </w:r>
      <w:r>
        <w:rPr>
          <w:rFonts w:hint="eastAsia" w:ascii="宋体" w:hAnsi="宋体" w:eastAsia="宋体" w:cs="宋体"/>
          <w:color w:val="0000FF"/>
          <w:sz w:val="21"/>
          <w:szCs w:val="21"/>
          <w:highlight w:val="none"/>
          <w:u w:val="single"/>
          <w:lang w:bidi="zh-CN"/>
        </w:rPr>
        <w:t>：适用于其他项目</w:t>
      </w:r>
      <w:r>
        <w:rPr>
          <w:rFonts w:hint="eastAsia" w:cs="宋体"/>
          <w:color w:val="auto"/>
          <w:kern w:val="1"/>
          <w:sz w:val="21"/>
          <w:szCs w:val="21"/>
          <w:highlight w:val="none"/>
          <w:u w:val="single"/>
        </w:rPr>
        <w:t>）</w:t>
      </w:r>
      <w:r>
        <w:rPr>
          <w:rFonts w:hint="eastAsia" w:cs="宋体"/>
          <w:color w:val="auto"/>
          <w:kern w:val="1"/>
          <w:sz w:val="21"/>
          <w:szCs w:val="21"/>
          <w:highlight w:val="none"/>
          <w:u w:val="single"/>
          <w:lang w:eastAsia="zh-CN"/>
        </w:rPr>
        <w:t>。</w:t>
      </w:r>
    </w:p>
    <w:p>
      <w:pPr>
        <w:pStyle w:val="4"/>
        <w:spacing w:beforeLines="0" w:afterLines="0"/>
        <w:rPr>
          <w:color w:val="auto"/>
          <w:highlight w:val="none"/>
        </w:rPr>
      </w:pPr>
      <w:bookmarkStart w:id="146" w:name="_Toc4207"/>
      <w:bookmarkStart w:id="147" w:name="_Toc61877245"/>
      <w:bookmarkStart w:id="148" w:name="_Toc27194"/>
      <w:bookmarkStart w:id="149" w:name="_Toc106703203"/>
      <w:bookmarkStart w:id="150" w:name="_Toc12599"/>
      <w:bookmarkStart w:id="151" w:name="_Toc26687"/>
      <w:bookmarkStart w:id="152" w:name="_Toc232"/>
      <w:bookmarkStart w:id="153" w:name="_Toc30072"/>
      <w:r>
        <w:rPr>
          <w:rFonts w:hint="eastAsia"/>
          <w:color w:val="auto"/>
          <w:highlight w:val="none"/>
        </w:rPr>
        <w:t>7. 定标票决办法</w:t>
      </w:r>
      <w:bookmarkEnd w:id="146"/>
      <w:bookmarkEnd w:id="147"/>
      <w:bookmarkEnd w:id="148"/>
      <w:bookmarkEnd w:id="149"/>
      <w:bookmarkEnd w:id="150"/>
      <w:bookmarkEnd w:id="151"/>
      <w:bookmarkEnd w:id="152"/>
      <w:bookmarkEnd w:id="153"/>
    </w:p>
    <w:p>
      <w:pPr>
        <w:spacing w:line="360" w:lineRule="auto"/>
        <w:ind w:firstLine="420" w:firstLineChars="200"/>
        <w:rPr>
          <w:rFonts w:cs="宋体"/>
          <w:color w:val="auto"/>
          <w:sz w:val="21"/>
          <w:szCs w:val="21"/>
          <w:highlight w:val="none"/>
        </w:rPr>
      </w:pPr>
      <w:r>
        <w:rPr>
          <w:rFonts w:hint="eastAsia" w:cs="宋体"/>
          <w:color w:val="auto"/>
          <w:kern w:val="1"/>
          <w:sz w:val="21"/>
          <w:szCs w:val="21"/>
          <w:highlight w:val="none"/>
        </w:rPr>
        <w:t>本招标项目采用的定标票决办法</w:t>
      </w:r>
      <w:r>
        <w:rPr>
          <w:rStyle w:val="74"/>
          <w:rFonts w:hint="eastAsia" w:cs="宋体"/>
          <w:color w:val="auto"/>
          <w:kern w:val="1"/>
          <w:sz w:val="21"/>
          <w:szCs w:val="21"/>
          <w:highlight w:val="none"/>
        </w:rPr>
        <w:footnoteReference w:id="13"/>
      </w:r>
      <w:r>
        <w:rPr>
          <w:rFonts w:hint="eastAsia" w:cs="宋体"/>
          <w:color w:val="auto"/>
          <w:kern w:val="1"/>
          <w:sz w:val="21"/>
          <w:szCs w:val="21"/>
          <w:highlight w:val="none"/>
        </w:rPr>
        <w:t>：</w:t>
      </w:r>
      <w:r>
        <w:rPr>
          <w:rFonts w:hint="eastAsia" w:cs="宋体"/>
          <w:color w:val="auto"/>
          <w:kern w:val="1"/>
          <w:sz w:val="21"/>
          <w:szCs w:val="21"/>
          <w:highlight w:val="none"/>
          <w:u w:val="single"/>
        </w:rPr>
        <w:t xml:space="preserve">  </w:t>
      </w:r>
      <w:r>
        <w:rPr>
          <w:rFonts w:hint="eastAsia" w:ascii="宋体" w:hAnsi="宋体" w:eastAsia="宋体" w:cs="宋体"/>
          <w:color w:val="0000FF"/>
          <w:sz w:val="21"/>
          <w:szCs w:val="21"/>
          <w:highlight w:val="none"/>
          <w:u w:val="single"/>
          <w:lang w:bidi="zh-CN"/>
        </w:rPr>
        <w:t>票决</w:t>
      </w:r>
      <w:r>
        <w:rPr>
          <w:rFonts w:hint="eastAsia" w:cs="宋体"/>
          <w:color w:val="0000FF"/>
          <w:sz w:val="21"/>
          <w:szCs w:val="21"/>
          <w:highlight w:val="none"/>
          <w:u w:val="single"/>
          <w:lang w:val="en-US" w:bidi="zh-CN"/>
        </w:rPr>
        <w:t>低价定标</w:t>
      </w:r>
      <w:r>
        <w:rPr>
          <w:rFonts w:hint="eastAsia" w:ascii="宋体" w:hAnsi="宋体" w:eastAsia="宋体" w:cs="宋体"/>
          <w:color w:val="0000FF"/>
          <w:sz w:val="21"/>
          <w:szCs w:val="21"/>
          <w:highlight w:val="none"/>
          <w:u w:val="single"/>
          <w:lang w:bidi="zh-CN"/>
        </w:rPr>
        <w:t>法</w:t>
      </w:r>
      <w:r>
        <w:rPr>
          <w:rFonts w:hint="eastAsia" w:cs="宋体"/>
          <w:color w:val="auto"/>
          <w:kern w:val="1"/>
          <w:sz w:val="21"/>
          <w:szCs w:val="21"/>
          <w:highlight w:val="none"/>
          <w:u w:val="single"/>
        </w:rPr>
        <w:t xml:space="preserve">  </w:t>
      </w:r>
    </w:p>
    <w:p>
      <w:pPr>
        <w:pStyle w:val="4"/>
        <w:spacing w:beforeLines="0" w:afterLines="0"/>
        <w:rPr>
          <w:color w:val="auto"/>
          <w:highlight w:val="none"/>
        </w:rPr>
      </w:pPr>
      <w:bookmarkStart w:id="154" w:name="_Toc247513939"/>
      <w:bookmarkEnd w:id="154"/>
      <w:bookmarkStart w:id="155" w:name="_Toc157499355"/>
      <w:bookmarkEnd w:id="155"/>
      <w:bookmarkStart w:id="156" w:name="_Toc414046698"/>
      <w:bookmarkEnd w:id="156"/>
      <w:bookmarkStart w:id="157" w:name="_Toc247527540"/>
      <w:bookmarkEnd w:id="157"/>
      <w:bookmarkStart w:id="158" w:name="_Toc458439924"/>
      <w:bookmarkStart w:id="159" w:name="_Toc30170326"/>
      <w:bookmarkStart w:id="160" w:name="_Toc25824"/>
      <w:bookmarkStart w:id="161" w:name="_Toc14083"/>
      <w:bookmarkStart w:id="162" w:name="_Toc106703204"/>
      <w:bookmarkStart w:id="163" w:name="_Toc13091"/>
      <w:bookmarkStart w:id="164" w:name="_Toc13192"/>
      <w:bookmarkStart w:id="165" w:name="_Toc9372"/>
      <w:bookmarkStart w:id="166" w:name="_Toc17835"/>
      <w:bookmarkStart w:id="167" w:name="_Toc30"/>
      <w:bookmarkStart w:id="168" w:name="_Toc61877246"/>
      <w:bookmarkStart w:id="169" w:name="_Toc2701"/>
      <w:r>
        <w:rPr>
          <w:rFonts w:hint="eastAsia"/>
          <w:color w:val="auto"/>
          <w:highlight w:val="none"/>
        </w:rPr>
        <w:t xml:space="preserve">8. </w:t>
      </w:r>
      <w:bookmarkEnd w:id="158"/>
      <w:r>
        <w:rPr>
          <w:rFonts w:hint="eastAsia"/>
          <w:color w:val="auto"/>
          <w:highlight w:val="none"/>
        </w:rPr>
        <w:t>投标保证金的递交</w:t>
      </w:r>
      <w:bookmarkEnd w:id="159"/>
      <w:bookmarkEnd w:id="160"/>
      <w:bookmarkEnd w:id="161"/>
      <w:bookmarkEnd w:id="162"/>
      <w:bookmarkEnd w:id="163"/>
      <w:bookmarkEnd w:id="164"/>
      <w:bookmarkEnd w:id="165"/>
      <w:bookmarkEnd w:id="166"/>
      <w:bookmarkEnd w:id="167"/>
      <w:bookmarkEnd w:id="168"/>
      <w:bookmarkEnd w:id="169"/>
    </w:p>
    <w:p>
      <w:pPr>
        <w:widowControl/>
        <w:tabs>
          <w:tab w:val="left" w:pos="900"/>
          <w:tab w:val="left" w:pos="1100"/>
        </w:tabs>
        <w:spacing w:line="360" w:lineRule="auto"/>
        <w:ind w:left="510"/>
        <w:jc w:val="left"/>
        <w:rPr>
          <w:rFonts w:cs="宋体"/>
          <w:color w:val="auto"/>
          <w:sz w:val="21"/>
          <w:szCs w:val="21"/>
          <w:highlight w:val="none"/>
        </w:rPr>
      </w:pPr>
      <w:r>
        <w:rPr>
          <w:rFonts w:hint="eastAsia" w:cs="宋体"/>
          <w:color w:val="auto"/>
          <w:sz w:val="21"/>
          <w:szCs w:val="21"/>
          <w:highlight w:val="none"/>
        </w:rPr>
        <w:t>8.1 投标保证金提交的时间：</w:t>
      </w:r>
      <w:r>
        <w:rPr>
          <w:rFonts w:hint="eastAsia" w:cs="宋体"/>
          <w:color w:val="auto"/>
          <w:sz w:val="21"/>
          <w:szCs w:val="21"/>
          <w:highlight w:val="none"/>
          <w:u w:val="single"/>
        </w:rPr>
        <w:t xml:space="preserve"> </w:t>
      </w:r>
      <w:r>
        <w:rPr>
          <w:rFonts w:hint="eastAsia" w:cs="宋体"/>
          <w:color w:val="0000FF"/>
          <w:sz w:val="21"/>
          <w:szCs w:val="21"/>
          <w:highlight w:val="none"/>
          <w:u w:val="single"/>
          <w:lang w:bidi="zh-CN"/>
        </w:rPr>
        <w:t>投标人应在截标前自行办妥投标保证金手续</w:t>
      </w:r>
      <w:r>
        <w:rPr>
          <w:rFonts w:hint="eastAsia" w:cs="宋体"/>
          <w:sz w:val="21"/>
          <w:szCs w:val="21"/>
          <w:highlight w:val="none"/>
          <w:u w:val="single"/>
        </w:rPr>
        <w:t>；</w:t>
      </w:r>
      <w:r>
        <w:rPr>
          <w:rFonts w:hint="eastAsia" w:cs="宋体"/>
          <w:color w:val="auto"/>
          <w:sz w:val="21"/>
          <w:szCs w:val="21"/>
          <w:highlight w:val="none"/>
          <w:u w:val="single"/>
        </w:rPr>
        <w:t xml:space="preserve"> </w:t>
      </w:r>
    </w:p>
    <w:p>
      <w:pPr>
        <w:widowControl/>
        <w:tabs>
          <w:tab w:val="left" w:pos="900"/>
          <w:tab w:val="left" w:pos="1100"/>
        </w:tabs>
        <w:spacing w:line="360" w:lineRule="auto"/>
        <w:ind w:left="510"/>
        <w:jc w:val="left"/>
        <w:rPr>
          <w:rFonts w:cs="宋体"/>
          <w:color w:val="auto"/>
          <w:sz w:val="21"/>
          <w:szCs w:val="21"/>
          <w:highlight w:val="none"/>
        </w:rPr>
      </w:pPr>
      <w:r>
        <w:rPr>
          <w:rFonts w:hint="eastAsia" w:cs="宋体"/>
          <w:color w:val="auto"/>
          <w:sz w:val="21"/>
          <w:szCs w:val="21"/>
          <w:highlight w:val="none"/>
        </w:rPr>
        <w:t>8.2 投标保证金提交的金额：</w:t>
      </w:r>
      <w:r>
        <w:rPr>
          <w:rFonts w:hint="eastAsia" w:cs="宋体"/>
          <w:color w:val="auto"/>
          <w:sz w:val="21"/>
          <w:szCs w:val="21"/>
          <w:highlight w:val="none"/>
          <w:u w:val="single"/>
        </w:rPr>
        <w:t xml:space="preserve">  </w:t>
      </w:r>
      <w:r>
        <w:rPr>
          <w:rFonts w:hint="eastAsia" w:cs="宋体"/>
          <w:color w:val="0000FF"/>
          <w:sz w:val="21"/>
          <w:szCs w:val="21"/>
          <w:highlight w:val="none"/>
          <w:u w:val="single"/>
          <w:lang w:bidi="zh-CN"/>
        </w:rPr>
        <w:t>80万元</w:t>
      </w:r>
      <w:r>
        <w:rPr>
          <w:rFonts w:hint="eastAsia" w:cs="宋体"/>
          <w:sz w:val="21"/>
          <w:szCs w:val="21"/>
          <w:highlight w:val="none"/>
          <w:u w:val="single"/>
        </w:rPr>
        <w:t>；</w:t>
      </w:r>
      <w:r>
        <w:rPr>
          <w:rFonts w:hint="eastAsia" w:cs="宋体"/>
          <w:color w:val="auto"/>
          <w:sz w:val="21"/>
          <w:szCs w:val="21"/>
          <w:highlight w:val="none"/>
          <w:u w:val="single"/>
        </w:rPr>
        <w:t xml:space="preserve">   </w:t>
      </w:r>
    </w:p>
    <w:p>
      <w:pPr>
        <w:spacing w:line="360" w:lineRule="auto"/>
        <w:ind w:firstLine="420"/>
        <w:rPr>
          <w:rFonts w:cs="宋体"/>
          <w:color w:val="auto"/>
          <w:kern w:val="1"/>
          <w:sz w:val="21"/>
          <w:szCs w:val="21"/>
          <w:highlight w:val="none"/>
        </w:rPr>
      </w:pPr>
      <w:r>
        <w:rPr>
          <w:rFonts w:hint="eastAsia" w:cs="宋体"/>
          <w:color w:val="auto"/>
          <w:sz w:val="21"/>
          <w:szCs w:val="21"/>
          <w:highlight w:val="none"/>
        </w:rPr>
        <w:t xml:space="preserve"> 8.3 投标保证金提交的方式：</w:t>
      </w:r>
      <w:r>
        <w:rPr>
          <w:rFonts w:hint="eastAsia" w:cs="宋体"/>
          <w:color w:val="0000FF"/>
          <w:sz w:val="21"/>
          <w:szCs w:val="21"/>
          <w:highlight w:val="none"/>
          <w:u w:val="single"/>
          <w:lang w:bidi="zh-CN"/>
        </w:rPr>
        <w:t>可</w:t>
      </w:r>
      <w:r>
        <w:rPr>
          <w:rFonts w:hint="eastAsia" w:ascii="宋体" w:hAnsi="宋体" w:eastAsia="宋体" w:cs="宋体"/>
          <w:color w:val="0000FF"/>
          <w:sz w:val="21"/>
          <w:szCs w:val="21"/>
          <w:highlight w:val="none"/>
          <w:u w:val="single"/>
          <w:lang w:bidi="zh-CN"/>
        </w:rPr>
        <w:t>以使用现金、银行保函、担保保函、投标保证保险其中之一形式提交，采用银行保函、担保保函或保证保险等形式提交投标保证金的，应使用电子投标保函。具体详见投标人须知前附表。</w:t>
      </w:r>
    </w:p>
    <w:p>
      <w:pPr>
        <w:pStyle w:val="4"/>
        <w:spacing w:beforeLines="0" w:afterLines="0"/>
        <w:rPr>
          <w:color w:val="auto"/>
          <w:highlight w:val="none"/>
          <w:lang w:val="en-US"/>
        </w:rPr>
      </w:pPr>
      <w:bookmarkStart w:id="170" w:name="_Toc106703205"/>
      <w:bookmarkStart w:id="171" w:name="_Toc10468"/>
      <w:bookmarkStart w:id="172" w:name="_Toc20189"/>
      <w:bookmarkStart w:id="173" w:name="_Toc25972"/>
      <w:bookmarkStart w:id="174" w:name="_Toc13426"/>
      <w:bookmarkStart w:id="175" w:name="_Toc16405"/>
      <w:bookmarkStart w:id="176" w:name="_Toc810"/>
      <w:bookmarkStart w:id="177" w:name="_Toc30170327"/>
      <w:bookmarkStart w:id="178" w:name="_Toc24170"/>
      <w:bookmarkStart w:id="179" w:name="_Toc458439925"/>
      <w:bookmarkStart w:id="180" w:name="_Toc12365"/>
      <w:bookmarkStart w:id="181" w:name="_Toc61877247"/>
      <w:r>
        <w:rPr>
          <w:rFonts w:hint="eastAsia"/>
          <w:color w:val="auto"/>
          <w:highlight w:val="none"/>
          <w:lang w:val="en-US"/>
        </w:rPr>
        <w:t xml:space="preserve">9. </w:t>
      </w:r>
      <w:r>
        <w:rPr>
          <w:rFonts w:hint="eastAsia"/>
          <w:color w:val="auto"/>
          <w:highlight w:val="none"/>
        </w:rPr>
        <w:t>发布招标公告的媒介</w:t>
      </w:r>
      <w:bookmarkEnd w:id="170"/>
      <w:bookmarkEnd w:id="171"/>
      <w:bookmarkEnd w:id="172"/>
      <w:bookmarkEnd w:id="173"/>
      <w:bookmarkEnd w:id="174"/>
      <w:bookmarkEnd w:id="175"/>
      <w:bookmarkEnd w:id="176"/>
      <w:bookmarkEnd w:id="177"/>
      <w:bookmarkEnd w:id="178"/>
      <w:bookmarkEnd w:id="179"/>
      <w:bookmarkEnd w:id="180"/>
      <w:bookmarkEnd w:id="181"/>
    </w:p>
    <w:p>
      <w:pPr>
        <w:spacing w:line="360" w:lineRule="auto"/>
        <w:ind w:firstLine="424"/>
        <w:rPr>
          <w:rFonts w:cs="宋体"/>
          <w:color w:val="auto"/>
          <w:kern w:val="1"/>
          <w:sz w:val="21"/>
          <w:szCs w:val="21"/>
          <w:highlight w:val="none"/>
        </w:rPr>
      </w:pPr>
      <w:r>
        <w:rPr>
          <w:rFonts w:hint="eastAsia" w:cs="宋体"/>
          <w:color w:val="auto"/>
          <w:sz w:val="21"/>
          <w:szCs w:val="21"/>
          <w:highlight w:val="none"/>
        </w:rPr>
        <w:t>本次招标公告同时在</w:t>
      </w:r>
      <w:r>
        <w:rPr>
          <w:rFonts w:hint="eastAsia" w:cs="宋体"/>
          <w:color w:val="auto"/>
          <w:sz w:val="21"/>
          <w:szCs w:val="21"/>
          <w:highlight w:val="none"/>
          <w:u w:val="single"/>
        </w:rPr>
        <w:t>福建省公共资源交易电子公共服务平台（http://ggzyfw.fujian.gov.cn）、中国招标投标公共服务平台上（http://www.cebpubservice.com/）和厦门市公共资源交易网（http://zyjy.as.xm.gov.cn/）</w:t>
      </w:r>
      <w:r>
        <w:rPr>
          <w:rFonts w:hint="eastAsia" w:cs="宋体"/>
          <w:color w:val="auto"/>
          <w:sz w:val="21"/>
          <w:szCs w:val="21"/>
          <w:highlight w:val="none"/>
        </w:rPr>
        <w:t>发布。</w:t>
      </w:r>
    </w:p>
    <w:p>
      <w:pPr>
        <w:pStyle w:val="4"/>
        <w:spacing w:beforeLines="0" w:afterLines="0"/>
        <w:rPr>
          <w:color w:val="auto"/>
          <w:highlight w:val="none"/>
        </w:rPr>
      </w:pPr>
      <w:bookmarkStart w:id="182" w:name="_Toc247513940"/>
      <w:bookmarkEnd w:id="182"/>
      <w:bookmarkStart w:id="183" w:name="_Toc144974485"/>
      <w:bookmarkEnd w:id="183"/>
      <w:bookmarkStart w:id="184" w:name="_Toc152045517"/>
      <w:bookmarkEnd w:id="184"/>
      <w:bookmarkStart w:id="185" w:name="_Toc152042293"/>
      <w:bookmarkEnd w:id="185"/>
      <w:bookmarkStart w:id="186" w:name="_Toc247527541"/>
      <w:bookmarkEnd w:id="186"/>
      <w:bookmarkStart w:id="187" w:name="_Toc414046699"/>
      <w:bookmarkEnd w:id="187"/>
      <w:bookmarkStart w:id="188" w:name="_Toc10677"/>
      <w:bookmarkStart w:id="189" w:name="_Toc26227"/>
      <w:bookmarkStart w:id="190" w:name="_Toc963"/>
      <w:bookmarkStart w:id="191" w:name="_Toc61877248"/>
      <w:bookmarkStart w:id="192" w:name="_Toc30170328"/>
      <w:bookmarkStart w:id="193" w:name="_Toc13500"/>
      <w:bookmarkStart w:id="194" w:name="_Toc10391"/>
      <w:bookmarkStart w:id="195" w:name="_Toc106703206"/>
      <w:bookmarkStart w:id="196" w:name="_Toc28972"/>
      <w:bookmarkStart w:id="197" w:name="_Toc458439926"/>
      <w:bookmarkStart w:id="198" w:name="_Toc7773"/>
      <w:bookmarkStart w:id="199" w:name="_Toc8622"/>
      <w:r>
        <w:rPr>
          <w:rFonts w:hint="eastAsia"/>
          <w:color w:val="auto"/>
          <w:highlight w:val="none"/>
        </w:rPr>
        <w:t>10. 联系方式</w:t>
      </w:r>
      <w:bookmarkEnd w:id="188"/>
      <w:bookmarkEnd w:id="189"/>
      <w:bookmarkEnd w:id="190"/>
      <w:bookmarkEnd w:id="191"/>
      <w:bookmarkEnd w:id="192"/>
      <w:bookmarkEnd w:id="193"/>
      <w:bookmarkEnd w:id="194"/>
      <w:bookmarkEnd w:id="195"/>
      <w:bookmarkEnd w:id="196"/>
      <w:bookmarkEnd w:id="197"/>
      <w:bookmarkEnd w:id="198"/>
      <w:bookmarkEnd w:id="199"/>
    </w:p>
    <w:p>
      <w:pPr>
        <w:spacing w:line="360" w:lineRule="auto"/>
        <w:ind w:firstLine="420" w:firstLineChars="200"/>
        <w:rPr>
          <w:rFonts w:cs="宋体"/>
          <w:color w:val="auto"/>
          <w:sz w:val="21"/>
          <w:szCs w:val="21"/>
          <w:highlight w:val="none"/>
          <w:u w:val="single"/>
        </w:rPr>
      </w:pPr>
      <w:r>
        <w:rPr>
          <w:rFonts w:hint="eastAsia" w:cs="宋体"/>
          <w:color w:val="auto"/>
          <w:kern w:val="1"/>
          <w:sz w:val="21"/>
          <w:szCs w:val="21"/>
          <w:highlight w:val="none"/>
        </w:rPr>
        <w:t>招 标 人：</w:t>
      </w:r>
      <w:r>
        <w:rPr>
          <w:rFonts w:hint="eastAsia" w:cs="宋体"/>
          <w:color w:val="0000FF"/>
          <w:kern w:val="1"/>
          <w:sz w:val="21"/>
          <w:szCs w:val="21"/>
          <w:highlight w:val="none"/>
          <w:u w:val="single"/>
        </w:rPr>
        <w:t>厦门国贸建设开发有限公司</w:t>
      </w:r>
    </w:p>
    <w:p>
      <w:pPr>
        <w:spacing w:line="360" w:lineRule="auto"/>
        <w:ind w:firstLine="420" w:firstLineChars="200"/>
        <w:rPr>
          <w:rFonts w:hint="default" w:eastAsia="宋体" w:cs="宋体"/>
          <w:color w:val="auto"/>
          <w:sz w:val="21"/>
          <w:szCs w:val="21"/>
          <w:highlight w:val="none"/>
          <w:u w:val="single"/>
          <w:lang w:val="en-US" w:eastAsia="zh-CN"/>
        </w:rPr>
      </w:pPr>
      <w:r>
        <w:rPr>
          <w:rFonts w:hint="eastAsia" w:cs="宋体"/>
          <w:color w:val="auto"/>
          <w:kern w:val="1"/>
          <w:sz w:val="21"/>
          <w:szCs w:val="21"/>
          <w:highlight w:val="none"/>
        </w:rPr>
        <w:t>地    址：</w:t>
      </w:r>
      <w:r>
        <w:rPr>
          <w:rFonts w:hint="eastAsia" w:cs="宋体"/>
          <w:color w:val="0000FF"/>
          <w:kern w:val="1"/>
          <w:sz w:val="21"/>
          <w:szCs w:val="21"/>
          <w:highlight w:val="none"/>
          <w:u w:val="single"/>
          <w:lang w:eastAsia="zh-CN"/>
        </w:rPr>
        <w:t>厦门市湖里区国贸中心</w:t>
      </w:r>
      <w:r>
        <w:rPr>
          <w:rFonts w:hint="eastAsia" w:cs="宋体"/>
          <w:color w:val="0000FF"/>
          <w:kern w:val="1"/>
          <w:sz w:val="21"/>
          <w:szCs w:val="21"/>
          <w:highlight w:val="none"/>
          <w:u w:val="single"/>
          <w:lang w:val="en-US" w:eastAsia="zh-CN"/>
        </w:rPr>
        <w:t>B栋25层</w:t>
      </w:r>
    </w:p>
    <w:p>
      <w:pPr>
        <w:spacing w:line="360" w:lineRule="auto"/>
        <w:ind w:firstLine="420" w:firstLineChars="200"/>
        <w:rPr>
          <w:rFonts w:hint="default" w:eastAsia="宋体" w:cs="宋体"/>
          <w:color w:val="auto"/>
          <w:kern w:val="1"/>
          <w:sz w:val="21"/>
          <w:szCs w:val="21"/>
          <w:highlight w:val="none"/>
          <w:u w:val="single"/>
          <w:lang w:val="en-US" w:eastAsia="zh-CN"/>
        </w:rPr>
      </w:pPr>
      <w:r>
        <w:rPr>
          <w:rFonts w:hint="eastAsia" w:cs="宋体"/>
          <w:color w:val="auto"/>
          <w:kern w:val="1"/>
          <w:sz w:val="21"/>
          <w:szCs w:val="21"/>
          <w:highlight w:val="none"/>
        </w:rPr>
        <w:t>邮    编：</w:t>
      </w:r>
      <w:r>
        <w:rPr>
          <w:rFonts w:hint="eastAsia" w:ascii="宋体" w:hAnsi="宋体" w:eastAsia="宋体" w:cs="宋体"/>
          <w:color w:val="0000FF"/>
          <w:kern w:val="1"/>
          <w:sz w:val="21"/>
          <w:szCs w:val="21"/>
          <w:highlight w:val="none"/>
          <w:u w:val="single"/>
          <w:lang w:val="en-US" w:eastAsia="zh-CN"/>
        </w:rPr>
        <w:t>361000</w:t>
      </w:r>
    </w:p>
    <w:p>
      <w:pPr>
        <w:spacing w:line="360" w:lineRule="auto"/>
        <w:ind w:firstLine="458"/>
        <w:rPr>
          <w:rFonts w:hint="default" w:eastAsia="宋体" w:cs="宋体"/>
          <w:color w:val="auto"/>
          <w:kern w:val="1"/>
          <w:sz w:val="21"/>
          <w:szCs w:val="21"/>
          <w:highlight w:val="none"/>
          <w:lang w:val="en-US" w:eastAsia="zh-CN"/>
        </w:rPr>
      </w:pPr>
      <w:r>
        <w:rPr>
          <w:rFonts w:hint="eastAsia" w:cs="宋体"/>
          <w:color w:val="auto"/>
          <w:kern w:val="1"/>
          <w:sz w:val="21"/>
          <w:szCs w:val="21"/>
          <w:highlight w:val="none"/>
        </w:rPr>
        <w:t>联 系 人：</w:t>
      </w:r>
      <w:r>
        <w:rPr>
          <w:rFonts w:hint="eastAsia" w:cs="宋体"/>
          <w:color w:val="0000FF"/>
          <w:kern w:val="1"/>
          <w:sz w:val="21"/>
          <w:szCs w:val="21"/>
          <w:highlight w:val="none"/>
          <w:u w:val="single"/>
          <w:lang w:val="en-US" w:eastAsia="zh-CN"/>
        </w:rPr>
        <w:t>郑工</w:t>
      </w:r>
    </w:p>
    <w:p>
      <w:pPr>
        <w:spacing w:line="360" w:lineRule="auto"/>
        <w:ind w:firstLine="420" w:firstLineChars="200"/>
        <w:rPr>
          <w:rFonts w:hint="default" w:eastAsia="宋体" w:cs="宋体"/>
          <w:color w:val="auto"/>
          <w:kern w:val="1"/>
          <w:sz w:val="21"/>
          <w:szCs w:val="21"/>
          <w:highlight w:val="none"/>
          <w:lang w:val="en-US" w:eastAsia="zh-CN"/>
        </w:rPr>
      </w:pPr>
      <w:r>
        <w:rPr>
          <w:rFonts w:hint="eastAsia" w:cs="宋体"/>
          <w:color w:val="auto"/>
          <w:kern w:val="1"/>
          <w:sz w:val="21"/>
          <w:szCs w:val="21"/>
          <w:highlight w:val="none"/>
        </w:rPr>
        <w:t>电    话：</w:t>
      </w:r>
      <w:r>
        <w:rPr>
          <w:rFonts w:hint="eastAsia" w:cs="宋体"/>
          <w:color w:val="0000FF"/>
          <w:sz w:val="21"/>
          <w:szCs w:val="21"/>
          <w:highlight w:val="none"/>
          <w:u w:val="single"/>
          <w:lang w:val="en-US" w:eastAsia="zh-CN"/>
        </w:rPr>
        <w:t xml:space="preserve"> </w:t>
      </w:r>
      <w:r>
        <w:rPr>
          <w:rFonts w:hint="eastAsia" w:cs="宋体"/>
          <w:color w:val="0000FF"/>
          <w:sz w:val="21"/>
          <w:szCs w:val="21"/>
          <w:highlight w:val="none"/>
          <w:u w:val="single"/>
        </w:rPr>
        <w:t>0592-6510003</w:t>
      </w:r>
    </w:p>
    <w:p>
      <w:pPr>
        <w:spacing w:line="360" w:lineRule="auto"/>
        <w:ind w:firstLine="420" w:firstLineChars="200"/>
        <w:rPr>
          <w:rFonts w:cs="宋体"/>
          <w:color w:val="auto"/>
          <w:kern w:val="1"/>
          <w:sz w:val="21"/>
          <w:szCs w:val="21"/>
          <w:highlight w:val="none"/>
        </w:rPr>
      </w:pPr>
      <w:r>
        <w:rPr>
          <w:rFonts w:hint="eastAsia" w:cs="宋体"/>
          <w:color w:val="auto"/>
          <w:kern w:val="1"/>
          <w:sz w:val="21"/>
          <w:szCs w:val="21"/>
          <w:highlight w:val="none"/>
        </w:rPr>
        <w:t>传    真：</w:t>
      </w:r>
      <w:r>
        <w:rPr>
          <w:rFonts w:hint="eastAsia" w:cs="宋体"/>
          <w:color w:val="auto"/>
          <w:kern w:val="1"/>
          <w:sz w:val="21"/>
          <w:szCs w:val="21"/>
          <w:highlight w:val="none"/>
          <w:u w:val="single"/>
        </w:rPr>
        <w:t xml:space="preserve"> </w:t>
      </w:r>
      <w:r>
        <w:rPr>
          <w:rFonts w:hint="eastAsia" w:cs="宋体"/>
          <w:color w:val="auto"/>
          <w:sz w:val="21"/>
          <w:szCs w:val="21"/>
          <w:highlight w:val="none"/>
          <w:u w:val="single"/>
        </w:rPr>
        <w:t xml:space="preserve">  </w:t>
      </w:r>
      <w:r>
        <w:rPr>
          <w:rFonts w:hint="eastAsia" w:cs="宋体"/>
          <w:color w:val="0000FF"/>
          <w:sz w:val="21"/>
          <w:szCs w:val="21"/>
          <w:highlight w:val="none"/>
          <w:u w:val="single"/>
          <w:lang w:val="en-US" w:eastAsia="zh-CN"/>
        </w:rPr>
        <w:t>无</w:t>
      </w:r>
      <w:r>
        <w:rPr>
          <w:rFonts w:hint="eastAsia" w:cs="宋体"/>
          <w:color w:val="auto"/>
          <w:sz w:val="21"/>
          <w:szCs w:val="21"/>
          <w:highlight w:val="none"/>
          <w:u w:val="single"/>
        </w:rPr>
        <w:t xml:space="preserve"> </w:t>
      </w:r>
    </w:p>
    <w:p>
      <w:pPr>
        <w:spacing w:line="360" w:lineRule="auto"/>
        <w:ind w:firstLine="420" w:firstLineChars="200"/>
        <w:rPr>
          <w:rFonts w:cs="宋体"/>
          <w:color w:val="auto"/>
          <w:kern w:val="1"/>
          <w:sz w:val="21"/>
          <w:szCs w:val="21"/>
          <w:highlight w:val="none"/>
          <w:u w:val="single"/>
        </w:rPr>
      </w:pPr>
      <w:r>
        <w:rPr>
          <w:rFonts w:hint="eastAsia" w:cs="宋体"/>
          <w:color w:val="auto"/>
          <w:kern w:val="1"/>
          <w:sz w:val="21"/>
          <w:szCs w:val="21"/>
          <w:highlight w:val="none"/>
        </w:rPr>
        <w:t>电子邮箱：</w:t>
      </w:r>
      <w:r>
        <w:rPr>
          <w:rFonts w:hint="eastAsia" w:cs="宋体"/>
          <w:color w:val="auto"/>
          <w:kern w:val="1"/>
          <w:sz w:val="21"/>
          <w:szCs w:val="21"/>
          <w:highlight w:val="none"/>
          <w:u w:val="single"/>
        </w:rPr>
        <w:t xml:space="preserve">         </w:t>
      </w:r>
    </w:p>
    <w:p>
      <w:pPr>
        <w:spacing w:line="360" w:lineRule="auto"/>
        <w:ind w:firstLine="420" w:firstLineChars="200"/>
        <w:rPr>
          <w:rFonts w:hint="eastAsia" w:eastAsia="宋体" w:cs="宋体"/>
          <w:color w:val="auto"/>
          <w:kern w:val="1"/>
          <w:sz w:val="21"/>
          <w:szCs w:val="21"/>
          <w:highlight w:val="none"/>
          <w:lang w:eastAsia="zh-CN"/>
        </w:rPr>
      </w:pPr>
      <w:r>
        <w:rPr>
          <w:rFonts w:hint="eastAsia" w:cs="宋体"/>
          <w:color w:val="auto"/>
          <w:kern w:val="1"/>
          <w:sz w:val="21"/>
          <w:szCs w:val="21"/>
          <w:highlight w:val="none"/>
        </w:rPr>
        <w:t>招标代理机构：</w:t>
      </w:r>
      <w:r>
        <w:rPr>
          <w:rFonts w:hint="eastAsia" w:cs="宋体"/>
          <w:color w:val="0000FF"/>
          <w:sz w:val="21"/>
          <w:szCs w:val="21"/>
          <w:highlight w:val="none"/>
          <w:u w:val="single"/>
          <w:lang w:eastAsia="zh-CN"/>
        </w:rPr>
        <w:t>福州信源工程造价咨询有限公司</w:t>
      </w:r>
    </w:p>
    <w:p>
      <w:pPr>
        <w:spacing w:line="360" w:lineRule="auto"/>
        <w:ind w:firstLine="420" w:firstLineChars="200"/>
        <w:rPr>
          <w:rFonts w:hint="default" w:eastAsia="宋体" w:cs="宋体"/>
          <w:color w:val="auto"/>
          <w:sz w:val="21"/>
          <w:szCs w:val="21"/>
          <w:highlight w:val="none"/>
          <w:u w:val="single"/>
          <w:lang w:val="en-US" w:eastAsia="zh-CN"/>
        </w:rPr>
      </w:pPr>
      <w:r>
        <w:rPr>
          <w:rFonts w:hint="eastAsia" w:cs="宋体"/>
          <w:color w:val="auto"/>
          <w:kern w:val="1"/>
          <w:sz w:val="21"/>
          <w:szCs w:val="21"/>
          <w:highlight w:val="none"/>
        </w:rPr>
        <w:t>地    址：</w:t>
      </w:r>
      <w:r>
        <w:rPr>
          <w:rFonts w:hint="eastAsia" w:ascii="宋体" w:cs="宋体"/>
          <w:color w:val="0000FF"/>
          <w:sz w:val="21"/>
          <w:szCs w:val="21"/>
          <w:highlight w:val="none"/>
          <w:u w:val="single"/>
        </w:rPr>
        <w:t>厦门市海沧区海沧大道文广集团902</w:t>
      </w:r>
    </w:p>
    <w:p>
      <w:pPr>
        <w:spacing w:line="360" w:lineRule="auto"/>
        <w:ind w:firstLine="420" w:firstLineChars="200"/>
        <w:rPr>
          <w:rFonts w:hint="default" w:eastAsia="宋体" w:cs="宋体"/>
          <w:color w:val="auto"/>
          <w:kern w:val="1"/>
          <w:sz w:val="21"/>
          <w:szCs w:val="21"/>
          <w:highlight w:val="none"/>
          <w:u w:val="single"/>
          <w:lang w:val="en-US" w:eastAsia="zh-CN"/>
        </w:rPr>
      </w:pPr>
      <w:r>
        <w:rPr>
          <w:rFonts w:hint="eastAsia" w:cs="宋体"/>
          <w:color w:val="auto"/>
          <w:kern w:val="1"/>
          <w:sz w:val="21"/>
          <w:szCs w:val="21"/>
          <w:highlight w:val="none"/>
        </w:rPr>
        <w:t>邮    编：</w:t>
      </w:r>
      <w:r>
        <w:rPr>
          <w:rFonts w:hint="eastAsia" w:cs="宋体"/>
          <w:color w:val="0000FF"/>
          <w:sz w:val="21"/>
          <w:szCs w:val="21"/>
          <w:highlight w:val="none"/>
          <w:u w:val="single"/>
          <w:lang w:val="en-US" w:eastAsia="zh-CN"/>
        </w:rPr>
        <w:t>361026</w:t>
      </w:r>
    </w:p>
    <w:p>
      <w:pPr>
        <w:spacing w:line="360" w:lineRule="auto"/>
        <w:ind w:firstLine="420" w:firstLineChars="200"/>
        <w:rPr>
          <w:rFonts w:hint="eastAsia" w:eastAsia="宋体" w:cs="宋体"/>
          <w:color w:val="auto"/>
          <w:sz w:val="21"/>
          <w:szCs w:val="21"/>
          <w:highlight w:val="none"/>
          <w:u w:val="single"/>
          <w:lang w:eastAsia="zh-CN"/>
        </w:rPr>
      </w:pPr>
      <w:r>
        <w:rPr>
          <w:rFonts w:hint="eastAsia" w:cs="宋体"/>
          <w:color w:val="auto"/>
          <w:kern w:val="1"/>
          <w:sz w:val="21"/>
          <w:szCs w:val="21"/>
          <w:highlight w:val="none"/>
        </w:rPr>
        <w:t>联 系 人：</w:t>
      </w:r>
      <w:r>
        <w:rPr>
          <w:rFonts w:hint="eastAsia" w:cs="宋体"/>
          <w:color w:val="0000FF"/>
          <w:sz w:val="21"/>
          <w:szCs w:val="21"/>
          <w:highlight w:val="none"/>
          <w:u w:val="single"/>
          <w:lang w:eastAsia="zh-CN"/>
        </w:rPr>
        <w:t>颜嘉颖</w:t>
      </w:r>
    </w:p>
    <w:p>
      <w:pPr>
        <w:spacing w:line="360" w:lineRule="auto"/>
        <w:ind w:firstLine="420" w:firstLineChars="200"/>
        <w:rPr>
          <w:rFonts w:hint="default" w:eastAsia="宋体" w:cs="宋体"/>
          <w:color w:val="auto"/>
          <w:sz w:val="21"/>
          <w:szCs w:val="21"/>
          <w:highlight w:val="none"/>
          <w:u w:val="single"/>
          <w:lang w:val="en-US" w:eastAsia="zh-CN"/>
        </w:rPr>
      </w:pPr>
      <w:r>
        <w:rPr>
          <w:rFonts w:hint="eastAsia" w:cs="宋体"/>
          <w:color w:val="auto"/>
          <w:kern w:val="1"/>
          <w:sz w:val="21"/>
          <w:szCs w:val="21"/>
          <w:highlight w:val="none"/>
        </w:rPr>
        <w:t>电    话：</w:t>
      </w:r>
      <w:r>
        <w:rPr>
          <w:rFonts w:hint="eastAsia" w:cs="宋体"/>
          <w:color w:val="0000FF"/>
          <w:sz w:val="21"/>
          <w:szCs w:val="21"/>
          <w:highlight w:val="none"/>
          <w:u w:val="single"/>
          <w:lang w:val="en-US" w:eastAsia="zh-CN"/>
        </w:rPr>
        <w:t>15980877331</w:t>
      </w:r>
    </w:p>
    <w:p>
      <w:pPr>
        <w:spacing w:line="360" w:lineRule="auto"/>
        <w:ind w:firstLine="420" w:firstLineChars="200"/>
        <w:rPr>
          <w:rFonts w:hint="default" w:eastAsia="宋体" w:cs="宋体"/>
          <w:color w:val="auto"/>
          <w:sz w:val="21"/>
          <w:szCs w:val="21"/>
          <w:highlight w:val="none"/>
          <w:u w:val="single"/>
          <w:lang w:val="en-US" w:eastAsia="zh-CN"/>
        </w:rPr>
      </w:pPr>
      <w:r>
        <w:rPr>
          <w:rFonts w:hint="eastAsia" w:cs="宋体"/>
          <w:color w:val="auto"/>
          <w:kern w:val="1"/>
          <w:sz w:val="21"/>
          <w:szCs w:val="21"/>
          <w:highlight w:val="none"/>
        </w:rPr>
        <w:t>传    真：</w:t>
      </w:r>
      <w:r>
        <w:rPr>
          <w:rFonts w:hint="eastAsia" w:cs="宋体"/>
          <w:color w:val="0000FF"/>
          <w:sz w:val="21"/>
          <w:szCs w:val="21"/>
          <w:highlight w:val="none"/>
          <w:u w:val="single"/>
          <w:lang w:val="en-US" w:eastAsia="zh-CN"/>
        </w:rPr>
        <w:t>无</w:t>
      </w:r>
    </w:p>
    <w:p>
      <w:pPr>
        <w:spacing w:line="360" w:lineRule="auto"/>
        <w:ind w:firstLine="420" w:firstLineChars="200"/>
        <w:rPr>
          <w:rFonts w:cs="宋体"/>
          <w:color w:val="auto"/>
          <w:kern w:val="1"/>
          <w:sz w:val="21"/>
          <w:szCs w:val="21"/>
          <w:highlight w:val="none"/>
        </w:rPr>
      </w:pPr>
      <w:r>
        <w:rPr>
          <w:rFonts w:hint="eastAsia" w:cs="宋体"/>
          <w:color w:val="auto"/>
          <w:kern w:val="1"/>
          <w:sz w:val="21"/>
          <w:szCs w:val="21"/>
          <w:highlight w:val="none"/>
        </w:rPr>
        <w:t>电子邮箱：</w:t>
      </w:r>
      <w:r>
        <w:rPr>
          <w:rFonts w:hint="eastAsia" w:ascii="宋体" w:hAnsi="宋体" w:eastAsia="宋体" w:cs="宋体"/>
          <w:color w:val="0000FF"/>
          <w:sz w:val="21"/>
          <w:szCs w:val="21"/>
          <w:highlight w:val="none"/>
          <w:u w:val="single"/>
          <w:lang w:eastAsia="zh-CN"/>
        </w:rPr>
        <w:t>xmxyzj@126.com</w:t>
      </w:r>
      <w:r>
        <w:rPr>
          <w:rFonts w:hint="eastAsia" w:cs="宋体"/>
          <w:color w:val="auto"/>
          <w:kern w:val="1"/>
          <w:sz w:val="21"/>
          <w:szCs w:val="21"/>
          <w:highlight w:val="none"/>
        </w:rPr>
        <w:t xml:space="preserve">                                                                                        </w:t>
      </w:r>
    </w:p>
    <w:p>
      <w:pPr>
        <w:spacing w:line="360" w:lineRule="auto"/>
        <w:ind w:firstLine="420" w:firstLineChars="200"/>
        <w:rPr>
          <w:rFonts w:cs="宋体"/>
          <w:color w:val="auto"/>
          <w:kern w:val="1"/>
          <w:sz w:val="21"/>
          <w:szCs w:val="21"/>
          <w:highlight w:val="none"/>
        </w:rPr>
      </w:pPr>
      <w:r>
        <w:rPr>
          <w:rFonts w:hint="eastAsia" w:cs="宋体"/>
          <w:color w:val="auto"/>
          <w:kern w:val="1"/>
          <w:sz w:val="21"/>
          <w:szCs w:val="21"/>
          <w:highlight w:val="none"/>
        </w:rPr>
        <w:t>　　　　　　　　　　　　　　　　　　　　　　　　　</w:t>
      </w:r>
    </w:p>
    <w:p>
      <w:pPr>
        <w:spacing w:line="360" w:lineRule="auto"/>
        <w:ind w:firstLine="420" w:firstLineChars="200"/>
        <w:rPr>
          <w:rFonts w:hint="eastAsia" w:eastAsia="宋体" w:cs="宋体"/>
          <w:color w:val="auto"/>
          <w:sz w:val="21"/>
          <w:szCs w:val="21"/>
          <w:highlight w:val="none"/>
          <w:u w:val="single"/>
          <w:lang w:eastAsia="zh-CN"/>
        </w:rPr>
      </w:pPr>
      <w:r>
        <w:rPr>
          <w:rFonts w:hint="eastAsia" w:cs="宋体"/>
          <w:color w:val="auto"/>
          <w:sz w:val="21"/>
          <w:szCs w:val="21"/>
          <w:highlight w:val="none"/>
        </w:rPr>
        <w:t>公共资源电子交易平台名称：</w:t>
      </w:r>
      <w:r>
        <w:rPr>
          <w:rFonts w:hint="eastAsia" w:cs="宋体"/>
          <w:color w:val="0000FF"/>
          <w:kern w:val="2"/>
          <w:sz w:val="21"/>
          <w:szCs w:val="21"/>
          <w:highlight w:val="none"/>
          <w:u w:val="single"/>
          <w:lang w:eastAsia="zh-CN"/>
        </w:rPr>
        <w:t>厦门市建设工程电子招投标交易平台</w:t>
      </w:r>
    </w:p>
    <w:p>
      <w:pPr>
        <w:spacing w:line="360" w:lineRule="auto"/>
        <w:ind w:firstLine="420" w:firstLineChars="200"/>
        <w:rPr>
          <w:rFonts w:cs="宋体"/>
          <w:color w:val="auto"/>
          <w:sz w:val="21"/>
          <w:szCs w:val="21"/>
          <w:highlight w:val="none"/>
          <w:u w:val="single"/>
        </w:rPr>
      </w:pPr>
      <w:r>
        <w:rPr>
          <w:rFonts w:hint="eastAsia" w:cs="宋体"/>
          <w:color w:val="auto"/>
          <w:sz w:val="21"/>
          <w:szCs w:val="21"/>
          <w:highlight w:val="none"/>
        </w:rPr>
        <w:t>网址：</w:t>
      </w:r>
      <w:r>
        <w:rPr>
          <w:rFonts w:hint="eastAsia" w:cs="宋体"/>
          <w:color w:val="0000FF"/>
          <w:sz w:val="21"/>
          <w:szCs w:val="21"/>
          <w:highlight w:val="none"/>
          <w:u w:val="single"/>
        </w:rPr>
        <w:t>http://120.41.36.88:9101/xmjy</w:t>
      </w:r>
    </w:p>
    <w:p>
      <w:pPr>
        <w:spacing w:line="360" w:lineRule="auto"/>
        <w:ind w:firstLine="420" w:firstLineChars="200"/>
        <w:rPr>
          <w:rFonts w:cs="宋体"/>
          <w:color w:val="auto"/>
          <w:sz w:val="21"/>
          <w:szCs w:val="21"/>
          <w:highlight w:val="none"/>
          <w:u w:val="single"/>
        </w:rPr>
      </w:pPr>
      <w:r>
        <w:rPr>
          <w:rFonts w:hint="eastAsia" w:cs="宋体"/>
          <w:color w:val="auto"/>
          <w:sz w:val="21"/>
          <w:szCs w:val="21"/>
          <w:highlight w:val="none"/>
        </w:rPr>
        <w:t>联系电话：</w:t>
      </w:r>
      <w:r>
        <w:rPr>
          <w:rFonts w:hint="eastAsia" w:cs="宋体"/>
          <w:color w:val="0000FF"/>
          <w:sz w:val="21"/>
          <w:szCs w:val="21"/>
          <w:highlight w:val="none"/>
          <w:u w:val="single"/>
        </w:rPr>
        <w:t>4009996901</w:t>
      </w:r>
    </w:p>
    <w:p>
      <w:pPr>
        <w:spacing w:line="360" w:lineRule="auto"/>
        <w:ind w:firstLine="420" w:firstLineChars="200"/>
        <w:rPr>
          <w:rFonts w:cs="宋体"/>
          <w:color w:val="auto"/>
          <w:sz w:val="21"/>
          <w:szCs w:val="21"/>
          <w:highlight w:val="none"/>
        </w:rPr>
      </w:pPr>
    </w:p>
    <w:p>
      <w:pPr>
        <w:spacing w:line="360" w:lineRule="auto"/>
        <w:ind w:firstLine="420" w:firstLineChars="200"/>
        <w:rPr>
          <w:rFonts w:cs="宋体"/>
          <w:color w:val="auto"/>
          <w:sz w:val="21"/>
          <w:szCs w:val="21"/>
          <w:highlight w:val="none"/>
          <w:u w:val="single"/>
        </w:rPr>
      </w:pPr>
      <w:r>
        <w:rPr>
          <w:rFonts w:hint="eastAsia" w:cs="宋体"/>
          <w:color w:val="auto"/>
          <w:sz w:val="21"/>
          <w:szCs w:val="21"/>
          <w:highlight w:val="none"/>
        </w:rPr>
        <w:t>招投标监督机构名称：</w:t>
      </w:r>
      <w:r>
        <w:rPr>
          <w:rFonts w:hint="eastAsia" w:cs="宋体"/>
          <w:color w:val="0000FF"/>
          <w:sz w:val="21"/>
          <w:szCs w:val="21"/>
          <w:highlight w:val="none"/>
          <w:u w:val="single"/>
        </w:rPr>
        <w:t>厦门市住房和建设局</w:t>
      </w:r>
    </w:p>
    <w:p>
      <w:pPr>
        <w:spacing w:line="360" w:lineRule="auto"/>
        <w:ind w:firstLine="420" w:firstLineChars="200"/>
        <w:rPr>
          <w:rFonts w:cs="宋体"/>
          <w:color w:val="auto"/>
          <w:sz w:val="21"/>
          <w:szCs w:val="21"/>
          <w:highlight w:val="none"/>
          <w:u w:val="single"/>
        </w:rPr>
      </w:pPr>
      <w:r>
        <w:rPr>
          <w:rFonts w:hint="eastAsia" w:cs="宋体"/>
          <w:color w:val="auto"/>
          <w:sz w:val="21"/>
          <w:szCs w:val="21"/>
          <w:highlight w:val="none"/>
        </w:rPr>
        <w:t>地址：</w:t>
      </w:r>
      <w:r>
        <w:rPr>
          <w:rFonts w:hint="eastAsia" w:cs="宋体"/>
          <w:color w:val="0000FF"/>
          <w:kern w:val="2"/>
          <w:sz w:val="21"/>
          <w:szCs w:val="21"/>
          <w:highlight w:val="none"/>
          <w:u w:val="single"/>
        </w:rPr>
        <w:t>厦门市思明</w:t>
      </w:r>
      <w:r>
        <w:rPr>
          <w:rFonts w:hint="eastAsia" w:ascii="宋体" w:hAnsi="宋体" w:eastAsia="宋体" w:cs="宋体"/>
          <w:color w:val="0000FF"/>
          <w:kern w:val="2"/>
          <w:sz w:val="21"/>
          <w:szCs w:val="21"/>
          <w:highlight w:val="none"/>
          <w:u w:val="single"/>
        </w:rPr>
        <w:t>区厦禾路362号</w:t>
      </w:r>
      <w:r>
        <w:rPr>
          <w:rFonts w:hint="eastAsia" w:cs="宋体"/>
          <w:color w:val="0000FF"/>
          <w:kern w:val="2"/>
          <w:sz w:val="21"/>
          <w:szCs w:val="21"/>
          <w:highlight w:val="none"/>
          <w:u w:val="single"/>
        </w:rPr>
        <w:t>建设大</w:t>
      </w:r>
      <w:r>
        <w:rPr>
          <w:rFonts w:hint="eastAsia" w:ascii="宋体" w:hAnsi="宋体" w:eastAsia="宋体" w:cs="宋体"/>
          <w:color w:val="0000FF"/>
          <w:kern w:val="2"/>
          <w:sz w:val="21"/>
          <w:szCs w:val="21"/>
          <w:highlight w:val="none"/>
          <w:u w:val="single"/>
        </w:rPr>
        <w:t>厦</w:t>
      </w:r>
      <w:r>
        <w:rPr>
          <w:rFonts w:hint="eastAsia" w:ascii="宋体" w:hAnsi="宋体" w:eastAsia="宋体" w:cs="宋体"/>
          <w:color w:val="0000FF"/>
          <w:kern w:val="2"/>
          <w:sz w:val="21"/>
          <w:szCs w:val="21"/>
          <w:highlight w:val="none"/>
          <w:u w:val="single"/>
          <w:lang w:val="en-US" w:eastAsia="zh-CN"/>
        </w:rPr>
        <w:t>4</w:t>
      </w:r>
      <w:r>
        <w:rPr>
          <w:rFonts w:hint="eastAsia" w:ascii="宋体" w:hAnsi="宋体" w:eastAsia="宋体" w:cs="宋体"/>
          <w:color w:val="0000FF"/>
          <w:kern w:val="2"/>
          <w:sz w:val="21"/>
          <w:szCs w:val="21"/>
          <w:highlight w:val="none"/>
          <w:u w:val="single"/>
        </w:rPr>
        <w:t>楼</w:t>
      </w:r>
    </w:p>
    <w:p>
      <w:pPr>
        <w:spacing w:line="360" w:lineRule="auto"/>
        <w:ind w:firstLine="420" w:firstLineChars="200"/>
        <w:rPr>
          <w:rFonts w:cs="宋体"/>
          <w:color w:val="auto"/>
          <w:sz w:val="21"/>
          <w:szCs w:val="21"/>
          <w:highlight w:val="none"/>
        </w:rPr>
      </w:pPr>
      <w:r>
        <w:rPr>
          <w:rFonts w:hint="eastAsia" w:cs="宋体"/>
          <w:color w:val="auto"/>
          <w:sz w:val="21"/>
          <w:szCs w:val="21"/>
          <w:highlight w:val="none"/>
        </w:rPr>
        <w:t>联系电话：</w:t>
      </w:r>
      <w:r>
        <w:rPr>
          <w:rFonts w:hint="eastAsia" w:ascii="宋体" w:hAnsi="宋体" w:eastAsia="宋体" w:cs="宋体"/>
          <w:color w:val="0000FF"/>
          <w:kern w:val="2"/>
          <w:sz w:val="21"/>
          <w:szCs w:val="21"/>
          <w:highlight w:val="none"/>
          <w:u w:val="single"/>
        </w:rPr>
        <w:t>0592-8123522</w:t>
      </w:r>
    </w:p>
    <w:p>
      <w:pPr>
        <w:pStyle w:val="9"/>
        <w:snapToGrid w:val="0"/>
        <w:spacing w:line="360" w:lineRule="auto"/>
        <w:ind w:firstLineChars="200"/>
        <w:rPr>
          <w:rFonts w:cs="宋体"/>
          <w:color w:val="auto"/>
          <w:sz w:val="21"/>
          <w:szCs w:val="21"/>
          <w:highlight w:val="none"/>
        </w:rPr>
      </w:pPr>
    </w:p>
    <w:p>
      <w:pPr>
        <w:pStyle w:val="9"/>
        <w:snapToGrid w:val="0"/>
        <w:spacing w:line="360" w:lineRule="auto"/>
        <w:ind w:firstLineChars="200"/>
        <w:rPr>
          <w:rFonts w:cs="宋体"/>
          <w:color w:val="auto"/>
          <w:sz w:val="21"/>
          <w:szCs w:val="21"/>
          <w:highlight w:val="none"/>
        </w:rPr>
      </w:pPr>
      <w:r>
        <w:rPr>
          <w:rFonts w:hint="eastAsia" w:cs="宋体"/>
          <w:color w:val="auto"/>
          <w:sz w:val="21"/>
          <w:szCs w:val="21"/>
          <w:highlight w:val="none"/>
        </w:rPr>
        <w:t>公共资源交易中心名称：</w:t>
      </w:r>
      <w:r>
        <w:rPr>
          <w:rFonts w:hint="eastAsia" w:cs="宋体"/>
          <w:color w:val="0000FF"/>
          <w:sz w:val="21"/>
          <w:szCs w:val="21"/>
          <w:highlight w:val="none"/>
          <w:u w:val="single"/>
        </w:rPr>
        <w:t>厦门市公共资源交易中心</w:t>
      </w:r>
    </w:p>
    <w:p>
      <w:pPr>
        <w:pStyle w:val="9"/>
        <w:snapToGrid w:val="0"/>
        <w:spacing w:line="360" w:lineRule="auto"/>
        <w:ind w:firstLineChars="200"/>
        <w:rPr>
          <w:rFonts w:cs="宋体"/>
          <w:color w:val="auto"/>
          <w:sz w:val="21"/>
          <w:szCs w:val="21"/>
          <w:highlight w:val="none"/>
        </w:rPr>
      </w:pPr>
      <w:r>
        <w:rPr>
          <w:rFonts w:hint="eastAsia" w:cs="宋体"/>
          <w:color w:val="auto"/>
          <w:sz w:val="21"/>
          <w:szCs w:val="21"/>
          <w:highlight w:val="none"/>
        </w:rPr>
        <w:t>地址：</w:t>
      </w:r>
      <w:r>
        <w:rPr>
          <w:rFonts w:hint="eastAsia" w:cs="宋体"/>
          <w:color w:val="0000FF"/>
          <w:sz w:val="21"/>
          <w:szCs w:val="21"/>
          <w:highlight w:val="none"/>
          <w:u w:val="single"/>
        </w:rPr>
        <w:t>厦门市云顶北路842号（市政务服务中心4层）</w:t>
      </w:r>
    </w:p>
    <w:p>
      <w:pPr>
        <w:spacing w:line="360" w:lineRule="auto"/>
        <w:ind w:firstLine="420" w:firstLineChars="200"/>
        <w:rPr>
          <w:rFonts w:cs="宋体"/>
          <w:color w:val="auto"/>
          <w:kern w:val="2"/>
          <w:sz w:val="21"/>
          <w:szCs w:val="21"/>
          <w:highlight w:val="none"/>
          <w:u w:val="single"/>
        </w:rPr>
      </w:pPr>
      <w:r>
        <w:rPr>
          <w:rFonts w:hint="eastAsia" w:cs="宋体"/>
          <w:color w:val="auto"/>
          <w:sz w:val="21"/>
          <w:szCs w:val="21"/>
          <w:highlight w:val="none"/>
        </w:rPr>
        <w:t>联系电话：</w:t>
      </w:r>
      <w:r>
        <w:rPr>
          <w:rFonts w:hint="eastAsia" w:cs="宋体"/>
          <w:color w:val="0000FF"/>
          <w:sz w:val="21"/>
          <w:szCs w:val="21"/>
          <w:highlight w:val="none"/>
          <w:u w:val="single"/>
        </w:rPr>
        <w:t>0592-2677186、0592-2677200</w:t>
      </w:r>
    </w:p>
    <w:p>
      <w:pPr>
        <w:pStyle w:val="58"/>
        <w:rPr>
          <w:color w:val="auto"/>
          <w:highlight w:val="none"/>
        </w:rPr>
      </w:pPr>
      <w:r>
        <w:rPr>
          <w:color w:val="auto"/>
          <w:kern w:val="2"/>
          <w:highlight w:val="none"/>
        </w:rPr>
        <w:br w:type="page"/>
      </w:r>
    </w:p>
    <w:p>
      <w:pPr>
        <w:pStyle w:val="3"/>
        <w:spacing w:before="4000" w:line="360" w:lineRule="auto"/>
        <w:jc w:val="center"/>
        <w:rPr>
          <w:rFonts w:ascii="黑体" w:hAnsi="黑体" w:eastAsia="黑体" w:cs="宋体"/>
          <w:color w:val="auto"/>
          <w:kern w:val="1"/>
          <w:highlight w:val="none"/>
        </w:rPr>
      </w:pPr>
      <w:bookmarkStart w:id="200" w:name="_Toc4563"/>
      <w:bookmarkStart w:id="201" w:name="_Toc27182"/>
      <w:bookmarkStart w:id="202" w:name="_Toc12092"/>
      <w:bookmarkStart w:id="203" w:name="_Toc23307"/>
      <w:bookmarkStart w:id="204" w:name="_Toc458439927"/>
      <w:bookmarkStart w:id="205" w:name="_Toc25536"/>
      <w:bookmarkStart w:id="206" w:name="_Toc25279"/>
      <w:bookmarkStart w:id="207" w:name="_Toc106703219"/>
      <w:bookmarkStart w:id="208" w:name="_Toc30170329"/>
      <w:bookmarkStart w:id="209" w:name="_Toc22514"/>
      <w:bookmarkStart w:id="210" w:name="_Toc61877249"/>
      <w:bookmarkStart w:id="211" w:name="_Toc15260"/>
      <w:r>
        <w:rPr>
          <w:rFonts w:hint="eastAsia" w:ascii="黑体" w:hAnsi="黑体" w:eastAsia="黑体" w:cs="宋体"/>
          <w:color w:val="auto"/>
          <w:kern w:val="1"/>
          <w:highlight w:val="none"/>
        </w:rPr>
        <w:t>第二章 投标人须知</w:t>
      </w:r>
      <w:bookmarkEnd w:id="200"/>
      <w:bookmarkEnd w:id="201"/>
      <w:bookmarkEnd w:id="202"/>
      <w:bookmarkEnd w:id="203"/>
      <w:bookmarkEnd w:id="204"/>
      <w:bookmarkEnd w:id="205"/>
      <w:bookmarkEnd w:id="206"/>
      <w:bookmarkEnd w:id="207"/>
      <w:bookmarkEnd w:id="208"/>
      <w:bookmarkEnd w:id="209"/>
      <w:bookmarkEnd w:id="210"/>
      <w:bookmarkEnd w:id="211"/>
    </w:p>
    <w:p>
      <w:pPr>
        <w:pStyle w:val="4"/>
        <w:spacing w:beforeLines="0" w:afterLines="0"/>
        <w:jc w:val="center"/>
        <w:rPr>
          <w:rFonts w:ascii="宋体" w:hAnsi="宋体" w:eastAsia="宋体" w:cs="宋体"/>
          <w:color w:val="auto"/>
          <w:sz w:val="21"/>
          <w:szCs w:val="21"/>
          <w:highlight w:val="none"/>
        </w:rPr>
      </w:pPr>
      <w:r>
        <w:rPr>
          <w:color w:val="auto"/>
          <w:highlight w:val="none"/>
        </w:rPr>
        <w:br w:type="page"/>
      </w:r>
      <w:bookmarkStart w:id="212" w:name="_Toc144974496"/>
      <w:bookmarkEnd w:id="212"/>
      <w:bookmarkStart w:id="213" w:name="_Toc152045528"/>
      <w:bookmarkEnd w:id="213"/>
      <w:bookmarkStart w:id="214" w:name="_Toc414046701"/>
      <w:bookmarkEnd w:id="214"/>
      <w:bookmarkStart w:id="215" w:name="_Toc247513951"/>
      <w:bookmarkEnd w:id="215"/>
      <w:bookmarkStart w:id="216" w:name="_Toc152042304"/>
      <w:bookmarkEnd w:id="216"/>
      <w:bookmarkStart w:id="217" w:name="_Toc247527552"/>
      <w:bookmarkEnd w:id="217"/>
      <w:bookmarkStart w:id="218" w:name="_Toc28455"/>
      <w:bookmarkStart w:id="219" w:name="_Toc20202"/>
      <w:bookmarkStart w:id="220" w:name="_Toc106703220"/>
      <w:bookmarkStart w:id="221" w:name="_Toc8453"/>
      <w:bookmarkStart w:id="222" w:name="_Toc18217"/>
      <w:bookmarkStart w:id="223" w:name="_Toc5290"/>
      <w:bookmarkStart w:id="224" w:name="_Toc61877250"/>
      <w:bookmarkStart w:id="225" w:name="_Toc3221"/>
      <w:bookmarkStart w:id="226" w:name="_Toc19141"/>
      <w:bookmarkStart w:id="227" w:name="_Toc458439928"/>
      <w:bookmarkStart w:id="228" w:name="_Toc6445"/>
      <w:bookmarkStart w:id="229" w:name="_Toc30170330"/>
      <w:r>
        <w:rPr>
          <w:rFonts w:hint="eastAsia"/>
          <w:color w:val="auto"/>
          <w:highlight w:val="none"/>
        </w:rPr>
        <w:t>第二章 投标人须知</w:t>
      </w:r>
      <w:bookmarkEnd w:id="218"/>
      <w:bookmarkEnd w:id="219"/>
      <w:bookmarkEnd w:id="220"/>
      <w:bookmarkEnd w:id="221"/>
      <w:bookmarkEnd w:id="222"/>
      <w:bookmarkEnd w:id="223"/>
      <w:bookmarkEnd w:id="224"/>
      <w:bookmarkEnd w:id="225"/>
    </w:p>
    <w:bookmarkEnd w:id="226"/>
    <w:bookmarkEnd w:id="227"/>
    <w:bookmarkEnd w:id="228"/>
    <w:bookmarkEnd w:id="229"/>
    <w:p>
      <w:pPr>
        <w:pStyle w:val="4"/>
        <w:spacing w:beforeLines="0" w:afterLines="0"/>
        <w:jc w:val="left"/>
        <w:rPr>
          <w:rFonts w:cs="宋体"/>
          <w:color w:val="auto"/>
          <w:sz w:val="21"/>
          <w:szCs w:val="21"/>
          <w:highlight w:val="none"/>
        </w:rPr>
      </w:pPr>
      <w:bookmarkStart w:id="230" w:name="_Toc10369"/>
      <w:bookmarkStart w:id="231" w:name="_Toc61877251"/>
      <w:bookmarkStart w:id="232" w:name="_Toc106703221"/>
      <w:bookmarkStart w:id="233" w:name="_Toc27696"/>
      <w:bookmarkStart w:id="234" w:name="_Toc3254"/>
      <w:bookmarkStart w:id="235" w:name="_Toc7976"/>
      <w:bookmarkStart w:id="236" w:name="_Toc9469"/>
      <w:bookmarkStart w:id="237" w:name="_Toc30391"/>
      <w:r>
        <w:rPr>
          <w:rFonts w:hint="eastAsia" w:cs="宋体"/>
          <w:color w:val="auto"/>
          <w:sz w:val="21"/>
          <w:szCs w:val="21"/>
          <w:highlight w:val="none"/>
        </w:rPr>
        <w:t>投标人须知前附表</w:t>
      </w:r>
      <w:bookmarkEnd w:id="230"/>
      <w:bookmarkEnd w:id="231"/>
      <w:bookmarkEnd w:id="232"/>
      <w:bookmarkEnd w:id="233"/>
      <w:bookmarkEnd w:id="234"/>
      <w:bookmarkEnd w:id="235"/>
      <w:bookmarkEnd w:id="236"/>
      <w:bookmarkEnd w:id="237"/>
    </w:p>
    <w:tbl>
      <w:tblPr>
        <w:tblStyle w:val="60"/>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984"/>
        <w:gridCol w:w="6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条款号</w:t>
            </w:r>
          </w:p>
        </w:tc>
        <w:tc>
          <w:tcPr>
            <w:tcW w:w="1984"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条款名称</w:t>
            </w:r>
          </w:p>
        </w:tc>
        <w:tc>
          <w:tcPr>
            <w:tcW w:w="6946"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编列内容</w:t>
            </w:r>
            <w:r>
              <w:rPr>
                <w:rStyle w:val="74"/>
                <w:rFonts w:hint="eastAsia" w:cs="宋体"/>
                <w:color w:val="auto"/>
                <w:kern w:val="1"/>
                <w:sz w:val="21"/>
                <w:szCs w:val="21"/>
                <w:highlight w:val="none"/>
              </w:rPr>
              <w:footnoteReference w:id="14"/>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1.1.2</w:t>
            </w:r>
          </w:p>
        </w:tc>
        <w:tc>
          <w:tcPr>
            <w:tcW w:w="1984"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招标人</w:t>
            </w:r>
          </w:p>
        </w:tc>
        <w:tc>
          <w:tcPr>
            <w:tcW w:w="6946" w:type="dxa"/>
            <w:vAlign w:val="center"/>
          </w:tcPr>
          <w:p>
            <w:pPr>
              <w:spacing w:line="300" w:lineRule="auto"/>
              <w:ind w:firstLine="420" w:firstLineChars="200"/>
              <w:rPr>
                <w:rFonts w:cs="宋体"/>
                <w:color w:val="auto"/>
                <w:sz w:val="21"/>
                <w:szCs w:val="21"/>
                <w:highlight w:val="none"/>
                <w:u w:val="single"/>
              </w:rPr>
            </w:pPr>
            <w:r>
              <w:rPr>
                <w:rFonts w:hint="eastAsia" w:cs="宋体"/>
                <w:color w:val="auto"/>
                <w:kern w:val="1"/>
                <w:sz w:val="21"/>
                <w:szCs w:val="21"/>
                <w:highlight w:val="none"/>
              </w:rPr>
              <w:t>名    称：</w:t>
            </w:r>
            <w:r>
              <w:rPr>
                <w:rFonts w:hint="eastAsia" w:cs="宋体"/>
                <w:color w:val="0000FF"/>
                <w:kern w:val="1"/>
                <w:sz w:val="21"/>
                <w:szCs w:val="21"/>
                <w:highlight w:val="none"/>
                <w:u w:val="single"/>
              </w:rPr>
              <w:t>厦门国贸建设开发有限公司</w:t>
            </w:r>
          </w:p>
          <w:p>
            <w:pPr>
              <w:spacing w:line="300" w:lineRule="auto"/>
              <w:ind w:firstLine="420" w:firstLineChars="200"/>
              <w:rPr>
                <w:rFonts w:cs="宋体"/>
                <w:color w:val="auto"/>
                <w:sz w:val="21"/>
                <w:szCs w:val="21"/>
                <w:highlight w:val="none"/>
                <w:u w:val="single"/>
              </w:rPr>
            </w:pPr>
            <w:r>
              <w:rPr>
                <w:rFonts w:hint="eastAsia" w:cs="宋体"/>
                <w:color w:val="auto"/>
                <w:kern w:val="1"/>
                <w:sz w:val="21"/>
                <w:szCs w:val="21"/>
                <w:highlight w:val="none"/>
              </w:rPr>
              <w:t>地    址：</w:t>
            </w:r>
            <w:r>
              <w:rPr>
                <w:rFonts w:hint="eastAsia" w:cs="宋体"/>
                <w:color w:val="0000FF"/>
                <w:kern w:val="1"/>
                <w:sz w:val="21"/>
                <w:szCs w:val="21"/>
                <w:highlight w:val="none"/>
                <w:u w:val="single"/>
              </w:rPr>
              <w:t>厦门市湖里区国贸中心B栋25层</w:t>
            </w:r>
          </w:p>
          <w:p>
            <w:pPr>
              <w:spacing w:line="300" w:lineRule="auto"/>
              <w:ind w:firstLine="420" w:firstLineChars="200"/>
              <w:rPr>
                <w:rFonts w:cs="宋体"/>
                <w:color w:val="auto"/>
                <w:kern w:val="1"/>
                <w:sz w:val="21"/>
                <w:szCs w:val="21"/>
                <w:highlight w:val="none"/>
                <w:u w:val="single"/>
              </w:rPr>
            </w:pPr>
            <w:r>
              <w:rPr>
                <w:rFonts w:hint="eastAsia" w:cs="宋体"/>
                <w:color w:val="auto"/>
                <w:kern w:val="1"/>
                <w:sz w:val="21"/>
                <w:szCs w:val="21"/>
                <w:highlight w:val="none"/>
              </w:rPr>
              <w:t>邮    编：</w:t>
            </w:r>
            <w:r>
              <w:rPr>
                <w:rFonts w:hint="eastAsia" w:cs="宋体"/>
                <w:color w:val="0000FF"/>
                <w:kern w:val="1"/>
                <w:sz w:val="21"/>
                <w:szCs w:val="21"/>
                <w:highlight w:val="none"/>
                <w:u w:val="single"/>
              </w:rPr>
              <w:t>361000</w:t>
            </w:r>
          </w:p>
          <w:p>
            <w:pPr>
              <w:spacing w:line="300" w:lineRule="auto"/>
              <w:ind w:firstLine="458"/>
              <w:rPr>
                <w:rFonts w:hint="default" w:eastAsia="宋体" w:cs="宋体"/>
                <w:color w:val="auto"/>
                <w:kern w:val="1"/>
                <w:sz w:val="21"/>
                <w:szCs w:val="21"/>
                <w:highlight w:val="none"/>
                <w:lang w:val="en-US" w:eastAsia="zh-CN"/>
              </w:rPr>
            </w:pPr>
            <w:r>
              <w:rPr>
                <w:rFonts w:hint="eastAsia" w:cs="宋体"/>
                <w:color w:val="auto"/>
                <w:kern w:val="1"/>
                <w:sz w:val="21"/>
                <w:szCs w:val="21"/>
                <w:highlight w:val="none"/>
              </w:rPr>
              <w:t>联 系 人：</w:t>
            </w:r>
            <w:r>
              <w:rPr>
                <w:rFonts w:hint="eastAsia" w:cs="宋体"/>
                <w:color w:val="0000FF"/>
                <w:kern w:val="1"/>
                <w:sz w:val="21"/>
                <w:szCs w:val="21"/>
                <w:highlight w:val="none"/>
                <w:u w:val="single"/>
                <w:lang w:val="en-US" w:eastAsia="zh-CN"/>
              </w:rPr>
              <w:t xml:space="preserve"> 郑工 </w:t>
            </w:r>
          </w:p>
          <w:p>
            <w:pPr>
              <w:spacing w:line="300" w:lineRule="auto"/>
              <w:ind w:firstLine="420" w:firstLineChars="200"/>
              <w:rPr>
                <w:rFonts w:hint="default" w:cs="宋体"/>
                <w:color w:val="auto"/>
                <w:kern w:val="1"/>
                <w:sz w:val="21"/>
                <w:szCs w:val="21"/>
                <w:highlight w:val="none"/>
                <w:lang w:val="en-US"/>
              </w:rPr>
            </w:pPr>
            <w:r>
              <w:rPr>
                <w:rFonts w:hint="eastAsia" w:cs="宋体"/>
                <w:color w:val="auto"/>
                <w:kern w:val="1"/>
                <w:sz w:val="21"/>
                <w:szCs w:val="21"/>
                <w:highlight w:val="none"/>
              </w:rPr>
              <w:t>电    话：</w:t>
            </w:r>
            <w:r>
              <w:rPr>
                <w:rFonts w:hint="eastAsia" w:cs="宋体"/>
                <w:color w:val="0000FF"/>
                <w:sz w:val="21"/>
                <w:szCs w:val="21"/>
                <w:highlight w:val="none"/>
                <w:u w:val="single"/>
                <w:lang w:val="en-US" w:eastAsia="zh-CN"/>
              </w:rPr>
              <w:t xml:space="preserve"> </w:t>
            </w:r>
            <w:r>
              <w:rPr>
                <w:rFonts w:hint="eastAsia" w:cs="宋体"/>
                <w:color w:val="0000FF"/>
                <w:sz w:val="21"/>
                <w:szCs w:val="21"/>
                <w:highlight w:val="none"/>
                <w:u w:val="single"/>
              </w:rPr>
              <w:t>0592-6510003</w:t>
            </w:r>
            <w:r>
              <w:rPr>
                <w:rFonts w:hint="eastAsia" w:cs="宋体"/>
                <w:color w:val="0000FF"/>
                <w:sz w:val="21"/>
                <w:szCs w:val="21"/>
                <w:highlight w:val="none"/>
                <w:u w:val="single"/>
                <w:lang w:val="en-US" w:eastAsia="zh-CN"/>
              </w:rPr>
              <w:t xml:space="preserve"> </w:t>
            </w:r>
          </w:p>
          <w:p>
            <w:pPr>
              <w:spacing w:line="300" w:lineRule="auto"/>
              <w:ind w:firstLine="420" w:firstLineChars="200"/>
              <w:rPr>
                <w:rFonts w:cs="宋体"/>
                <w:color w:val="auto"/>
                <w:kern w:val="1"/>
                <w:sz w:val="21"/>
                <w:szCs w:val="21"/>
                <w:highlight w:val="none"/>
              </w:rPr>
            </w:pPr>
            <w:r>
              <w:rPr>
                <w:rFonts w:hint="eastAsia" w:cs="宋体"/>
                <w:color w:val="auto"/>
                <w:kern w:val="1"/>
                <w:sz w:val="21"/>
                <w:szCs w:val="21"/>
                <w:highlight w:val="none"/>
              </w:rPr>
              <w:t>传    真：</w:t>
            </w:r>
            <w:r>
              <w:rPr>
                <w:rFonts w:hint="eastAsia" w:cs="宋体"/>
                <w:color w:val="auto"/>
                <w:sz w:val="21"/>
                <w:szCs w:val="21"/>
                <w:highlight w:val="none"/>
                <w:u w:val="single"/>
              </w:rPr>
              <w:t xml:space="preserve">  </w:t>
            </w:r>
            <w:r>
              <w:rPr>
                <w:rFonts w:hint="eastAsia" w:cs="宋体"/>
                <w:color w:val="0000FF"/>
                <w:sz w:val="21"/>
                <w:szCs w:val="21"/>
                <w:highlight w:val="none"/>
                <w:u w:val="single"/>
                <w:lang w:eastAsia="zh-CN"/>
              </w:rPr>
              <w:t>无</w:t>
            </w:r>
            <w:r>
              <w:rPr>
                <w:rFonts w:hint="eastAsia" w:cs="宋体"/>
                <w:color w:val="auto"/>
                <w:sz w:val="21"/>
                <w:szCs w:val="21"/>
                <w:highlight w:val="none"/>
                <w:u w:val="single"/>
              </w:rPr>
              <w:t xml:space="preserve">  </w:t>
            </w:r>
          </w:p>
          <w:p>
            <w:pPr>
              <w:spacing w:line="300" w:lineRule="auto"/>
              <w:ind w:firstLine="458"/>
              <w:rPr>
                <w:rFonts w:cs="宋体"/>
                <w:color w:val="auto"/>
                <w:kern w:val="1"/>
                <w:sz w:val="21"/>
                <w:szCs w:val="21"/>
                <w:highlight w:val="none"/>
              </w:rPr>
            </w:pPr>
            <w:r>
              <w:rPr>
                <w:rFonts w:hint="eastAsia" w:cs="宋体"/>
                <w:color w:val="auto"/>
                <w:kern w:val="1"/>
                <w:sz w:val="21"/>
                <w:szCs w:val="21"/>
                <w:highlight w:val="none"/>
              </w:rPr>
              <w:t>电子邮箱：</w:t>
            </w:r>
            <w:r>
              <w:rPr>
                <w:rFonts w:hint="eastAsia" w:cs="宋体"/>
                <w:color w:val="auto"/>
                <w:sz w:val="21"/>
                <w:szCs w:val="21"/>
                <w:highlight w:val="none"/>
                <w:u w:val="single"/>
              </w:rPr>
              <w:t xml:space="preserve"> </w:t>
            </w:r>
            <w:r>
              <w:rPr>
                <w:rFonts w:hint="eastAsia" w:cs="宋体"/>
                <w:color w:val="auto"/>
                <w:sz w:val="21"/>
                <w:szCs w:val="21"/>
                <w:highlight w:val="none"/>
                <w:u w:val="single"/>
                <w:lang w:val="en-US" w:eastAsia="zh-CN"/>
              </w:rPr>
              <w:t>/</w:t>
            </w:r>
            <w:r>
              <w:rPr>
                <w:rFonts w:hint="eastAsia" w:cs="宋体"/>
                <w:color w:val="auto"/>
                <w:sz w:val="21"/>
                <w:szCs w:val="21"/>
                <w:highlight w:val="none"/>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1.1.3</w:t>
            </w:r>
          </w:p>
        </w:tc>
        <w:tc>
          <w:tcPr>
            <w:tcW w:w="1984"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招标代理机构</w:t>
            </w:r>
          </w:p>
        </w:tc>
        <w:tc>
          <w:tcPr>
            <w:tcW w:w="6946" w:type="dxa"/>
            <w:vAlign w:val="center"/>
          </w:tcPr>
          <w:p>
            <w:pPr>
              <w:spacing w:line="300" w:lineRule="auto"/>
              <w:ind w:firstLine="420" w:firstLineChars="200"/>
              <w:rPr>
                <w:rFonts w:hint="eastAsia" w:eastAsia="宋体" w:cs="宋体"/>
                <w:color w:val="auto"/>
                <w:kern w:val="1"/>
                <w:sz w:val="21"/>
                <w:szCs w:val="21"/>
                <w:highlight w:val="none"/>
                <w:lang w:eastAsia="zh-CN"/>
              </w:rPr>
            </w:pPr>
            <w:r>
              <w:rPr>
                <w:rFonts w:hint="eastAsia" w:cs="宋体"/>
                <w:color w:val="auto"/>
                <w:kern w:val="1"/>
                <w:sz w:val="21"/>
                <w:szCs w:val="21"/>
                <w:highlight w:val="none"/>
              </w:rPr>
              <w:t>名    称：</w:t>
            </w:r>
            <w:r>
              <w:rPr>
                <w:rFonts w:hint="eastAsia" w:cs="宋体"/>
                <w:color w:val="0000FF"/>
                <w:kern w:val="1"/>
                <w:sz w:val="21"/>
                <w:szCs w:val="21"/>
                <w:highlight w:val="none"/>
                <w:u w:val="single"/>
                <w:lang w:eastAsia="zh-CN"/>
              </w:rPr>
              <w:t>福州信源工程造价咨询有限公司</w:t>
            </w:r>
          </w:p>
          <w:p>
            <w:pPr>
              <w:spacing w:line="300" w:lineRule="auto"/>
              <w:ind w:firstLine="420" w:firstLineChars="200"/>
              <w:rPr>
                <w:rFonts w:cs="宋体"/>
                <w:color w:val="auto"/>
                <w:sz w:val="21"/>
                <w:szCs w:val="21"/>
                <w:highlight w:val="none"/>
                <w:u w:val="single"/>
              </w:rPr>
            </w:pPr>
            <w:r>
              <w:rPr>
                <w:rFonts w:hint="eastAsia" w:cs="宋体"/>
                <w:color w:val="auto"/>
                <w:kern w:val="1"/>
                <w:sz w:val="21"/>
                <w:szCs w:val="21"/>
                <w:highlight w:val="none"/>
              </w:rPr>
              <w:t>地    址：</w:t>
            </w:r>
            <w:r>
              <w:rPr>
                <w:rFonts w:hint="eastAsia" w:ascii="宋体" w:cs="宋体"/>
                <w:color w:val="0000FF"/>
                <w:kern w:val="1"/>
                <w:sz w:val="21"/>
                <w:szCs w:val="21"/>
                <w:highlight w:val="none"/>
                <w:u w:val="single"/>
              </w:rPr>
              <w:t>厦门市海沧区海沧大道文广集团902</w:t>
            </w:r>
          </w:p>
          <w:p>
            <w:pPr>
              <w:spacing w:line="300" w:lineRule="auto"/>
              <w:ind w:firstLine="420" w:firstLineChars="200"/>
              <w:rPr>
                <w:rFonts w:hint="default" w:eastAsia="宋体" w:cs="宋体"/>
                <w:color w:val="auto"/>
                <w:kern w:val="1"/>
                <w:sz w:val="21"/>
                <w:szCs w:val="21"/>
                <w:highlight w:val="none"/>
                <w:u w:val="single"/>
                <w:lang w:val="en-US" w:eastAsia="zh-CN"/>
              </w:rPr>
            </w:pPr>
            <w:r>
              <w:rPr>
                <w:rFonts w:hint="eastAsia" w:cs="宋体"/>
                <w:color w:val="auto"/>
                <w:kern w:val="1"/>
                <w:sz w:val="21"/>
                <w:szCs w:val="21"/>
                <w:highlight w:val="none"/>
              </w:rPr>
              <w:t>邮    编：</w:t>
            </w:r>
            <w:r>
              <w:rPr>
                <w:rFonts w:hint="eastAsia" w:cs="宋体"/>
                <w:color w:val="0000FF"/>
                <w:kern w:val="1"/>
                <w:sz w:val="21"/>
                <w:szCs w:val="21"/>
                <w:highlight w:val="none"/>
                <w:u w:val="single"/>
              </w:rPr>
              <w:t>3610</w:t>
            </w:r>
            <w:r>
              <w:rPr>
                <w:rFonts w:hint="eastAsia" w:cs="宋体"/>
                <w:color w:val="0000FF"/>
                <w:kern w:val="1"/>
                <w:sz w:val="21"/>
                <w:szCs w:val="21"/>
                <w:highlight w:val="none"/>
                <w:u w:val="single"/>
                <w:lang w:val="en-US" w:eastAsia="zh-CN"/>
              </w:rPr>
              <w:t>26</w:t>
            </w:r>
          </w:p>
          <w:p>
            <w:pPr>
              <w:spacing w:line="300" w:lineRule="auto"/>
              <w:ind w:firstLine="420" w:firstLineChars="200"/>
              <w:rPr>
                <w:rFonts w:cs="宋体"/>
                <w:color w:val="auto"/>
                <w:sz w:val="21"/>
                <w:szCs w:val="21"/>
                <w:highlight w:val="none"/>
                <w:u w:val="single"/>
              </w:rPr>
            </w:pPr>
            <w:r>
              <w:rPr>
                <w:rFonts w:hint="eastAsia" w:cs="宋体"/>
                <w:color w:val="auto"/>
                <w:kern w:val="1"/>
                <w:sz w:val="21"/>
                <w:szCs w:val="21"/>
                <w:highlight w:val="none"/>
              </w:rPr>
              <w:t>联 系 人：</w:t>
            </w:r>
            <w:r>
              <w:rPr>
                <w:rFonts w:hint="eastAsia" w:cs="宋体"/>
                <w:color w:val="0000FF"/>
                <w:sz w:val="21"/>
                <w:szCs w:val="21"/>
                <w:highlight w:val="none"/>
                <w:u w:val="single"/>
                <w:lang w:eastAsia="zh-CN"/>
              </w:rPr>
              <w:t>颜嘉颖</w:t>
            </w:r>
          </w:p>
          <w:p>
            <w:pPr>
              <w:spacing w:line="300" w:lineRule="auto"/>
              <w:ind w:firstLine="420" w:firstLineChars="200"/>
              <w:rPr>
                <w:rFonts w:cs="宋体"/>
                <w:color w:val="auto"/>
                <w:sz w:val="21"/>
                <w:szCs w:val="21"/>
                <w:highlight w:val="none"/>
                <w:u w:val="single"/>
              </w:rPr>
            </w:pPr>
            <w:r>
              <w:rPr>
                <w:rFonts w:hint="eastAsia" w:cs="宋体"/>
                <w:color w:val="auto"/>
                <w:kern w:val="1"/>
                <w:sz w:val="21"/>
                <w:szCs w:val="21"/>
                <w:highlight w:val="none"/>
              </w:rPr>
              <w:t>电    话：</w:t>
            </w:r>
            <w:r>
              <w:rPr>
                <w:rFonts w:hint="eastAsia" w:cs="宋体"/>
                <w:color w:val="0000FF"/>
                <w:sz w:val="21"/>
                <w:szCs w:val="21"/>
                <w:highlight w:val="none"/>
                <w:u w:val="single"/>
                <w:lang w:val="en-US" w:eastAsia="zh-CN"/>
              </w:rPr>
              <w:t>15980877331</w:t>
            </w:r>
          </w:p>
          <w:p>
            <w:pPr>
              <w:spacing w:line="300" w:lineRule="auto"/>
              <w:ind w:firstLine="420" w:firstLineChars="200"/>
              <w:rPr>
                <w:rFonts w:cs="宋体"/>
                <w:color w:val="auto"/>
                <w:sz w:val="21"/>
                <w:szCs w:val="21"/>
                <w:highlight w:val="none"/>
                <w:u w:val="single"/>
              </w:rPr>
            </w:pPr>
            <w:r>
              <w:rPr>
                <w:rFonts w:hint="eastAsia" w:cs="宋体"/>
                <w:color w:val="auto"/>
                <w:kern w:val="1"/>
                <w:sz w:val="21"/>
                <w:szCs w:val="21"/>
                <w:highlight w:val="none"/>
              </w:rPr>
              <w:t>传    真：</w:t>
            </w:r>
            <w:r>
              <w:rPr>
                <w:rFonts w:hint="eastAsia" w:cs="宋体"/>
                <w:color w:val="auto"/>
                <w:sz w:val="21"/>
                <w:szCs w:val="21"/>
                <w:highlight w:val="none"/>
                <w:u w:val="single"/>
              </w:rPr>
              <w:t xml:space="preserve"> </w:t>
            </w:r>
            <w:r>
              <w:rPr>
                <w:rFonts w:hint="eastAsia" w:cs="宋体"/>
                <w:color w:val="0000FF"/>
                <w:sz w:val="21"/>
                <w:szCs w:val="21"/>
                <w:highlight w:val="none"/>
                <w:u w:val="single"/>
                <w:lang w:eastAsia="zh-CN"/>
              </w:rPr>
              <w:t>无</w:t>
            </w:r>
            <w:r>
              <w:rPr>
                <w:rFonts w:hint="eastAsia" w:cs="宋体"/>
                <w:color w:val="auto"/>
                <w:sz w:val="21"/>
                <w:szCs w:val="21"/>
                <w:highlight w:val="none"/>
                <w:u w:val="single"/>
              </w:rPr>
              <w:t xml:space="preserve"> </w:t>
            </w:r>
          </w:p>
          <w:p>
            <w:pPr>
              <w:spacing w:line="300" w:lineRule="auto"/>
              <w:ind w:firstLine="458"/>
              <w:rPr>
                <w:rFonts w:cs="宋体"/>
                <w:color w:val="auto"/>
                <w:kern w:val="1"/>
                <w:sz w:val="21"/>
                <w:szCs w:val="21"/>
                <w:highlight w:val="none"/>
              </w:rPr>
            </w:pPr>
            <w:r>
              <w:rPr>
                <w:rFonts w:hint="eastAsia" w:cs="宋体"/>
                <w:color w:val="auto"/>
                <w:kern w:val="1"/>
                <w:sz w:val="21"/>
                <w:szCs w:val="21"/>
                <w:highlight w:val="none"/>
              </w:rPr>
              <w:t>电子邮箱：</w:t>
            </w:r>
            <w:r>
              <w:rPr>
                <w:rFonts w:hint="eastAsia" w:ascii="宋体" w:hAnsi="宋体" w:eastAsia="宋体" w:cs="宋体"/>
                <w:color w:val="0000FF"/>
                <w:sz w:val="21"/>
                <w:szCs w:val="21"/>
                <w:highlight w:val="none"/>
                <w:u w:val="single"/>
                <w:lang w:eastAsia="zh-CN"/>
              </w:rPr>
              <w:t>xmxyzj@126.com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1.1.4</w:t>
            </w:r>
          </w:p>
        </w:tc>
        <w:tc>
          <w:tcPr>
            <w:tcW w:w="1984"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项目名称、报建编号、招标项目编号</w:t>
            </w:r>
          </w:p>
        </w:tc>
        <w:tc>
          <w:tcPr>
            <w:tcW w:w="6946" w:type="dxa"/>
            <w:vAlign w:val="center"/>
          </w:tcPr>
          <w:p>
            <w:pPr>
              <w:adjustRightInd w:val="0"/>
              <w:snapToGrid w:val="0"/>
              <w:spacing w:line="300" w:lineRule="auto"/>
              <w:ind w:firstLine="420" w:firstLineChars="200"/>
              <w:textAlignment w:val="baseline"/>
              <w:rPr>
                <w:rFonts w:cs="宋体"/>
                <w:color w:val="auto"/>
                <w:sz w:val="21"/>
                <w:szCs w:val="21"/>
                <w:highlight w:val="none"/>
                <w:u w:val="single"/>
              </w:rPr>
            </w:pPr>
            <w:r>
              <w:rPr>
                <w:rFonts w:hint="eastAsia" w:cs="宋体"/>
                <w:color w:val="auto"/>
                <w:sz w:val="21"/>
                <w:szCs w:val="21"/>
                <w:highlight w:val="none"/>
              </w:rPr>
              <w:t>招标项目名称：</w:t>
            </w:r>
            <w:r>
              <w:rPr>
                <w:rFonts w:hint="eastAsia" w:cs="Times New Roman"/>
                <w:color w:val="0000FF"/>
                <w:sz w:val="21"/>
                <w:szCs w:val="21"/>
                <w:highlight w:val="none"/>
                <w:u w:val="single"/>
                <w:lang w:eastAsia="zh-CN"/>
              </w:rPr>
              <w:t>信达智慧科技园（施工“评定分离”）</w:t>
            </w:r>
          </w:p>
          <w:p>
            <w:pPr>
              <w:adjustRightInd w:val="0"/>
              <w:snapToGrid w:val="0"/>
              <w:spacing w:line="30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报建编号：</w:t>
            </w:r>
            <w:r>
              <w:rPr>
                <w:rFonts w:hint="eastAsia" w:cs="宋体"/>
                <w:color w:val="auto"/>
                <w:sz w:val="21"/>
                <w:szCs w:val="21"/>
                <w:highlight w:val="none"/>
                <w:u w:val="single"/>
              </w:rPr>
              <w:t xml:space="preserve"> </w:t>
            </w:r>
            <w:r>
              <w:rPr>
                <w:rFonts w:hint="eastAsia" w:ascii="宋体" w:hAnsi="宋体" w:eastAsia="宋体" w:cs="Times New Roman"/>
                <w:color w:val="0000FF"/>
                <w:sz w:val="21"/>
                <w:szCs w:val="21"/>
                <w:highlight w:val="none"/>
                <w:u w:val="single"/>
                <w:lang w:eastAsia="zh-CN"/>
              </w:rPr>
              <w:t xml:space="preserve">3502982312010130  </w:t>
            </w:r>
            <w:r>
              <w:rPr>
                <w:rFonts w:hint="eastAsia" w:eastAsia="宋体" w:cs="Times New Roman"/>
                <w:color w:val="0000FF"/>
                <w:sz w:val="21"/>
                <w:szCs w:val="21"/>
                <w:highlight w:val="none"/>
                <w:u w:val="single"/>
                <w:lang w:eastAsia="zh-CN"/>
              </w:rPr>
              <w:t xml:space="preserve"> </w:t>
            </w:r>
            <w:r>
              <w:rPr>
                <w:rFonts w:hint="eastAsia" w:cs="宋体"/>
                <w:color w:val="auto"/>
                <w:sz w:val="21"/>
                <w:szCs w:val="21"/>
                <w:highlight w:val="none"/>
                <w:u w:val="single"/>
              </w:rPr>
              <w:t xml:space="preserve"> </w:t>
            </w:r>
          </w:p>
          <w:p>
            <w:pPr>
              <w:adjustRightInd w:val="0"/>
              <w:snapToGrid w:val="0"/>
              <w:spacing w:line="30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招标项目编号：</w:t>
            </w:r>
            <w:r>
              <w:rPr>
                <w:rFonts w:hint="eastAsia" w:cs="宋体"/>
                <w:color w:val="auto"/>
                <w:sz w:val="21"/>
                <w:szCs w:val="21"/>
                <w:highlight w:val="none"/>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1.1.5</w:t>
            </w:r>
          </w:p>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4.1.1</w:t>
            </w:r>
          </w:p>
        </w:tc>
        <w:tc>
          <w:tcPr>
            <w:tcW w:w="1984" w:type="dxa"/>
            <w:vAlign w:val="center"/>
          </w:tcPr>
          <w:p>
            <w:pPr>
              <w:spacing w:line="300" w:lineRule="auto"/>
              <w:jc w:val="center"/>
              <w:rPr>
                <w:rFonts w:cs="宋体"/>
                <w:color w:val="auto"/>
                <w:kern w:val="1"/>
                <w:sz w:val="21"/>
                <w:szCs w:val="21"/>
                <w:highlight w:val="none"/>
              </w:rPr>
            </w:pPr>
            <w:r>
              <w:rPr>
                <w:rFonts w:hint="eastAsia" w:cs="宋体"/>
                <w:color w:val="auto"/>
                <w:sz w:val="21"/>
                <w:szCs w:val="21"/>
                <w:highlight w:val="none"/>
              </w:rPr>
              <w:t>公共资源电子交易平台</w:t>
            </w:r>
          </w:p>
        </w:tc>
        <w:tc>
          <w:tcPr>
            <w:tcW w:w="6946" w:type="dxa"/>
            <w:vAlign w:val="center"/>
          </w:tcPr>
          <w:p>
            <w:pPr>
              <w:adjustRightInd w:val="0"/>
              <w:snapToGrid w:val="0"/>
              <w:spacing w:line="30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公共资源电子交易平台名称：</w:t>
            </w:r>
            <w:r>
              <w:rPr>
                <w:rFonts w:hint="eastAsia" w:cs="宋体"/>
                <w:color w:val="0000FF"/>
                <w:sz w:val="21"/>
                <w:szCs w:val="21"/>
                <w:highlight w:val="none"/>
                <w:u w:val="single"/>
              </w:rPr>
              <w:t>厦门市建设工程电子招投标交易平台</w:t>
            </w:r>
          </w:p>
          <w:p>
            <w:pPr>
              <w:adjustRightInd w:val="0"/>
              <w:snapToGrid w:val="0"/>
              <w:spacing w:line="30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网址：</w:t>
            </w:r>
            <w:r>
              <w:rPr>
                <w:rFonts w:hint="eastAsia" w:cs="宋体"/>
                <w:color w:val="0000FF"/>
                <w:sz w:val="21"/>
                <w:szCs w:val="21"/>
                <w:highlight w:val="none"/>
                <w:u w:val="single"/>
              </w:rPr>
              <w:t>http://120.41.36.88:9101/xmjy</w:t>
            </w:r>
          </w:p>
          <w:p>
            <w:pPr>
              <w:adjustRightInd w:val="0"/>
              <w:snapToGrid w:val="0"/>
              <w:spacing w:line="300" w:lineRule="auto"/>
              <w:ind w:firstLine="420" w:firstLineChars="200"/>
              <w:textAlignment w:val="baseline"/>
              <w:rPr>
                <w:rFonts w:cs="宋体"/>
                <w:color w:val="auto"/>
                <w:sz w:val="21"/>
                <w:szCs w:val="21"/>
                <w:highlight w:val="none"/>
                <w:u w:val="single"/>
              </w:rPr>
            </w:pPr>
            <w:r>
              <w:rPr>
                <w:rFonts w:hint="eastAsia" w:cs="宋体"/>
                <w:color w:val="auto"/>
                <w:sz w:val="21"/>
                <w:szCs w:val="21"/>
                <w:highlight w:val="none"/>
              </w:rPr>
              <w:t>联系电话：</w:t>
            </w:r>
            <w:r>
              <w:rPr>
                <w:rFonts w:hint="eastAsia" w:cs="宋体"/>
                <w:color w:val="0000FF"/>
                <w:sz w:val="21"/>
                <w:szCs w:val="21"/>
                <w:highlight w:val="none"/>
                <w:u w:val="single"/>
              </w:rPr>
              <w:t>4009996901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1.1.6</w:t>
            </w:r>
          </w:p>
        </w:tc>
        <w:tc>
          <w:tcPr>
            <w:tcW w:w="1984"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建设地点</w:t>
            </w:r>
          </w:p>
        </w:tc>
        <w:tc>
          <w:tcPr>
            <w:tcW w:w="6946" w:type="dxa"/>
            <w:vAlign w:val="center"/>
          </w:tcPr>
          <w:p>
            <w:pPr>
              <w:spacing w:line="300" w:lineRule="auto"/>
              <w:ind w:firstLine="458"/>
              <w:rPr>
                <w:rFonts w:cs="宋体"/>
                <w:color w:val="auto"/>
                <w:kern w:val="1"/>
                <w:sz w:val="21"/>
                <w:szCs w:val="21"/>
                <w:highlight w:val="none"/>
                <w:u w:val="single"/>
              </w:rPr>
            </w:pPr>
            <w:r>
              <w:rPr>
                <w:rFonts w:hint="eastAsia" w:ascii="宋体" w:hAnsi="宋体" w:eastAsia="宋体" w:cs="宋体"/>
                <w:color w:val="0000FF"/>
                <w:sz w:val="21"/>
                <w:szCs w:val="21"/>
                <w:highlight w:val="none"/>
                <w:u w:val="single"/>
              </w:rPr>
              <w:t>厦门市翔安区同翔高新城专精特新产业园区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1.1.7</w:t>
            </w:r>
          </w:p>
        </w:tc>
        <w:tc>
          <w:tcPr>
            <w:tcW w:w="1984"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建设规模</w:t>
            </w:r>
          </w:p>
        </w:tc>
        <w:tc>
          <w:tcPr>
            <w:tcW w:w="6946" w:type="dxa"/>
            <w:vAlign w:val="center"/>
          </w:tcPr>
          <w:p>
            <w:pPr>
              <w:spacing w:line="300" w:lineRule="auto"/>
              <w:ind w:firstLine="420" w:firstLineChars="200"/>
              <w:jc w:val="left"/>
              <w:rPr>
                <w:rFonts w:cs="宋体"/>
                <w:color w:val="auto"/>
                <w:sz w:val="21"/>
                <w:szCs w:val="21"/>
                <w:highlight w:val="none"/>
                <w:u w:val="single"/>
              </w:rPr>
            </w:pPr>
            <w:r>
              <w:rPr>
                <w:rFonts w:hint="eastAsia"/>
                <w:color w:val="0000FF"/>
                <w:sz w:val="21"/>
                <w:szCs w:val="21"/>
                <w:highlight w:val="none"/>
                <w:u w:val="single"/>
              </w:rPr>
              <w:t>本项目建设用地面积为29109.530㎡，总建筑面积约77808.24㎡，其中地上总建筑面积约为74536.47㎡，其中地下室建筑面积约3271.77㎡，最大单体建筑面积约</w:t>
            </w:r>
            <w:r>
              <w:rPr>
                <w:rFonts w:hint="eastAsia"/>
                <w:color w:val="0000FF"/>
                <w:sz w:val="21"/>
                <w:szCs w:val="21"/>
                <w:highlight w:val="none"/>
                <w:u w:val="single"/>
                <w:lang w:eastAsia="zh-CN"/>
              </w:rPr>
              <w:t>30344.702</w:t>
            </w:r>
            <w:r>
              <w:rPr>
                <w:rFonts w:hint="eastAsia"/>
                <w:color w:val="0000FF"/>
                <w:sz w:val="21"/>
                <w:szCs w:val="21"/>
                <w:highlight w:val="none"/>
                <w:u w:val="single"/>
              </w:rPr>
              <w:t>㎡。本工程共4 栋，地上7-11层，地下1层，建筑高度</w:t>
            </w:r>
            <w:r>
              <w:rPr>
                <w:rFonts w:hint="eastAsia"/>
                <w:color w:val="0000FF"/>
                <w:sz w:val="21"/>
                <w:szCs w:val="21"/>
                <w:highlight w:val="none"/>
                <w:u w:val="single"/>
                <w:lang w:eastAsia="zh-CN"/>
              </w:rPr>
              <w:t>48.2</w:t>
            </w:r>
            <w:r>
              <w:rPr>
                <w:rFonts w:hint="eastAsia"/>
                <w:color w:val="0000FF"/>
                <w:sz w:val="21"/>
                <w:szCs w:val="21"/>
                <w:highlight w:val="none"/>
                <w:u w:val="single"/>
              </w:rPr>
              <w:t>米，单跨最大跨度</w:t>
            </w:r>
            <w:r>
              <w:rPr>
                <w:rFonts w:hint="eastAsia"/>
                <w:color w:val="0000FF"/>
                <w:sz w:val="21"/>
                <w:szCs w:val="21"/>
                <w:highlight w:val="none"/>
                <w:u w:val="single"/>
                <w:lang w:val="en-US" w:eastAsia="zh-CN"/>
              </w:rPr>
              <w:t>23</w:t>
            </w:r>
            <w:r>
              <w:rPr>
                <w:rFonts w:hint="eastAsia"/>
                <w:color w:val="0000FF"/>
                <w:sz w:val="21"/>
                <w:szCs w:val="21"/>
                <w:highlight w:val="none"/>
                <w:u w:val="single"/>
              </w:rPr>
              <w:t>米，其中包含专业生产厂房、标准厂房、研发中试厂房、非生产性用房（餐厅、宿舍）、室外景观绿化及相关配套设施及其他工程，建安工程费约</w:t>
            </w:r>
            <w:r>
              <w:rPr>
                <w:rFonts w:hint="eastAsia"/>
                <w:color w:val="0000FF"/>
                <w:sz w:val="21"/>
                <w:szCs w:val="21"/>
                <w:highlight w:val="none"/>
                <w:u w:val="single"/>
                <w:lang w:val="en-US" w:eastAsia="zh-CN"/>
              </w:rPr>
              <w:t>21500</w:t>
            </w:r>
            <w:r>
              <w:rPr>
                <w:rFonts w:hint="eastAsia"/>
                <w:color w:val="0000FF"/>
                <w:sz w:val="21"/>
                <w:szCs w:val="21"/>
                <w:highlight w:val="none"/>
                <w:u w:val="singl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1.1.8/3.2.3</w:t>
            </w:r>
          </w:p>
        </w:tc>
        <w:tc>
          <w:tcPr>
            <w:tcW w:w="1984"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最高投标报价限价</w:t>
            </w:r>
          </w:p>
        </w:tc>
        <w:tc>
          <w:tcPr>
            <w:tcW w:w="6946" w:type="dxa"/>
            <w:vAlign w:val="center"/>
          </w:tcPr>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招标人按以下第</w:t>
            </w:r>
            <w:r>
              <w:rPr>
                <w:rFonts w:hint="eastAsia" w:cs="宋体"/>
                <w:color w:val="auto"/>
                <w:kern w:val="1"/>
                <w:sz w:val="21"/>
                <w:szCs w:val="21"/>
                <w:highlight w:val="none"/>
                <w:u w:val="single"/>
              </w:rPr>
              <w:t xml:space="preserve"> </w:t>
            </w:r>
            <w:r>
              <w:rPr>
                <w:rFonts w:hint="eastAsia" w:cs="宋体"/>
                <w:color w:val="0000FF"/>
                <w:sz w:val="21"/>
                <w:szCs w:val="21"/>
                <w:highlight w:val="none"/>
                <w:u w:val="single"/>
              </w:rPr>
              <w:t>（2）</w:t>
            </w:r>
            <w:r>
              <w:rPr>
                <w:rFonts w:hint="eastAsia" w:cs="宋体"/>
                <w:color w:val="auto"/>
                <w:kern w:val="1"/>
                <w:sz w:val="21"/>
                <w:szCs w:val="21"/>
                <w:highlight w:val="none"/>
                <w:u w:val="single"/>
              </w:rPr>
              <w:t xml:space="preserve"> </w:t>
            </w:r>
            <w:r>
              <w:rPr>
                <w:rFonts w:hint="eastAsia" w:cs="宋体"/>
                <w:color w:val="auto"/>
                <w:kern w:val="1"/>
                <w:sz w:val="21"/>
                <w:szCs w:val="21"/>
                <w:highlight w:val="none"/>
              </w:rPr>
              <w:t>项方式发布：</w:t>
            </w:r>
          </w:p>
          <w:p>
            <w:pPr>
              <w:spacing w:line="360" w:lineRule="auto"/>
              <w:ind w:firstLine="420" w:firstLineChars="200"/>
              <w:rPr>
                <w:rFonts w:cs="宋体"/>
                <w:color w:val="auto"/>
                <w:sz w:val="21"/>
                <w:szCs w:val="21"/>
                <w:highlight w:val="none"/>
                <w:u w:val="single"/>
              </w:rPr>
            </w:pPr>
            <w:r>
              <w:rPr>
                <w:rFonts w:hint="eastAsia" w:cs="宋体"/>
                <w:color w:val="auto"/>
                <w:kern w:val="1"/>
                <w:sz w:val="21"/>
                <w:szCs w:val="21"/>
                <w:highlight w:val="none"/>
              </w:rPr>
              <w:t>（1）</w:t>
            </w:r>
            <w:r>
              <w:rPr>
                <w:rFonts w:hint="eastAsia" w:cs="宋体"/>
                <w:color w:val="auto"/>
                <w:sz w:val="21"/>
                <w:szCs w:val="21"/>
                <w:highlight w:val="none"/>
                <w:u w:val="single"/>
              </w:rPr>
              <w:t xml:space="preserve">  </w:t>
            </w:r>
            <w:r>
              <w:rPr>
                <w:rFonts w:hint="eastAsia" w:cs="宋体"/>
                <w:color w:val="0000FF"/>
                <w:sz w:val="21"/>
                <w:szCs w:val="21"/>
                <w:highlight w:val="none"/>
                <w:u w:val="single"/>
              </w:rPr>
              <w:t>/</w:t>
            </w:r>
            <w:r>
              <w:rPr>
                <w:rFonts w:hint="eastAsia" w:cs="宋体"/>
                <w:color w:val="auto"/>
                <w:sz w:val="21"/>
                <w:szCs w:val="21"/>
                <w:highlight w:val="none"/>
                <w:u w:val="single"/>
              </w:rPr>
              <w:t xml:space="preserve">  </w:t>
            </w:r>
            <w:r>
              <w:rPr>
                <w:rFonts w:hint="eastAsia" w:cs="宋体"/>
                <w:color w:val="auto"/>
                <w:sz w:val="21"/>
                <w:szCs w:val="21"/>
                <w:highlight w:val="none"/>
              </w:rPr>
              <w:t>元，</w:t>
            </w:r>
            <w:r>
              <w:rPr>
                <w:rFonts w:hint="eastAsia"/>
                <w:color w:val="auto"/>
                <w:sz w:val="21"/>
                <w:szCs w:val="21"/>
                <w:highlight w:val="none"/>
              </w:rPr>
              <w:t>招标项目应用建筑信息模型（BIM）技术的，BIM技术应用费</w:t>
            </w:r>
            <w:r>
              <w:rPr>
                <w:rFonts w:hint="eastAsia"/>
                <w:color w:val="auto"/>
                <w:sz w:val="21"/>
                <w:szCs w:val="21"/>
                <w:highlight w:val="none"/>
                <w:u w:val="single"/>
              </w:rPr>
              <w:t xml:space="preserve">   </w:t>
            </w:r>
            <w:r>
              <w:rPr>
                <w:rFonts w:hint="eastAsia" w:cs="宋体"/>
                <w:color w:val="0000FF"/>
                <w:sz w:val="21"/>
                <w:szCs w:val="21"/>
                <w:highlight w:val="none"/>
                <w:u w:val="single"/>
              </w:rPr>
              <w:t>/</w:t>
            </w:r>
            <w:r>
              <w:rPr>
                <w:rFonts w:hint="eastAsia"/>
                <w:color w:val="auto"/>
                <w:sz w:val="21"/>
                <w:szCs w:val="21"/>
                <w:highlight w:val="none"/>
                <w:u w:val="single"/>
              </w:rPr>
              <w:t xml:space="preserve">   </w:t>
            </w:r>
            <w:r>
              <w:rPr>
                <w:rFonts w:hint="eastAsia"/>
                <w:color w:val="auto"/>
                <w:sz w:val="21"/>
                <w:szCs w:val="21"/>
                <w:highlight w:val="none"/>
              </w:rPr>
              <w:t>元。</w:t>
            </w:r>
          </w:p>
          <w:p>
            <w:pPr>
              <w:spacing w:line="300" w:lineRule="auto"/>
              <w:ind w:firstLine="420" w:firstLineChars="200"/>
              <w:rPr>
                <w:rFonts w:cs="宋体"/>
                <w:color w:val="auto"/>
                <w:sz w:val="21"/>
                <w:szCs w:val="21"/>
                <w:highlight w:val="none"/>
                <w:u w:val="single"/>
              </w:rPr>
            </w:pPr>
            <w:r>
              <w:rPr>
                <w:rFonts w:hint="eastAsia" w:cs="宋体"/>
                <w:color w:val="auto"/>
                <w:sz w:val="21"/>
                <w:szCs w:val="21"/>
                <w:highlight w:val="none"/>
              </w:rPr>
              <w:t>（2）投标截止时间7日前发布。</w:t>
            </w:r>
            <w:r>
              <w:rPr>
                <w:rFonts w:hint="eastAsia"/>
                <w:color w:val="auto"/>
                <w:sz w:val="21"/>
                <w:szCs w:val="21"/>
                <w:highlight w:val="none"/>
              </w:rPr>
              <w:t>招标项目应用建筑信息模型（BIM）技术的，BIM技术应用费在最高投标报价限价中发布。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1.1.9</w:t>
            </w:r>
          </w:p>
        </w:tc>
        <w:tc>
          <w:tcPr>
            <w:tcW w:w="1984"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计划工期</w:t>
            </w:r>
          </w:p>
        </w:tc>
        <w:tc>
          <w:tcPr>
            <w:tcW w:w="6946" w:type="dxa"/>
            <w:vAlign w:val="center"/>
          </w:tcPr>
          <w:p>
            <w:pPr>
              <w:spacing w:line="360" w:lineRule="auto"/>
              <w:ind w:firstLine="420"/>
              <w:rPr>
                <w:rFonts w:hint="eastAsia" w:cs="宋体"/>
                <w:color w:val="auto"/>
                <w:sz w:val="21"/>
                <w:szCs w:val="21"/>
                <w:highlight w:val="none"/>
                <w:u w:val="single"/>
              </w:rPr>
            </w:pPr>
            <w:r>
              <w:rPr>
                <w:rFonts w:hint="eastAsia" w:cs="宋体"/>
                <w:color w:val="auto"/>
                <w:sz w:val="21"/>
                <w:szCs w:val="21"/>
                <w:highlight w:val="none"/>
              </w:rPr>
              <w:t>总工期为</w:t>
            </w:r>
            <w:r>
              <w:rPr>
                <w:rFonts w:hint="eastAsia" w:cs="宋体"/>
                <w:color w:val="auto"/>
                <w:sz w:val="21"/>
                <w:szCs w:val="21"/>
                <w:highlight w:val="none"/>
                <w:u w:val="single"/>
              </w:rPr>
              <w:t xml:space="preserve"> </w:t>
            </w:r>
            <w:r>
              <w:rPr>
                <w:rFonts w:hint="eastAsia" w:cs="宋体"/>
                <w:color w:val="0000FF"/>
                <w:sz w:val="21"/>
                <w:szCs w:val="21"/>
                <w:highlight w:val="none"/>
                <w:u w:val="single"/>
                <w:lang w:val="en-US" w:eastAsia="zh-CN"/>
              </w:rPr>
              <w:t>710</w:t>
            </w:r>
            <w:r>
              <w:rPr>
                <w:rFonts w:hint="eastAsia" w:cs="宋体"/>
                <w:color w:val="auto"/>
                <w:sz w:val="21"/>
                <w:szCs w:val="21"/>
                <w:highlight w:val="none"/>
                <w:u w:val="single"/>
              </w:rPr>
              <w:t xml:space="preserve"> </w:t>
            </w:r>
            <w:r>
              <w:rPr>
                <w:rFonts w:hint="eastAsia" w:cs="宋体"/>
                <w:color w:val="auto"/>
                <w:sz w:val="21"/>
                <w:szCs w:val="21"/>
                <w:highlight w:val="none"/>
              </w:rPr>
              <w:t>日历天，定额工期</w:t>
            </w:r>
            <w:r>
              <w:rPr>
                <w:rFonts w:hint="eastAsia" w:cs="宋体"/>
                <w:color w:val="auto"/>
                <w:sz w:val="21"/>
                <w:szCs w:val="21"/>
                <w:highlight w:val="none"/>
                <w:u w:val="single"/>
              </w:rPr>
              <w:t xml:space="preserve"> </w:t>
            </w:r>
            <w:r>
              <w:rPr>
                <w:rFonts w:hint="eastAsia" w:cs="宋体"/>
                <w:color w:val="0000FF"/>
                <w:sz w:val="21"/>
                <w:szCs w:val="21"/>
                <w:highlight w:val="none"/>
                <w:u w:val="single"/>
                <w:lang w:val="en-US" w:eastAsia="zh-CN"/>
              </w:rPr>
              <w:t>763</w:t>
            </w:r>
            <w:r>
              <w:rPr>
                <w:rFonts w:hint="eastAsia" w:cs="宋体"/>
                <w:color w:val="auto"/>
                <w:sz w:val="21"/>
                <w:szCs w:val="21"/>
                <w:highlight w:val="none"/>
                <w:u w:val="single"/>
              </w:rPr>
              <w:t xml:space="preserve"> </w:t>
            </w:r>
            <w:r>
              <w:rPr>
                <w:rFonts w:hint="eastAsia" w:cs="宋体"/>
                <w:color w:val="auto"/>
                <w:sz w:val="21"/>
                <w:szCs w:val="21"/>
                <w:highlight w:val="none"/>
              </w:rPr>
              <w:t>日历天；其中各关键节点的工期要求为：</w:t>
            </w:r>
            <w:r>
              <w:rPr>
                <w:rFonts w:hint="eastAsia" w:cs="宋体"/>
                <w:color w:val="auto"/>
                <w:sz w:val="21"/>
                <w:szCs w:val="21"/>
                <w:highlight w:val="none"/>
                <w:u w:val="single"/>
              </w:rPr>
              <w:t>桩基工程：开工后</w:t>
            </w:r>
            <w:r>
              <w:rPr>
                <w:rFonts w:hint="eastAsia" w:cs="宋体"/>
                <w:color w:val="auto"/>
                <w:sz w:val="21"/>
                <w:szCs w:val="21"/>
                <w:highlight w:val="none"/>
                <w:u w:val="single"/>
                <w:lang w:val="en-US" w:eastAsia="zh-CN"/>
              </w:rPr>
              <w:t>75</w:t>
            </w:r>
            <w:r>
              <w:rPr>
                <w:rFonts w:hint="eastAsia" w:cs="宋体"/>
                <w:color w:val="auto"/>
                <w:sz w:val="21"/>
                <w:szCs w:val="21"/>
                <w:highlight w:val="none"/>
                <w:u w:val="single"/>
              </w:rPr>
              <w:t>日历天内完成；</w:t>
            </w:r>
          </w:p>
          <w:p>
            <w:pPr>
              <w:spacing w:line="360" w:lineRule="auto"/>
              <w:ind w:firstLine="420"/>
              <w:rPr>
                <w:rFonts w:hint="eastAsia" w:cs="宋体"/>
                <w:color w:val="auto"/>
                <w:sz w:val="21"/>
                <w:szCs w:val="21"/>
                <w:highlight w:val="none"/>
                <w:u w:val="single"/>
              </w:rPr>
            </w:pPr>
            <w:r>
              <w:rPr>
                <w:rFonts w:hint="eastAsia" w:cs="宋体"/>
                <w:color w:val="auto"/>
                <w:sz w:val="21"/>
                <w:szCs w:val="21"/>
                <w:highlight w:val="none"/>
                <w:u w:val="single"/>
              </w:rPr>
              <w:t>主楼正负零：开工后1</w:t>
            </w:r>
            <w:r>
              <w:rPr>
                <w:rFonts w:hint="eastAsia" w:cs="宋体"/>
                <w:color w:val="auto"/>
                <w:sz w:val="21"/>
                <w:szCs w:val="21"/>
                <w:highlight w:val="none"/>
                <w:u w:val="single"/>
                <w:lang w:val="en-US" w:eastAsia="zh-CN"/>
              </w:rPr>
              <w:t>1</w:t>
            </w:r>
            <w:r>
              <w:rPr>
                <w:rFonts w:hint="eastAsia" w:cs="宋体"/>
                <w:color w:val="auto"/>
                <w:sz w:val="21"/>
                <w:szCs w:val="21"/>
                <w:highlight w:val="none"/>
                <w:u w:val="single"/>
              </w:rPr>
              <w:t>0日历天内完成；</w:t>
            </w:r>
          </w:p>
          <w:p>
            <w:pPr>
              <w:spacing w:line="360" w:lineRule="auto"/>
              <w:ind w:firstLine="420"/>
              <w:rPr>
                <w:rFonts w:hint="eastAsia" w:cs="宋体"/>
                <w:color w:val="auto"/>
                <w:sz w:val="21"/>
                <w:szCs w:val="21"/>
                <w:highlight w:val="none"/>
                <w:u w:val="single"/>
              </w:rPr>
            </w:pPr>
            <w:r>
              <w:rPr>
                <w:rFonts w:hint="eastAsia" w:cs="宋体"/>
                <w:color w:val="auto"/>
                <w:sz w:val="21"/>
                <w:szCs w:val="21"/>
                <w:highlight w:val="none"/>
                <w:u w:val="single"/>
              </w:rPr>
              <w:t>主体结构封顶：开工后2</w:t>
            </w:r>
            <w:r>
              <w:rPr>
                <w:rFonts w:hint="eastAsia" w:cs="宋体"/>
                <w:color w:val="auto"/>
                <w:sz w:val="21"/>
                <w:szCs w:val="21"/>
                <w:highlight w:val="none"/>
                <w:u w:val="single"/>
                <w:lang w:val="en-US" w:eastAsia="zh-CN"/>
              </w:rPr>
              <w:t>67</w:t>
            </w:r>
            <w:r>
              <w:rPr>
                <w:rFonts w:hint="eastAsia" w:cs="宋体"/>
                <w:color w:val="auto"/>
                <w:sz w:val="21"/>
                <w:szCs w:val="21"/>
                <w:highlight w:val="none"/>
                <w:u w:val="single"/>
              </w:rPr>
              <w:t>日历天内完成；</w:t>
            </w:r>
          </w:p>
          <w:p>
            <w:pPr>
              <w:spacing w:line="360" w:lineRule="auto"/>
              <w:ind w:firstLine="420"/>
              <w:rPr>
                <w:rFonts w:cs="宋体"/>
                <w:color w:val="auto"/>
                <w:sz w:val="21"/>
                <w:szCs w:val="21"/>
                <w:highlight w:val="none"/>
              </w:rPr>
            </w:pPr>
            <w:r>
              <w:rPr>
                <w:rFonts w:hint="eastAsia" w:cs="宋体"/>
                <w:color w:val="auto"/>
                <w:sz w:val="21"/>
                <w:szCs w:val="21"/>
                <w:highlight w:val="none"/>
                <w:u w:val="single"/>
              </w:rPr>
              <w:t>竣工备案：开工后</w:t>
            </w:r>
            <w:r>
              <w:rPr>
                <w:rFonts w:hint="eastAsia" w:cs="宋体"/>
                <w:color w:val="auto"/>
                <w:sz w:val="21"/>
                <w:szCs w:val="21"/>
                <w:highlight w:val="none"/>
                <w:u w:val="single"/>
                <w:lang w:val="en-US" w:eastAsia="zh-CN"/>
              </w:rPr>
              <w:t>710</w:t>
            </w:r>
            <w:r>
              <w:rPr>
                <w:rFonts w:hint="eastAsia" w:cs="宋体"/>
                <w:color w:val="auto"/>
                <w:sz w:val="21"/>
                <w:szCs w:val="21"/>
                <w:highlight w:val="none"/>
                <w:u w:val="single"/>
              </w:rPr>
              <w:t>日历天内完成</w:t>
            </w:r>
            <w:r>
              <w:rPr>
                <w:rFonts w:hint="eastAsia" w:cs="宋体"/>
                <w:color w:val="0000FF"/>
                <w:sz w:val="21"/>
                <w:szCs w:val="21"/>
                <w:highlight w:val="none"/>
                <w:u w:val="singl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1.1.10</w:t>
            </w:r>
          </w:p>
        </w:tc>
        <w:tc>
          <w:tcPr>
            <w:tcW w:w="1984"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质量要求</w:t>
            </w:r>
          </w:p>
        </w:tc>
        <w:tc>
          <w:tcPr>
            <w:tcW w:w="6946" w:type="dxa"/>
            <w:vAlign w:val="center"/>
          </w:tcPr>
          <w:p>
            <w:pPr>
              <w:spacing w:line="300" w:lineRule="auto"/>
              <w:ind w:firstLine="458"/>
              <w:rPr>
                <w:rFonts w:cs="宋体"/>
                <w:color w:val="auto"/>
                <w:sz w:val="21"/>
                <w:szCs w:val="21"/>
                <w:highlight w:val="none"/>
              </w:rPr>
            </w:pPr>
            <w:r>
              <w:rPr>
                <w:rFonts w:hint="eastAsia" w:cs="宋体"/>
                <w:color w:val="auto"/>
                <w:kern w:val="1"/>
                <w:sz w:val="21"/>
                <w:szCs w:val="21"/>
                <w:highlight w:val="none"/>
                <w:u w:val="single"/>
              </w:rPr>
              <w:t xml:space="preserve"> </w:t>
            </w:r>
            <w:r>
              <w:rPr>
                <w:rFonts w:hint="eastAsia" w:cs="宋体"/>
                <w:color w:val="0000FF"/>
                <w:kern w:val="1"/>
                <w:sz w:val="21"/>
                <w:szCs w:val="21"/>
                <w:highlight w:val="none"/>
                <w:u w:val="single"/>
                <w:lang w:eastAsia="zh-CN"/>
              </w:rPr>
              <w:t>合格</w:t>
            </w:r>
            <w:r>
              <w:rPr>
                <w:rFonts w:hint="eastAsia" w:cs="宋体"/>
                <w:color w:val="auto"/>
                <w:kern w:val="1"/>
                <w:sz w:val="21"/>
                <w:szCs w:val="21"/>
                <w:highlight w:val="none"/>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1.1.11</w:t>
            </w:r>
          </w:p>
        </w:tc>
        <w:tc>
          <w:tcPr>
            <w:tcW w:w="1984"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与招标项目有关的设计或咨询单位</w:t>
            </w:r>
            <w:r>
              <w:rPr>
                <w:rStyle w:val="74"/>
                <w:rFonts w:cs="宋体"/>
                <w:color w:val="auto"/>
                <w:kern w:val="1"/>
                <w:sz w:val="21"/>
                <w:szCs w:val="21"/>
                <w:highlight w:val="none"/>
              </w:rPr>
              <w:footnoteReference w:id="15"/>
            </w:r>
          </w:p>
        </w:tc>
        <w:tc>
          <w:tcPr>
            <w:tcW w:w="6946" w:type="dxa"/>
            <w:vAlign w:val="center"/>
          </w:tcPr>
          <w:p>
            <w:pPr>
              <w:widowControl/>
              <w:tabs>
                <w:tab w:val="left" w:pos="510"/>
              </w:tabs>
              <w:spacing w:line="300" w:lineRule="auto"/>
              <w:ind w:firstLine="420" w:firstLineChars="200"/>
              <w:jc w:val="left"/>
              <w:rPr>
                <w:rFonts w:hint="eastAsia" w:ascii="宋体" w:hAnsi="宋体" w:eastAsia="宋体" w:cs="宋体"/>
                <w:color w:val="0000FF"/>
                <w:kern w:val="1"/>
                <w:sz w:val="21"/>
                <w:szCs w:val="21"/>
                <w:highlight w:val="none"/>
                <w:u w:val="single"/>
              </w:rPr>
            </w:pPr>
            <w:r>
              <w:rPr>
                <w:rFonts w:hint="eastAsia" w:hAnsi="Times New Roman"/>
                <w:color w:val="auto"/>
                <w:sz w:val="21"/>
                <w:szCs w:val="21"/>
                <w:highlight w:val="none"/>
              </w:rPr>
              <w:t>设计</w:t>
            </w:r>
            <w:r>
              <w:rPr>
                <w:rFonts w:hint="eastAsia"/>
                <w:color w:val="auto"/>
                <w:sz w:val="21"/>
                <w:szCs w:val="21"/>
                <w:highlight w:val="none"/>
              </w:rPr>
              <w:t>单位：</w:t>
            </w:r>
            <w:r>
              <w:rPr>
                <w:rFonts w:hint="eastAsia" w:ascii="宋体" w:hAnsi="宋体" w:eastAsia="宋体" w:cs="宋体"/>
                <w:color w:val="0000FF"/>
                <w:kern w:val="1"/>
                <w:sz w:val="21"/>
                <w:szCs w:val="21"/>
                <w:highlight w:val="none"/>
                <w:u w:val="single"/>
              </w:rPr>
              <w:t>中元（厦门）工程设计研究院有限公司</w:t>
            </w:r>
          </w:p>
          <w:p>
            <w:pPr>
              <w:widowControl/>
              <w:tabs>
                <w:tab w:val="left" w:pos="510"/>
              </w:tabs>
              <w:spacing w:line="300" w:lineRule="auto"/>
              <w:ind w:firstLine="420" w:firstLineChars="200"/>
              <w:jc w:val="left"/>
              <w:rPr>
                <w:color w:val="auto"/>
                <w:sz w:val="21"/>
                <w:szCs w:val="21"/>
                <w:highlight w:val="none"/>
                <w:u w:val="single"/>
              </w:rPr>
            </w:pPr>
            <w:r>
              <w:rPr>
                <w:rFonts w:hint="eastAsia"/>
                <w:color w:val="auto"/>
                <w:sz w:val="21"/>
                <w:szCs w:val="21"/>
                <w:highlight w:val="none"/>
              </w:rPr>
              <w:t>监理单位：</w:t>
            </w:r>
            <w:r>
              <w:rPr>
                <w:rFonts w:hint="eastAsia"/>
                <w:color w:val="auto"/>
                <w:sz w:val="21"/>
                <w:szCs w:val="21"/>
                <w:highlight w:val="none"/>
                <w:u w:val="single"/>
              </w:rPr>
              <w:t xml:space="preserve">  </w:t>
            </w:r>
            <w:r>
              <w:rPr>
                <w:rFonts w:hint="eastAsia" w:cs="宋体"/>
                <w:color w:val="0000FF"/>
                <w:kern w:val="1"/>
                <w:sz w:val="21"/>
                <w:szCs w:val="21"/>
                <w:highlight w:val="none"/>
                <w:u w:val="single"/>
                <w:lang w:eastAsia="zh-CN"/>
              </w:rPr>
              <w:t>待定</w:t>
            </w:r>
            <w:r>
              <w:rPr>
                <w:rFonts w:hint="eastAsia" w:cs="宋体"/>
                <w:color w:val="0000FF"/>
                <w:kern w:val="1"/>
                <w:sz w:val="21"/>
                <w:szCs w:val="21"/>
                <w:highlight w:val="none"/>
                <w:u w:val="single"/>
              </w:rPr>
              <w:t xml:space="preserve"> </w:t>
            </w:r>
            <w:r>
              <w:rPr>
                <w:rFonts w:hint="eastAsia"/>
                <w:color w:val="auto"/>
                <w:sz w:val="21"/>
                <w:szCs w:val="21"/>
                <w:highlight w:val="none"/>
                <w:u w:val="single"/>
              </w:rPr>
              <w:t xml:space="preserve">  </w:t>
            </w:r>
          </w:p>
          <w:p>
            <w:pPr>
              <w:widowControl/>
              <w:tabs>
                <w:tab w:val="left" w:pos="510"/>
              </w:tabs>
              <w:spacing w:line="300" w:lineRule="auto"/>
              <w:ind w:firstLine="420" w:firstLineChars="200"/>
              <w:jc w:val="left"/>
              <w:rPr>
                <w:color w:val="auto"/>
                <w:sz w:val="21"/>
                <w:szCs w:val="21"/>
                <w:highlight w:val="none"/>
                <w:u w:val="single"/>
              </w:rPr>
            </w:pPr>
            <w:r>
              <w:rPr>
                <w:rFonts w:hint="eastAsia"/>
                <w:color w:val="auto"/>
                <w:sz w:val="21"/>
                <w:szCs w:val="21"/>
                <w:highlight w:val="none"/>
              </w:rPr>
              <w:t>代建单位：</w:t>
            </w:r>
            <w:r>
              <w:rPr>
                <w:rFonts w:hint="eastAsia" w:cs="宋体"/>
                <w:color w:val="0000FF"/>
                <w:kern w:val="1"/>
                <w:sz w:val="21"/>
                <w:szCs w:val="21"/>
                <w:highlight w:val="none"/>
                <w:u w:val="single"/>
              </w:rPr>
              <w:t>厦门国贸建设开发有限公司</w:t>
            </w:r>
          </w:p>
          <w:p>
            <w:pPr>
              <w:widowControl/>
              <w:tabs>
                <w:tab w:val="left" w:pos="510"/>
              </w:tabs>
              <w:spacing w:line="300" w:lineRule="auto"/>
              <w:ind w:firstLine="420" w:firstLineChars="200"/>
              <w:jc w:val="left"/>
              <w:rPr>
                <w:color w:val="auto"/>
                <w:sz w:val="21"/>
                <w:szCs w:val="21"/>
                <w:highlight w:val="none"/>
                <w:u w:val="single"/>
              </w:rPr>
            </w:pPr>
            <w:r>
              <w:rPr>
                <w:rFonts w:hint="eastAsia"/>
                <w:color w:val="auto"/>
                <w:sz w:val="21"/>
                <w:szCs w:val="21"/>
                <w:highlight w:val="none"/>
              </w:rPr>
              <w:t>全过程工程咨询单位：</w:t>
            </w:r>
            <w:r>
              <w:rPr>
                <w:rFonts w:hint="eastAsia"/>
                <w:color w:val="auto"/>
                <w:sz w:val="21"/>
                <w:szCs w:val="21"/>
                <w:highlight w:val="none"/>
                <w:u w:val="single"/>
              </w:rPr>
              <w:t xml:space="preserve">   </w:t>
            </w:r>
            <w:r>
              <w:rPr>
                <w:rFonts w:hint="eastAsia"/>
                <w:color w:val="0000FF"/>
                <w:sz w:val="21"/>
                <w:szCs w:val="21"/>
                <w:highlight w:val="none"/>
                <w:u w:val="single"/>
                <w:lang w:val="en-US" w:eastAsia="zh-CN"/>
              </w:rPr>
              <w:t>/</w:t>
            </w:r>
            <w:r>
              <w:rPr>
                <w:rFonts w:hint="eastAsia"/>
                <w:color w:val="auto"/>
                <w:sz w:val="21"/>
                <w:szCs w:val="21"/>
                <w:highlight w:val="none"/>
                <w:u w:val="single"/>
              </w:rPr>
              <w:t xml:space="preserve">      </w:t>
            </w:r>
          </w:p>
          <w:p>
            <w:pPr>
              <w:widowControl/>
              <w:tabs>
                <w:tab w:val="left" w:pos="510"/>
              </w:tabs>
              <w:spacing w:line="300" w:lineRule="auto"/>
              <w:ind w:firstLine="420" w:firstLineChars="200"/>
              <w:jc w:val="left"/>
              <w:rPr>
                <w:rFonts w:hint="eastAsia" w:eastAsia="宋体"/>
                <w:color w:val="auto"/>
                <w:sz w:val="21"/>
                <w:szCs w:val="21"/>
                <w:highlight w:val="none"/>
                <w:lang w:eastAsia="zh-CN"/>
              </w:rPr>
            </w:pPr>
            <w:r>
              <w:rPr>
                <w:rFonts w:hint="eastAsia"/>
                <w:color w:val="auto"/>
                <w:kern w:val="2"/>
                <w:sz w:val="21"/>
                <w:szCs w:val="21"/>
                <w:highlight w:val="none"/>
              </w:rPr>
              <w:t>造价咨询单位（编制）：</w:t>
            </w:r>
            <w:r>
              <w:rPr>
                <w:rFonts w:hint="eastAsia"/>
                <w:color w:val="0000FF"/>
                <w:kern w:val="2"/>
                <w:sz w:val="21"/>
                <w:szCs w:val="21"/>
                <w:highlight w:val="none"/>
                <w:u w:val="single"/>
                <w:lang w:eastAsia="zh-CN"/>
              </w:rPr>
              <w:t>福州信源工程造价咨询有限公司</w:t>
            </w:r>
          </w:p>
          <w:p>
            <w:pPr>
              <w:widowControl/>
              <w:tabs>
                <w:tab w:val="left" w:pos="510"/>
              </w:tabs>
              <w:spacing w:line="300" w:lineRule="auto"/>
              <w:ind w:firstLine="420" w:firstLineChars="200"/>
              <w:jc w:val="left"/>
              <w:rPr>
                <w:color w:val="auto"/>
                <w:sz w:val="21"/>
                <w:szCs w:val="21"/>
                <w:highlight w:val="none"/>
              </w:rPr>
            </w:pPr>
            <w:r>
              <w:rPr>
                <w:rFonts w:hint="eastAsia"/>
                <w:color w:val="auto"/>
                <w:sz w:val="21"/>
                <w:szCs w:val="21"/>
                <w:highlight w:val="none"/>
              </w:rPr>
              <w:t>造价咨询单位（审核）：</w:t>
            </w:r>
            <w:r>
              <w:rPr>
                <w:rFonts w:hint="eastAsia"/>
                <w:color w:val="auto"/>
                <w:sz w:val="21"/>
                <w:szCs w:val="21"/>
                <w:highlight w:val="none"/>
                <w:u w:val="single"/>
              </w:rPr>
              <w:t xml:space="preserve">    </w:t>
            </w:r>
            <w:r>
              <w:rPr>
                <w:rFonts w:hint="eastAsia"/>
                <w:color w:val="0000FF"/>
                <w:sz w:val="21"/>
                <w:szCs w:val="21"/>
                <w:highlight w:val="none"/>
                <w:u w:val="single"/>
                <w:lang w:val="en-US" w:eastAsia="zh-CN"/>
              </w:rPr>
              <w:t>/</w:t>
            </w:r>
            <w:r>
              <w:rPr>
                <w:rFonts w:hint="eastAsia"/>
                <w:color w:val="auto"/>
                <w:sz w:val="21"/>
                <w:szCs w:val="21"/>
                <w:highlight w:val="none"/>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1.2.1</w:t>
            </w:r>
          </w:p>
        </w:tc>
        <w:tc>
          <w:tcPr>
            <w:tcW w:w="1984"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资金来源及比例</w:t>
            </w:r>
          </w:p>
        </w:tc>
        <w:tc>
          <w:tcPr>
            <w:tcW w:w="6946" w:type="dxa"/>
            <w:vAlign w:val="center"/>
          </w:tcPr>
          <w:p>
            <w:pPr>
              <w:spacing w:line="300" w:lineRule="auto"/>
              <w:ind w:firstLine="458"/>
              <w:rPr>
                <w:rFonts w:hint="default" w:eastAsia="宋体" w:cs="宋体"/>
                <w:color w:val="auto"/>
                <w:kern w:val="1"/>
                <w:sz w:val="21"/>
                <w:szCs w:val="21"/>
                <w:highlight w:val="none"/>
                <w:u w:val="single"/>
                <w:lang w:val="en-US" w:eastAsia="zh-CN"/>
              </w:rPr>
            </w:pPr>
            <w:r>
              <w:rPr>
                <w:rFonts w:hint="eastAsia" w:cs="宋体"/>
                <w:color w:val="0000FF"/>
                <w:kern w:val="1"/>
                <w:sz w:val="21"/>
                <w:szCs w:val="21"/>
                <w:highlight w:val="none"/>
                <w:u w:val="single"/>
              </w:rPr>
              <w:t>财政投融资</w:t>
            </w:r>
            <w:r>
              <w:rPr>
                <w:rFonts w:hint="eastAsia" w:cs="宋体"/>
                <w:color w:val="0000FF"/>
                <w:kern w:val="1"/>
                <w:sz w:val="21"/>
                <w:szCs w:val="21"/>
                <w:highlight w:val="none"/>
                <w:u w:val="single"/>
                <w:lang w:eastAsia="zh-CN"/>
              </w:rPr>
              <w:t>比例</w:t>
            </w:r>
            <w:r>
              <w:rPr>
                <w:rFonts w:hint="eastAsia" w:cs="宋体"/>
                <w:color w:val="0000FF"/>
                <w:kern w:val="1"/>
                <w:sz w:val="21"/>
                <w:szCs w:val="21"/>
                <w:highlight w:val="none"/>
                <w:u w:val="single"/>
                <w:lang w:val="en-US" w:eastAsia="zh-CN"/>
              </w:rPr>
              <w:t>0</w:t>
            </w:r>
            <w:r>
              <w:rPr>
                <w:rFonts w:hint="eastAsia" w:cs="宋体"/>
                <w:color w:val="0000FF"/>
                <w:kern w:val="1"/>
                <w:sz w:val="21"/>
                <w:szCs w:val="21"/>
                <w:highlight w:val="none"/>
                <w:u w:val="single"/>
              </w:rPr>
              <w:t>%</w:t>
            </w:r>
            <w:r>
              <w:rPr>
                <w:rFonts w:hint="eastAsia" w:cs="宋体"/>
                <w:color w:val="0000FF"/>
                <w:kern w:val="1"/>
                <w:sz w:val="21"/>
                <w:szCs w:val="21"/>
                <w:highlight w:val="none"/>
                <w:u w:val="single"/>
                <w:lang w:eastAsia="zh-CN"/>
              </w:rPr>
              <w:t>，自筹资金比例</w:t>
            </w:r>
            <w:r>
              <w:rPr>
                <w:rFonts w:hint="eastAsia" w:cs="宋体"/>
                <w:color w:val="0000FF"/>
                <w:kern w:val="1"/>
                <w:sz w:val="21"/>
                <w:szCs w:val="21"/>
                <w:highlight w:val="none"/>
                <w:u w:val="single"/>
                <w:lang w:val="en-US" w:eastAsia="zh-CN"/>
              </w:rPr>
              <w:t>100%，其他资金比例0%。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1.2.2</w:t>
            </w:r>
          </w:p>
        </w:tc>
        <w:tc>
          <w:tcPr>
            <w:tcW w:w="1984"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资金落实情况</w:t>
            </w:r>
          </w:p>
        </w:tc>
        <w:tc>
          <w:tcPr>
            <w:tcW w:w="6946" w:type="dxa"/>
            <w:vAlign w:val="center"/>
          </w:tcPr>
          <w:p>
            <w:pPr>
              <w:spacing w:line="300" w:lineRule="auto"/>
              <w:ind w:firstLine="458"/>
              <w:rPr>
                <w:rFonts w:cs="宋体"/>
                <w:color w:val="auto"/>
                <w:kern w:val="1"/>
                <w:sz w:val="21"/>
                <w:szCs w:val="21"/>
                <w:highlight w:val="none"/>
                <w:u w:val="single"/>
              </w:rPr>
            </w:pPr>
            <w:r>
              <w:rPr>
                <w:rFonts w:hint="eastAsia" w:cs="宋体"/>
                <w:color w:val="0000FF"/>
                <w:kern w:val="1"/>
                <w:sz w:val="21"/>
                <w:szCs w:val="21"/>
                <w:highlight w:val="none"/>
                <w:u w:val="single"/>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1.3.1</w:t>
            </w:r>
          </w:p>
        </w:tc>
        <w:tc>
          <w:tcPr>
            <w:tcW w:w="1984"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工程类别</w:t>
            </w:r>
          </w:p>
        </w:tc>
        <w:tc>
          <w:tcPr>
            <w:tcW w:w="6946" w:type="dxa"/>
            <w:vAlign w:val="center"/>
          </w:tcPr>
          <w:p>
            <w:pPr>
              <w:spacing w:line="300" w:lineRule="auto"/>
              <w:ind w:firstLine="458"/>
              <w:rPr>
                <w:rFonts w:cs="宋体"/>
                <w:color w:val="auto"/>
                <w:kern w:val="1"/>
                <w:sz w:val="21"/>
                <w:szCs w:val="21"/>
                <w:highlight w:val="none"/>
                <w:u w:val="single"/>
              </w:rPr>
            </w:pPr>
            <w:r>
              <w:rPr>
                <w:rFonts w:hint="eastAsia" w:cs="宋体"/>
                <w:color w:val="0000FF"/>
                <w:kern w:val="1"/>
                <w:sz w:val="21"/>
                <w:szCs w:val="21"/>
                <w:highlight w:val="none"/>
                <w:u w:val="single"/>
              </w:rPr>
              <w:t>房屋建筑工程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1.3.2</w:t>
            </w:r>
          </w:p>
        </w:tc>
        <w:tc>
          <w:tcPr>
            <w:tcW w:w="1984"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招标类型</w:t>
            </w:r>
          </w:p>
        </w:tc>
        <w:tc>
          <w:tcPr>
            <w:tcW w:w="6946" w:type="dxa"/>
            <w:vAlign w:val="center"/>
          </w:tcPr>
          <w:p>
            <w:pPr>
              <w:spacing w:line="300" w:lineRule="auto"/>
              <w:ind w:firstLine="458"/>
              <w:rPr>
                <w:rFonts w:cs="宋体"/>
                <w:color w:val="auto"/>
                <w:kern w:val="1"/>
                <w:sz w:val="21"/>
                <w:szCs w:val="21"/>
                <w:highlight w:val="none"/>
                <w:u w:val="single"/>
              </w:rPr>
            </w:pPr>
            <w:r>
              <w:rPr>
                <w:rFonts w:hint="eastAsia" w:cs="宋体"/>
                <w:color w:val="0000FF"/>
                <w:sz w:val="21"/>
                <w:szCs w:val="21"/>
                <w:highlight w:val="none"/>
                <w:u w:val="single"/>
                <w:lang w:bidi="zh-CN"/>
              </w:rPr>
              <w:t>施工总承包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1.3.3</w:t>
            </w:r>
          </w:p>
        </w:tc>
        <w:tc>
          <w:tcPr>
            <w:tcW w:w="1984"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招标范围</w:t>
            </w:r>
          </w:p>
        </w:tc>
        <w:tc>
          <w:tcPr>
            <w:tcW w:w="6946" w:type="dxa"/>
            <w:vAlign w:val="center"/>
          </w:tcPr>
          <w:p>
            <w:pPr>
              <w:spacing w:line="300" w:lineRule="auto"/>
              <w:ind w:firstLine="420"/>
              <w:rPr>
                <w:rFonts w:cs="宋体"/>
                <w:b/>
                <w:color w:val="auto"/>
                <w:kern w:val="1"/>
                <w:sz w:val="21"/>
                <w:szCs w:val="21"/>
                <w:highlight w:val="none"/>
              </w:rPr>
            </w:pPr>
            <w:r>
              <w:rPr>
                <w:rFonts w:hint="eastAsia" w:cs="宋体"/>
                <w:color w:val="0000FF"/>
                <w:sz w:val="21"/>
                <w:szCs w:val="21"/>
                <w:highlight w:val="none"/>
                <w:u w:val="single"/>
              </w:rPr>
              <w:t>包含但不限于：边坡及基坑支护工程、土石方工程、桩基工程、地下室及上部主体结构工程、装修工程、门窗工程、人防工程、给排水工程、电气工程、消防工程、暖通工程、智能化</w:t>
            </w:r>
            <w:r>
              <w:rPr>
                <w:rFonts w:hint="eastAsia" w:cs="宋体"/>
                <w:color w:val="0000FF"/>
                <w:sz w:val="21"/>
                <w:szCs w:val="21"/>
                <w:highlight w:val="none"/>
                <w:u w:val="single"/>
                <w:lang w:val="en-US" w:eastAsia="zh-CN"/>
              </w:rPr>
              <w:t>预埋</w:t>
            </w:r>
            <w:r>
              <w:rPr>
                <w:rFonts w:hint="eastAsia" w:cs="宋体"/>
                <w:color w:val="0000FF"/>
                <w:sz w:val="21"/>
                <w:szCs w:val="21"/>
                <w:highlight w:val="none"/>
                <w:u w:val="single"/>
              </w:rPr>
              <w:t>、通信配套工程、柴油发电机组、抗震支架、</w:t>
            </w:r>
            <w:r>
              <w:rPr>
                <w:rFonts w:hint="eastAsia" w:cs="宋体"/>
                <w:color w:val="0000FF"/>
                <w:sz w:val="21"/>
                <w:szCs w:val="21"/>
                <w:highlight w:val="none"/>
                <w:u w:val="single"/>
                <w:lang w:val="en-US" w:eastAsia="zh-CN"/>
              </w:rPr>
              <w:t>厨房设备、</w:t>
            </w:r>
            <w:r>
              <w:rPr>
                <w:rFonts w:hint="eastAsia" w:cs="宋体"/>
                <w:color w:val="0000FF"/>
                <w:sz w:val="21"/>
                <w:szCs w:val="21"/>
                <w:highlight w:val="none"/>
                <w:u w:val="single"/>
              </w:rPr>
              <w:t>电梯采购及安装、标识标牌工程、室外综合管网工程、室外土建工程（包括但不限于道路工程、景观绿化、海绵城市建设）</w:t>
            </w:r>
            <w:r>
              <w:rPr>
                <w:rFonts w:hint="eastAsia" w:cs="宋体"/>
                <w:color w:val="0000FF"/>
                <w:sz w:val="21"/>
                <w:szCs w:val="21"/>
                <w:highlight w:val="none"/>
                <w:u w:val="single"/>
                <w:lang w:eastAsia="zh-CN"/>
              </w:rPr>
              <w:t>、</w:t>
            </w:r>
            <w:r>
              <w:rPr>
                <w:rFonts w:hint="eastAsia" w:cs="宋体"/>
                <w:color w:val="0000FF"/>
                <w:sz w:val="21"/>
                <w:szCs w:val="21"/>
                <w:highlight w:val="none"/>
                <w:u w:val="single"/>
              </w:rPr>
              <w:t>永久用水用电工程及相关配套工程等；具体详见施工图纸及工程量清单。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1.3.4</w:t>
            </w:r>
          </w:p>
        </w:tc>
        <w:tc>
          <w:tcPr>
            <w:tcW w:w="1984"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招标内容</w:t>
            </w:r>
          </w:p>
        </w:tc>
        <w:tc>
          <w:tcPr>
            <w:tcW w:w="6946" w:type="dxa"/>
            <w:vAlign w:val="center"/>
          </w:tcPr>
          <w:p>
            <w:pPr>
              <w:spacing w:line="300" w:lineRule="auto"/>
              <w:ind w:firstLine="420"/>
              <w:rPr>
                <w:rFonts w:cs="宋体"/>
                <w:color w:val="auto"/>
                <w:kern w:val="1"/>
                <w:sz w:val="21"/>
                <w:szCs w:val="21"/>
                <w:highlight w:val="none"/>
              </w:rPr>
            </w:pPr>
            <w:r>
              <w:rPr>
                <w:rFonts w:hint="eastAsia" w:ascii="宋体" w:hAnsi="宋体" w:eastAsia="宋体"/>
                <w:color w:val="0000FF"/>
                <w:sz w:val="21"/>
                <w:szCs w:val="21"/>
                <w:highlight w:val="none"/>
                <w:u w:val="single"/>
                <w:lang w:eastAsia="zh-CN"/>
              </w:rPr>
              <w:t>具体详见施工图纸及工程量清单</w:t>
            </w:r>
            <w:r>
              <w:rPr>
                <w:rFonts w:hint="eastAsia" w:cs="宋体"/>
                <w:color w:val="0000FF"/>
                <w:kern w:val="1"/>
                <w:sz w:val="21"/>
                <w:szCs w:val="21"/>
                <w:highlight w:val="none"/>
                <w:u w:val="single"/>
                <w:lang w:eastAsia="zh-CN"/>
              </w:rPr>
              <w:t>。</w:t>
            </w:r>
            <w:r>
              <w:rPr>
                <w:rFonts w:hint="eastAsia" w:cs="宋体"/>
                <w:color w:val="auto"/>
                <w:sz w:val="21"/>
                <w:szCs w:val="21"/>
                <w:highlight w:val="none"/>
                <w:u w:val="single"/>
              </w:rPr>
              <w:t xml:space="preserve"> </w:t>
            </w:r>
            <w:r>
              <w:rPr>
                <w:rFonts w:hint="eastAsia"/>
                <w:color w:val="auto"/>
                <w:sz w:val="21"/>
                <w:szCs w:val="21"/>
                <w:highlight w:val="none"/>
                <w:u w:val="single"/>
              </w:rPr>
              <w:t xml:space="preserve">其中，本招标项目 </w:t>
            </w:r>
            <w:r>
              <w:rPr>
                <w:rFonts w:hint="eastAsia"/>
                <w:color w:val="0000FF"/>
                <w:sz w:val="21"/>
                <w:szCs w:val="21"/>
                <w:highlight w:val="none"/>
                <w:u w:val="single"/>
                <w:lang w:eastAsia="zh-CN"/>
              </w:rPr>
              <w:t>不应用</w:t>
            </w:r>
            <w:r>
              <w:rPr>
                <w:rFonts w:hint="eastAsia"/>
                <w:color w:val="auto"/>
                <w:sz w:val="21"/>
                <w:szCs w:val="21"/>
                <w:highlight w:val="none"/>
                <w:u w:val="single"/>
              </w:rPr>
              <w:t xml:space="preserve"> </w:t>
            </w:r>
            <w:r>
              <w:rPr>
                <w:rStyle w:val="74"/>
                <w:color w:val="auto"/>
                <w:sz w:val="21"/>
                <w:szCs w:val="21"/>
                <w:highlight w:val="none"/>
                <w:u w:val="single"/>
              </w:rPr>
              <w:footnoteReference w:id="16"/>
            </w:r>
            <w:r>
              <w:rPr>
                <w:rFonts w:hint="eastAsia"/>
                <w:color w:val="auto"/>
                <w:sz w:val="21"/>
                <w:szCs w:val="21"/>
                <w:highlight w:val="none"/>
                <w:u w:val="single"/>
              </w:rPr>
              <w:t>建筑信息模型（BIM）技术</w:t>
            </w:r>
            <w:r>
              <w:rPr>
                <w:rStyle w:val="74"/>
                <w:color w:val="auto"/>
                <w:sz w:val="21"/>
                <w:szCs w:val="21"/>
                <w:highlight w:val="none"/>
                <w:u w:val="single"/>
              </w:rPr>
              <w:footnoteReference w:id="17"/>
            </w:r>
            <w:r>
              <w:rPr>
                <w:rFonts w:hint="eastAsia"/>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1.3.5</w:t>
            </w:r>
          </w:p>
        </w:tc>
        <w:tc>
          <w:tcPr>
            <w:tcW w:w="1984"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标段划分</w:t>
            </w:r>
          </w:p>
        </w:tc>
        <w:tc>
          <w:tcPr>
            <w:tcW w:w="6946" w:type="dxa"/>
            <w:vAlign w:val="center"/>
          </w:tcPr>
          <w:p>
            <w:pPr>
              <w:adjustRightInd w:val="0"/>
              <w:snapToGrid w:val="0"/>
              <w:spacing w:line="300" w:lineRule="auto"/>
              <w:ind w:firstLine="420" w:firstLineChars="200"/>
              <w:textAlignment w:val="baseline"/>
              <w:rPr>
                <w:rFonts w:cs="宋体"/>
                <w:color w:val="auto"/>
                <w:sz w:val="21"/>
                <w:szCs w:val="21"/>
                <w:highlight w:val="none"/>
                <w:u w:val="single"/>
              </w:rPr>
            </w:pPr>
            <w:r>
              <w:rPr>
                <w:rFonts w:hint="eastAsia" w:cs="宋体"/>
                <w:color w:val="auto"/>
                <w:sz w:val="21"/>
                <w:szCs w:val="21"/>
                <w:highlight w:val="none"/>
              </w:rPr>
              <w:t>标段名称（如果有）：</w:t>
            </w:r>
            <w:r>
              <w:rPr>
                <w:rFonts w:hint="eastAsia" w:cs="宋体"/>
                <w:color w:val="auto"/>
                <w:sz w:val="21"/>
                <w:szCs w:val="21"/>
                <w:highlight w:val="none"/>
                <w:u w:val="single"/>
              </w:rPr>
              <w:t xml:space="preserve">  </w:t>
            </w:r>
            <w:r>
              <w:rPr>
                <w:rFonts w:hint="eastAsia" w:cs="宋体"/>
                <w:color w:val="0000FF"/>
                <w:sz w:val="21"/>
                <w:szCs w:val="21"/>
                <w:highlight w:val="none"/>
                <w:u w:val="single"/>
                <w:lang w:bidi="zh-CN"/>
              </w:rPr>
              <w:t>/</w:t>
            </w:r>
            <w:r>
              <w:rPr>
                <w:rFonts w:hint="eastAsia" w:cs="宋体"/>
                <w:color w:val="auto"/>
                <w:sz w:val="21"/>
                <w:szCs w:val="21"/>
                <w:highlight w:val="none"/>
                <w:u w:val="single"/>
              </w:rPr>
              <w:t xml:space="preserve">  </w:t>
            </w:r>
          </w:p>
          <w:p>
            <w:pPr>
              <w:adjustRightInd w:val="0"/>
              <w:snapToGrid w:val="0"/>
              <w:spacing w:line="300" w:lineRule="auto"/>
              <w:ind w:firstLine="420" w:firstLineChars="200"/>
              <w:textAlignment w:val="baseline"/>
              <w:rPr>
                <w:rFonts w:hint="default" w:eastAsia="宋体" w:cs="宋体"/>
                <w:color w:val="auto"/>
                <w:sz w:val="21"/>
                <w:szCs w:val="21"/>
                <w:highlight w:val="none"/>
                <w:u w:val="single"/>
                <w:lang w:val="en-US" w:eastAsia="zh-CN"/>
              </w:rPr>
            </w:pPr>
            <w:r>
              <w:rPr>
                <w:rFonts w:hint="eastAsia" w:cs="宋体"/>
                <w:color w:val="auto"/>
                <w:sz w:val="21"/>
                <w:szCs w:val="21"/>
                <w:highlight w:val="none"/>
              </w:rPr>
              <w:t>标段编号（如果有）：</w:t>
            </w:r>
            <w:r>
              <w:rPr>
                <w:rFonts w:hint="eastAsia" w:cs="宋体"/>
                <w:color w:val="auto"/>
                <w:sz w:val="21"/>
                <w:szCs w:val="21"/>
                <w:highlight w:val="none"/>
                <w:u w:val="single"/>
              </w:rPr>
              <w:t xml:space="preserve"> </w:t>
            </w:r>
            <w:r>
              <w:rPr>
                <w:rFonts w:hint="eastAsia" w:cs="宋体"/>
                <w:color w:val="auto"/>
                <w:sz w:val="21"/>
                <w:szCs w:val="21"/>
                <w:highlight w:val="none"/>
                <w:u w:val="single"/>
                <w:lang w:val="en-US" w:eastAsia="zh-CN"/>
              </w:rPr>
              <w:t xml:space="preserve"> </w:t>
            </w:r>
            <w:r>
              <w:rPr>
                <w:rFonts w:hint="eastAsia" w:cs="宋体"/>
                <w:color w:val="0000FF"/>
                <w:sz w:val="21"/>
                <w:szCs w:val="21"/>
                <w:highlight w:val="none"/>
                <w:u w:val="single"/>
                <w:lang w:bidi="zh-CN"/>
              </w:rPr>
              <w:t>/</w:t>
            </w:r>
            <w:r>
              <w:rPr>
                <w:rFonts w:hint="eastAsia" w:cs="宋体"/>
                <w:color w:val="auto"/>
                <w:sz w:val="21"/>
                <w:szCs w:val="21"/>
                <w:highlight w:val="none"/>
                <w:u w:val="single"/>
              </w:rPr>
              <w:t xml:space="preserve"> </w:t>
            </w:r>
            <w:r>
              <w:rPr>
                <w:rFonts w:hint="eastAsia" w:cs="宋体"/>
                <w:color w:val="auto"/>
                <w:sz w:val="21"/>
                <w:szCs w:val="21"/>
                <w:highlight w:val="none"/>
                <w:u w:val="single"/>
                <w:lang w:val="en-US" w:eastAsia="zh-CN"/>
              </w:rPr>
              <w:t xml:space="preserve"> </w:t>
            </w:r>
          </w:p>
          <w:p>
            <w:pPr>
              <w:spacing w:line="300" w:lineRule="auto"/>
              <w:ind w:firstLine="420" w:firstLineChars="200"/>
              <w:rPr>
                <w:rFonts w:cs="宋体"/>
                <w:color w:val="auto"/>
                <w:sz w:val="21"/>
                <w:szCs w:val="21"/>
                <w:highlight w:val="none"/>
                <w:u w:val="single"/>
              </w:rPr>
            </w:pPr>
            <w:r>
              <w:rPr>
                <w:rFonts w:hint="eastAsia" w:cs="宋体"/>
                <w:color w:val="auto"/>
                <w:sz w:val="21"/>
                <w:szCs w:val="21"/>
                <w:highlight w:val="none"/>
              </w:rPr>
              <w:t>投标人均可就本招标项目中所有标段投标，招标人最多允许投标人中标的标段数量和规定：</w:t>
            </w:r>
            <w:r>
              <w:rPr>
                <w:rFonts w:hint="eastAsia" w:cs="宋体"/>
                <w:color w:val="auto"/>
                <w:sz w:val="21"/>
                <w:szCs w:val="21"/>
                <w:highlight w:val="none"/>
                <w:u w:val="single"/>
              </w:rPr>
              <w:t xml:space="preserve">     </w:t>
            </w:r>
            <w:r>
              <w:rPr>
                <w:rFonts w:hint="eastAsia" w:cs="宋体"/>
                <w:color w:val="0000FF"/>
                <w:sz w:val="21"/>
                <w:szCs w:val="21"/>
                <w:highlight w:val="none"/>
                <w:u w:val="single"/>
                <w:lang w:bidi="zh-CN"/>
              </w:rPr>
              <w:t>/</w:t>
            </w:r>
            <w:r>
              <w:rPr>
                <w:rFonts w:hint="eastAsia" w:cs="宋体"/>
                <w:color w:val="auto"/>
                <w:sz w:val="21"/>
                <w:szCs w:val="21"/>
                <w:highlight w:val="none"/>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1.4.1</w:t>
            </w:r>
          </w:p>
        </w:tc>
        <w:tc>
          <w:tcPr>
            <w:tcW w:w="1984"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投标人资质条件、能力和信用</w:t>
            </w:r>
          </w:p>
        </w:tc>
        <w:tc>
          <w:tcPr>
            <w:tcW w:w="6946" w:type="dxa"/>
            <w:vAlign w:val="center"/>
          </w:tcPr>
          <w:p>
            <w:pPr>
              <w:shd w:val="clear" w:color="000000" w:fill="FFFFFF"/>
              <w:spacing w:line="300" w:lineRule="auto"/>
              <w:ind w:firstLine="420" w:firstLineChars="200"/>
              <w:rPr>
                <w:rFonts w:cs="宋体"/>
                <w:color w:val="auto"/>
                <w:sz w:val="21"/>
                <w:szCs w:val="21"/>
                <w:highlight w:val="none"/>
              </w:rPr>
            </w:pPr>
            <w:r>
              <w:rPr>
                <w:rFonts w:hint="eastAsia" w:cs="宋体"/>
                <w:color w:val="auto"/>
                <w:kern w:val="1"/>
                <w:sz w:val="21"/>
                <w:szCs w:val="21"/>
                <w:highlight w:val="none"/>
              </w:rPr>
              <w:t>1.资质条件：</w:t>
            </w:r>
            <w:r>
              <w:rPr>
                <w:rFonts w:hint="eastAsia" w:cs="宋体"/>
                <w:color w:val="auto"/>
                <w:sz w:val="21"/>
                <w:szCs w:val="21"/>
                <w:highlight w:val="none"/>
              </w:rPr>
              <w:t>见附录1</w:t>
            </w:r>
          </w:p>
          <w:p>
            <w:pPr>
              <w:shd w:val="clear" w:color="000000" w:fill="FFFFFF"/>
              <w:spacing w:line="300" w:lineRule="auto"/>
              <w:ind w:firstLine="420" w:firstLineChars="200"/>
              <w:rPr>
                <w:rFonts w:cs="宋体"/>
                <w:color w:val="auto"/>
                <w:kern w:val="1"/>
                <w:sz w:val="21"/>
                <w:szCs w:val="21"/>
                <w:highlight w:val="none"/>
              </w:rPr>
            </w:pPr>
            <w:r>
              <w:rPr>
                <w:rFonts w:hint="eastAsia" w:cs="宋体"/>
                <w:color w:val="auto"/>
                <w:kern w:val="1"/>
                <w:sz w:val="21"/>
                <w:szCs w:val="21"/>
                <w:highlight w:val="none"/>
              </w:rPr>
              <w:t>2.业绩要求：</w:t>
            </w:r>
            <w:r>
              <w:rPr>
                <w:rFonts w:hint="eastAsia" w:cs="宋体"/>
                <w:color w:val="auto"/>
                <w:sz w:val="21"/>
                <w:szCs w:val="21"/>
                <w:highlight w:val="none"/>
              </w:rPr>
              <w:t>见附录1</w:t>
            </w:r>
          </w:p>
          <w:p>
            <w:pPr>
              <w:spacing w:line="300" w:lineRule="auto"/>
              <w:ind w:firstLine="420"/>
              <w:rPr>
                <w:rFonts w:cs="宋体"/>
                <w:color w:val="auto"/>
                <w:kern w:val="1"/>
                <w:sz w:val="21"/>
                <w:szCs w:val="21"/>
                <w:highlight w:val="none"/>
              </w:rPr>
            </w:pPr>
            <w:r>
              <w:rPr>
                <w:rFonts w:hint="eastAsia" w:cs="宋体"/>
                <w:color w:val="auto"/>
                <w:kern w:val="1"/>
                <w:sz w:val="21"/>
                <w:szCs w:val="21"/>
                <w:highlight w:val="none"/>
              </w:rPr>
              <w:t>3.信用要求：</w:t>
            </w:r>
            <w:r>
              <w:rPr>
                <w:rFonts w:hint="eastAsia" w:cs="宋体"/>
                <w:color w:val="auto"/>
                <w:sz w:val="21"/>
                <w:szCs w:val="21"/>
                <w:highlight w:val="none"/>
              </w:rPr>
              <w:t>见附录1</w:t>
            </w:r>
          </w:p>
          <w:p>
            <w:pPr>
              <w:spacing w:line="300" w:lineRule="auto"/>
              <w:ind w:firstLine="422"/>
              <w:rPr>
                <w:rFonts w:cs="宋体"/>
                <w:color w:val="auto"/>
                <w:sz w:val="21"/>
                <w:szCs w:val="21"/>
                <w:highlight w:val="none"/>
              </w:rPr>
            </w:pPr>
            <w:r>
              <w:rPr>
                <w:rFonts w:hint="eastAsia" w:cs="宋体"/>
                <w:color w:val="auto"/>
                <w:kern w:val="1"/>
                <w:sz w:val="21"/>
                <w:szCs w:val="21"/>
                <w:highlight w:val="none"/>
              </w:rPr>
              <w:t>4.施工现场管理人员：</w:t>
            </w:r>
            <w:r>
              <w:rPr>
                <w:rFonts w:hint="eastAsia" w:cs="宋体"/>
                <w:color w:val="auto"/>
                <w:sz w:val="21"/>
                <w:szCs w:val="21"/>
                <w:highlight w:val="none"/>
              </w:rPr>
              <w:t>见附录1</w:t>
            </w:r>
          </w:p>
          <w:p>
            <w:pPr>
              <w:shd w:val="clear" w:color="000000" w:fill="FFFFFF"/>
              <w:spacing w:line="300" w:lineRule="auto"/>
              <w:ind w:firstLine="405"/>
              <w:rPr>
                <w:rFonts w:cs="宋体"/>
                <w:color w:val="auto"/>
                <w:kern w:val="1"/>
                <w:sz w:val="21"/>
                <w:szCs w:val="21"/>
                <w:highlight w:val="none"/>
              </w:rPr>
            </w:pPr>
            <w:r>
              <w:rPr>
                <w:rFonts w:hint="eastAsia" w:cs="宋体"/>
                <w:color w:val="auto"/>
                <w:kern w:val="1"/>
                <w:sz w:val="21"/>
                <w:szCs w:val="21"/>
                <w:highlight w:val="none"/>
              </w:rPr>
              <w:t>5.其他要求：</w:t>
            </w:r>
            <w:r>
              <w:rPr>
                <w:rFonts w:hint="eastAsia" w:cs="宋体"/>
                <w:color w:val="auto"/>
                <w:sz w:val="21"/>
                <w:szCs w:val="21"/>
                <w:highlight w:val="none"/>
              </w:rPr>
              <w:t>见附录1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851"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1.4.2</w:t>
            </w:r>
          </w:p>
        </w:tc>
        <w:tc>
          <w:tcPr>
            <w:tcW w:w="1984"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是否接受</w:t>
            </w:r>
          </w:p>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联合体投标</w:t>
            </w:r>
          </w:p>
        </w:tc>
        <w:tc>
          <w:tcPr>
            <w:tcW w:w="6946" w:type="dxa"/>
            <w:vAlign w:val="center"/>
          </w:tcPr>
          <w:p>
            <w:pPr>
              <w:shd w:val="clear" w:color="000000" w:fill="FFFFFF"/>
              <w:spacing w:line="300" w:lineRule="auto"/>
              <w:ind w:firstLine="420" w:firstLineChars="200"/>
              <w:rPr>
                <w:rFonts w:cs="宋体"/>
                <w:color w:val="auto"/>
                <w:sz w:val="21"/>
                <w:szCs w:val="21"/>
                <w:highlight w:val="none"/>
              </w:rPr>
            </w:pPr>
            <w:r>
              <w:rPr>
                <w:rFonts w:hint="eastAsia" w:cs="宋体"/>
                <w:color w:val="auto"/>
                <w:sz w:val="21"/>
                <w:szCs w:val="21"/>
                <w:highlight w:val="none"/>
              </w:rPr>
              <w:t>1.根据《厦门市建设局关于建筑业招商引进企业营收和业绩促进措施的通知》（厦建筑[2021]138号）规定，本招标项目允许非本市注册的建筑业企业与其在厦注册的子公司【由该企业全资或控股（控股指持股比例大于50%）】或在厦注册的关联企业【关联企业指与该企业最终由同一集团（公司）控股（控股指持股比例大于50%）的企业】的其中一家，组成承担相同承包内容的联合体参与投标，其中：</w:t>
            </w:r>
          </w:p>
          <w:p>
            <w:pPr>
              <w:shd w:val="clear" w:color="000000" w:fill="FFFFFF"/>
              <w:spacing w:line="300" w:lineRule="auto"/>
              <w:ind w:firstLine="420" w:firstLineChars="200"/>
              <w:rPr>
                <w:rFonts w:cs="宋体"/>
                <w:color w:val="auto"/>
                <w:sz w:val="21"/>
                <w:szCs w:val="21"/>
                <w:highlight w:val="none"/>
              </w:rPr>
            </w:pPr>
            <w:r>
              <w:rPr>
                <w:rFonts w:hint="eastAsia" w:cs="宋体"/>
                <w:color w:val="auto"/>
                <w:sz w:val="21"/>
                <w:szCs w:val="21"/>
                <w:highlight w:val="none"/>
              </w:rPr>
              <w:t>（1）联合体协议书应明确由上述子公司或关联企业作为联合体牵头人。</w:t>
            </w:r>
          </w:p>
          <w:p>
            <w:pPr>
              <w:shd w:val="clear" w:color="000000" w:fill="FFFFFF"/>
              <w:spacing w:line="300" w:lineRule="auto"/>
              <w:ind w:firstLine="420" w:firstLineChars="200"/>
              <w:rPr>
                <w:rFonts w:cs="宋体"/>
                <w:color w:val="auto"/>
                <w:sz w:val="21"/>
                <w:szCs w:val="21"/>
                <w:highlight w:val="none"/>
              </w:rPr>
            </w:pPr>
            <w:r>
              <w:rPr>
                <w:rFonts w:hint="eastAsia" w:cs="宋体"/>
                <w:color w:val="auto"/>
                <w:sz w:val="21"/>
                <w:szCs w:val="21"/>
                <w:highlight w:val="none"/>
              </w:rPr>
              <w:t>（2）联合体协议书应明确联合体投标人的业绩以联合体牵头人或联合体其余成员的业绩为准。前述业绩指投标人须知前附表附录1第2项所要求的类似工程业绩。</w:t>
            </w:r>
          </w:p>
          <w:p>
            <w:pPr>
              <w:shd w:val="clear" w:color="000000" w:fill="FFFFFF"/>
              <w:spacing w:line="300" w:lineRule="auto"/>
              <w:ind w:firstLine="420" w:firstLineChars="200"/>
              <w:rPr>
                <w:rFonts w:cs="宋体"/>
                <w:color w:val="auto"/>
                <w:sz w:val="21"/>
                <w:szCs w:val="21"/>
                <w:highlight w:val="none"/>
              </w:rPr>
            </w:pPr>
            <w:r>
              <w:rPr>
                <w:rFonts w:hint="eastAsia" w:cs="宋体"/>
                <w:color w:val="auto"/>
                <w:sz w:val="21"/>
                <w:szCs w:val="21"/>
                <w:highlight w:val="none"/>
              </w:rPr>
              <w:t>（3）联合体协议书应明确联合体投标人的信用以联合体牵头人或联合体其余成员的信用为准。前述信用指投标人须知前附表附录1第3项所要求的厦门市建筑施工企业信用综合评价结果（包括信用等级和综合得分）和投标人须知前附表附录1第5项第2条所要求的福建省建筑施工企业信用综合评价分值。</w:t>
            </w:r>
          </w:p>
          <w:p>
            <w:pPr>
              <w:spacing w:line="300" w:lineRule="auto"/>
              <w:ind w:firstLine="420" w:firstLineChars="200"/>
              <w:rPr>
                <w:rFonts w:cs="宋体"/>
                <w:color w:val="auto"/>
                <w:kern w:val="1"/>
                <w:sz w:val="21"/>
                <w:szCs w:val="21"/>
                <w:highlight w:val="none"/>
              </w:rPr>
            </w:pPr>
            <w:r>
              <w:rPr>
                <w:rFonts w:hint="eastAsia" w:cs="宋体"/>
                <w:color w:val="auto"/>
                <w:sz w:val="21"/>
                <w:szCs w:val="21"/>
                <w:highlight w:val="none"/>
              </w:rPr>
              <w:t>（4）联合体投标人应在投标文件中提交联合体各方之间的母子公司或关联企业关系的证明资料。</w:t>
            </w:r>
          </w:p>
          <w:p>
            <w:pPr>
              <w:spacing w:line="300" w:lineRule="auto"/>
              <w:ind w:firstLine="420" w:firstLineChars="200"/>
              <w:rPr>
                <w:rFonts w:cs="宋体"/>
                <w:color w:val="auto"/>
                <w:kern w:val="1"/>
                <w:sz w:val="21"/>
                <w:szCs w:val="21"/>
                <w:highlight w:val="none"/>
              </w:rPr>
            </w:pPr>
            <w:r>
              <w:rPr>
                <w:rFonts w:hint="eastAsia" w:cs="宋体"/>
                <w:color w:val="auto"/>
                <w:sz w:val="21"/>
                <w:szCs w:val="21"/>
                <w:highlight w:val="none"/>
              </w:rPr>
              <w:t>2.本招标项目</w:t>
            </w:r>
            <w:r>
              <w:rPr>
                <w:rFonts w:hint="eastAsia" w:cs="宋体"/>
                <w:color w:val="0000FF"/>
                <w:sz w:val="21"/>
                <w:szCs w:val="21"/>
                <w:highlight w:val="none"/>
                <w:u w:val="single"/>
                <w:lang w:eastAsia="zh-CN"/>
              </w:rPr>
              <w:t>☑</w:t>
            </w:r>
            <w:r>
              <w:rPr>
                <w:rFonts w:hint="eastAsia" w:cs="宋体"/>
                <w:color w:val="0000FF"/>
                <w:sz w:val="21"/>
                <w:szCs w:val="21"/>
                <w:highlight w:val="none"/>
                <w:u w:val="single"/>
              </w:rPr>
              <w:t xml:space="preserve"> 不接受 </w:t>
            </w:r>
            <w:r>
              <w:rPr>
                <w:rFonts w:hint="eastAsia" w:cs="宋体"/>
                <w:color w:val="auto"/>
                <w:sz w:val="21"/>
                <w:szCs w:val="21"/>
                <w:highlight w:val="none"/>
                <w:u w:val="single"/>
              </w:rPr>
              <w:t xml:space="preserve">  □ 接受</w:t>
            </w:r>
            <w:r>
              <w:rPr>
                <w:rFonts w:hint="eastAsia" w:cs="宋体"/>
                <w:color w:val="auto"/>
                <w:sz w:val="21"/>
                <w:szCs w:val="21"/>
                <w:highlight w:val="none"/>
              </w:rPr>
              <w:t>除上述第1项情形以外联合体投标。招标人接受除上述第1项情形以外联合体投标的，自愿组成联合体的应由</w:t>
            </w:r>
            <w:r>
              <w:rPr>
                <w:rFonts w:hint="eastAsia" w:cs="宋体"/>
                <w:color w:val="auto"/>
                <w:sz w:val="21"/>
                <w:szCs w:val="21"/>
                <w:highlight w:val="none"/>
                <w:u w:val="single"/>
              </w:rPr>
              <w:t xml:space="preserve">  </w:t>
            </w:r>
            <w:r>
              <w:rPr>
                <w:rFonts w:hint="eastAsia" w:cs="宋体"/>
                <w:color w:val="auto"/>
                <w:sz w:val="21"/>
                <w:szCs w:val="21"/>
                <w:highlight w:val="none"/>
                <w:u w:val="single"/>
                <w:lang w:val="en-US" w:eastAsia="zh-CN"/>
              </w:rPr>
              <w:t>/</w:t>
            </w:r>
            <w:r>
              <w:rPr>
                <w:rFonts w:hint="eastAsia" w:cs="宋体"/>
                <w:color w:val="auto"/>
                <w:sz w:val="21"/>
                <w:szCs w:val="21"/>
                <w:highlight w:val="none"/>
                <w:u w:val="single"/>
              </w:rPr>
              <w:t xml:space="preserve">  </w:t>
            </w:r>
            <w:r>
              <w:rPr>
                <w:rFonts w:hint="eastAsia" w:cs="宋体"/>
                <w:color w:val="auto"/>
                <w:sz w:val="21"/>
                <w:szCs w:val="21"/>
                <w:highlight w:val="none"/>
              </w:rPr>
              <w:t>为牵头人，联合体投标人成员数量不得超过</w:t>
            </w:r>
            <w:r>
              <w:rPr>
                <w:rFonts w:hint="eastAsia" w:cs="宋体"/>
                <w:color w:val="auto"/>
                <w:sz w:val="21"/>
                <w:szCs w:val="21"/>
                <w:highlight w:val="none"/>
                <w:u w:val="single"/>
              </w:rPr>
              <w:t xml:space="preserve">  </w:t>
            </w:r>
            <w:r>
              <w:rPr>
                <w:rFonts w:hint="eastAsia" w:cs="宋体"/>
                <w:color w:val="auto"/>
                <w:sz w:val="21"/>
                <w:szCs w:val="21"/>
                <w:highlight w:val="none"/>
                <w:u w:val="single"/>
                <w:lang w:val="en-US" w:eastAsia="zh-CN"/>
              </w:rPr>
              <w:t>/</w:t>
            </w:r>
            <w:r>
              <w:rPr>
                <w:rFonts w:hint="eastAsia" w:cs="宋体"/>
                <w:color w:val="auto"/>
                <w:sz w:val="21"/>
                <w:szCs w:val="21"/>
                <w:highlight w:val="none"/>
                <w:u w:val="single"/>
              </w:rPr>
              <w:t xml:space="preserve"> </w:t>
            </w:r>
            <w:r>
              <w:rPr>
                <w:rFonts w:hint="eastAsia" w:cs="宋体"/>
                <w:color w:val="auto"/>
                <w:sz w:val="21"/>
                <w:szCs w:val="21"/>
                <w:highlight w:val="none"/>
              </w:rPr>
              <w:t>家，且各方应具备其所承担招标项目承包内容的相应资质条件。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851"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1.4.3</w:t>
            </w:r>
          </w:p>
        </w:tc>
        <w:tc>
          <w:tcPr>
            <w:tcW w:w="1984" w:type="dxa"/>
            <w:vAlign w:val="center"/>
          </w:tcPr>
          <w:p>
            <w:pPr>
              <w:spacing w:line="300" w:lineRule="auto"/>
              <w:jc w:val="center"/>
              <w:rPr>
                <w:rFonts w:cs="宋体"/>
                <w:b/>
                <w:color w:val="auto"/>
                <w:sz w:val="21"/>
                <w:szCs w:val="21"/>
                <w:highlight w:val="none"/>
              </w:rPr>
            </w:pPr>
            <w:r>
              <w:rPr>
                <w:rFonts w:hint="eastAsia" w:cs="宋体"/>
                <w:b/>
                <w:color w:val="auto"/>
                <w:sz w:val="21"/>
                <w:szCs w:val="21"/>
                <w:highlight w:val="none"/>
              </w:rPr>
              <w:t>投标人不得存在的情形</w:t>
            </w:r>
          </w:p>
        </w:tc>
        <w:tc>
          <w:tcPr>
            <w:tcW w:w="6946" w:type="dxa"/>
            <w:vAlign w:val="center"/>
          </w:tcPr>
          <w:p>
            <w:pPr>
              <w:shd w:val="clear" w:color="000000" w:fill="FFFFFF"/>
              <w:spacing w:line="300" w:lineRule="auto"/>
              <w:ind w:firstLine="420" w:firstLineChars="200"/>
              <w:rPr>
                <w:rFonts w:cs="宋体"/>
                <w:color w:val="auto"/>
                <w:sz w:val="21"/>
                <w:szCs w:val="21"/>
                <w:highlight w:val="none"/>
              </w:rPr>
            </w:pPr>
            <w:r>
              <w:rPr>
                <w:rFonts w:hint="eastAsia" w:cs="宋体"/>
                <w:color w:val="auto"/>
                <w:sz w:val="21"/>
                <w:szCs w:val="21"/>
                <w:highlight w:val="none"/>
              </w:rPr>
              <w:t>1</w:t>
            </w:r>
            <w:r>
              <w:rPr>
                <w:rFonts w:cs="宋体"/>
                <w:color w:val="auto"/>
                <w:sz w:val="21"/>
                <w:szCs w:val="21"/>
                <w:highlight w:val="none"/>
              </w:rPr>
              <w:t>.</w:t>
            </w:r>
            <w:r>
              <w:rPr>
                <w:rFonts w:hint="eastAsia" w:cs="宋体"/>
                <w:color w:val="auto"/>
                <w:sz w:val="21"/>
                <w:szCs w:val="21"/>
                <w:highlight w:val="none"/>
              </w:rPr>
              <w:t>拟派出主要施工管理人员在本招标项目投标截止时仍处于被住房和城乡建设部或福建省住房和城乡建设厅认定的建筑市场主体黑名单管理期限内。</w:t>
            </w:r>
          </w:p>
          <w:p>
            <w:pPr>
              <w:shd w:val="clear" w:color="000000" w:fill="FFFFFF"/>
              <w:spacing w:line="300" w:lineRule="auto"/>
              <w:ind w:firstLine="420" w:firstLineChars="200"/>
              <w:rPr>
                <w:rFonts w:cs="宋体"/>
                <w:b/>
                <w:color w:val="auto"/>
                <w:sz w:val="21"/>
                <w:szCs w:val="21"/>
                <w:highlight w:val="none"/>
                <w:u w:val="single"/>
              </w:rPr>
            </w:pPr>
            <w:r>
              <w:rPr>
                <w:rFonts w:hint="eastAsia" w:cs="宋体"/>
                <w:color w:val="auto"/>
                <w:sz w:val="21"/>
                <w:szCs w:val="21"/>
                <w:highlight w:val="none"/>
              </w:rPr>
              <w:t>2</w:t>
            </w:r>
            <w:r>
              <w:rPr>
                <w:rFonts w:cs="宋体"/>
                <w:color w:val="auto"/>
                <w:sz w:val="21"/>
                <w:szCs w:val="21"/>
                <w:highlight w:val="none"/>
              </w:rPr>
              <w:t>.</w:t>
            </w:r>
            <w:r>
              <w:rPr>
                <w:rFonts w:hint="eastAsia" w:cs="宋体"/>
                <w:color w:val="auto"/>
                <w:sz w:val="21"/>
                <w:szCs w:val="21"/>
                <w:highlight w:val="none"/>
              </w:rPr>
              <w:t>企业在福建省建筑施工安全生产标准化评价结果为D级。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1.4.4</w:t>
            </w:r>
          </w:p>
        </w:tc>
        <w:tc>
          <w:tcPr>
            <w:tcW w:w="1984"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资格审查方式</w:t>
            </w:r>
          </w:p>
        </w:tc>
        <w:tc>
          <w:tcPr>
            <w:tcW w:w="6946" w:type="dxa"/>
            <w:vAlign w:val="center"/>
          </w:tcPr>
          <w:p>
            <w:pPr>
              <w:spacing w:line="300" w:lineRule="auto"/>
              <w:rPr>
                <w:rFonts w:cs="宋体"/>
                <w:color w:val="auto"/>
                <w:sz w:val="21"/>
                <w:szCs w:val="21"/>
                <w:highlight w:val="none"/>
              </w:rPr>
            </w:pPr>
            <w:r>
              <w:rPr>
                <w:rFonts w:hint="eastAsia" w:cs="宋体"/>
                <w:color w:val="auto"/>
                <w:sz w:val="21"/>
                <w:szCs w:val="21"/>
                <w:highlight w:val="none"/>
              </w:rPr>
              <w:t xml:space="preserve">    资格后审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1.10</w:t>
            </w:r>
          </w:p>
        </w:tc>
        <w:tc>
          <w:tcPr>
            <w:tcW w:w="1984"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潜在投标人提出疑问的截止时间</w:t>
            </w:r>
          </w:p>
        </w:tc>
        <w:tc>
          <w:tcPr>
            <w:tcW w:w="6946" w:type="dxa"/>
            <w:vAlign w:val="center"/>
          </w:tcPr>
          <w:p>
            <w:pPr>
              <w:spacing w:line="300" w:lineRule="auto"/>
              <w:ind w:firstLine="420" w:firstLineChars="200"/>
              <w:rPr>
                <w:rFonts w:cs="宋体"/>
                <w:color w:val="auto"/>
                <w:kern w:val="1"/>
                <w:sz w:val="21"/>
                <w:szCs w:val="21"/>
                <w:highlight w:val="none"/>
              </w:rPr>
            </w:pPr>
            <w:r>
              <w:rPr>
                <w:rFonts w:hint="eastAsia" w:cs="宋体"/>
                <w:color w:val="auto"/>
                <w:sz w:val="21"/>
                <w:szCs w:val="21"/>
                <w:highlight w:val="none"/>
                <w:u w:val="single"/>
              </w:rPr>
              <w:t xml:space="preserve"> </w:t>
            </w:r>
            <w:r>
              <w:rPr>
                <w:rFonts w:hint="eastAsia" w:cs="宋体"/>
                <w:color w:val="0000FF"/>
                <w:sz w:val="21"/>
                <w:szCs w:val="21"/>
                <w:highlight w:val="none"/>
                <w:u w:val="single"/>
                <w:lang w:val="en-US" w:eastAsia="zh-CN"/>
              </w:rPr>
              <w:t>2024</w:t>
            </w:r>
            <w:r>
              <w:rPr>
                <w:rFonts w:hint="eastAsia" w:cs="宋体"/>
                <w:color w:val="auto"/>
                <w:sz w:val="21"/>
                <w:szCs w:val="21"/>
                <w:highlight w:val="none"/>
                <w:u w:val="single"/>
              </w:rPr>
              <w:t xml:space="preserve"> </w:t>
            </w:r>
            <w:r>
              <w:rPr>
                <w:rFonts w:hint="eastAsia" w:cs="宋体"/>
                <w:color w:val="auto"/>
                <w:sz w:val="21"/>
                <w:szCs w:val="21"/>
                <w:highlight w:val="none"/>
              </w:rPr>
              <w:t>年</w:t>
            </w:r>
            <w:r>
              <w:rPr>
                <w:rFonts w:hint="eastAsia" w:cs="宋体"/>
                <w:color w:val="auto"/>
                <w:sz w:val="21"/>
                <w:szCs w:val="21"/>
                <w:highlight w:val="none"/>
                <w:u w:val="single"/>
              </w:rPr>
              <w:t xml:space="preserve">     </w:t>
            </w:r>
            <w:r>
              <w:rPr>
                <w:rFonts w:hint="eastAsia" w:cs="宋体"/>
                <w:color w:val="auto"/>
                <w:sz w:val="21"/>
                <w:szCs w:val="21"/>
                <w:highlight w:val="none"/>
              </w:rPr>
              <w:t>月</w:t>
            </w:r>
            <w:r>
              <w:rPr>
                <w:rFonts w:hint="eastAsia" w:cs="宋体"/>
                <w:color w:val="auto"/>
                <w:sz w:val="21"/>
                <w:szCs w:val="21"/>
                <w:highlight w:val="none"/>
                <w:u w:val="single"/>
              </w:rPr>
              <w:t xml:space="preserve">     </w:t>
            </w:r>
            <w:r>
              <w:rPr>
                <w:rFonts w:hint="eastAsia" w:cs="宋体"/>
                <w:color w:val="auto"/>
                <w:sz w:val="21"/>
                <w:szCs w:val="21"/>
                <w:highlight w:val="none"/>
              </w:rPr>
              <w:t>日</w:t>
            </w:r>
            <w:r>
              <w:rPr>
                <w:rFonts w:hint="eastAsia" w:cs="宋体"/>
                <w:color w:val="auto"/>
                <w:sz w:val="21"/>
                <w:szCs w:val="21"/>
                <w:highlight w:val="none"/>
                <w:u w:val="single"/>
              </w:rPr>
              <w:t xml:space="preserve">     </w:t>
            </w:r>
            <w:r>
              <w:rPr>
                <w:rFonts w:hint="eastAsia" w:cs="宋体"/>
                <w:color w:val="auto"/>
                <w:sz w:val="21"/>
                <w:szCs w:val="21"/>
                <w:highlight w:val="none"/>
              </w:rPr>
              <w:t>时</w:t>
            </w:r>
            <w:r>
              <w:rPr>
                <w:rFonts w:hint="eastAsia" w:cs="宋体"/>
                <w:color w:val="auto"/>
                <w:sz w:val="21"/>
                <w:szCs w:val="21"/>
                <w:highlight w:val="none"/>
                <w:u w:val="single"/>
              </w:rPr>
              <w:t xml:space="preserve">    </w:t>
            </w:r>
            <w:r>
              <w:rPr>
                <w:rFonts w:hint="eastAsia" w:cs="宋体"/>
                <w:color w:val="auto"/>
                <w:sz w:val="21"/>
                <w:szCs w:val="21"/>
                <w:highlight w:val="none"/>
              </w:rPr>
              <w:t>分</w:t>
            </w:r>
            <w:r>
              <w:rPr>
                <w:rFonts w:hint="eastAsia" w:cs="宋体"/>
                <w:color w:val="auto"/>
                <w:sz w:val="21"/>
                <w:szCs w:val="21"/>
                <w:highlight w:val="none"/>
                <w:u w:val="single"/>
              </w:rPr>
              <w:t xml:space="preserve">    </w:t>
            </w:r>
            <w:r>
              <w:rPr>
                <w:rFonts w:hint="eastAsia" w:cs="宋体"/>
                <w:color w:val="auto"/>
                <w:sz w:val="21"/>
                <w:szCs w:val="21"/>
                <w:highlight w:val="none"/>
              </w:rPr>
              <w:t>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1.11</w:t>
            </w:r>
          </w:p>
        </w:tc>
        <w:tc>
          <w:tcPr>
            <w:tcW w:w="1984"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分包</w:t>
            </w:r>
          </w:p>
        </w:tc>
        <w:tc>
          <w:tcPr>
            <w:tcW w:w="6946" w:type="dxa"/>
            <w:vAlign w:val="center"/>
          </w:tcPr>
          <w:p>
            <w:pPr>
              <w:autoSpaceDE w:val="0"/>
              <w:autoSpaceDN w:val="0"/>
              <w:adjustRightInd w:val="0"/>
              <w:spacing w:line="300" w:lineRule="auto"/>
              <w:rPr>
                <w:rFonts w:cs="宋体"/>
                <w:color w:val="auto"/>
                <w:sz w:val="21"/>
                <w:szCs w:val="21"/>
                <w:highlight w:val="none"/>
              </w:rPr>
            </w:pPr>
            <w:r>
              <w:rPr>
                <w:rFonts w:hint="eastAsia" w:cs="宋体"/>
                <w:color w:val="auto"/>
                <w:sz w:val="21"/>
                <w:szCs w:val="21"/>
                <w:highlight w:val="none"/>
              </w:rPr>
              <w:t>□ 不允许</w:t>
            </w:r>
          </w:p>
          <w:p>
            <w:pPr>
              <w:widowControl/>
              <w:adjustRightInd/>
              <w:snapToGrid/>
              <w:spacing w:line="300" w:lineRule="auto"/>
              <w:jc w:val="left"/>
              <w:textAlignment w:val="auto"/>
              <w:rPr>
                <w:rFonts w:cs="宋体"/>
                <w:color w:val="auto"/>
                <w:sz w:val="21"/>
                <w:szCs w:val="21"/>
                <w:highlight w:val="none"/>
              </w:rPr>
            </w:pPr>
            <w:r>
              <w:rPr>
                <w:rFonts w:hint="eastAsia" w:cs="宋体"/>
                <w:color w:val="0000FF"/>
                <w:sz w:val="21"/>
                <w:szCs w:val="21"/>
                <w:highlight w:val="none"/>
                <w:lang w:eastAsia="zh-CN"/>
              </w:rPr>
              <w:t>☑</w:t>
            </w:r>
            <w:r>
              <w:rPr>
                <w:rFonts w:hint="eastAsia" w:cs="宋体"/>
                <w:color w:val="0000FF"/>
                <w:sz w:val="21"/>
                <w:szCs w:val="21"/>
                <w:highlight w:val="none"/>
              </w:rPr>
              <w:t xml:space="preserve"> 允许</w:t>
            </w:r>
            <w:r>
              <w:rPr>
                <w:rFonts w:hint="eastAsia" w:cs="宋体"/>
                <w:color w:val="auto"/>
                <w:sz w:val="21"/>
                <w:szCs w:val="21"/>
                <w:highlight w:val="none"/>
              </w:rPr>
              <w:t>，允许分包内容：</w:t>
            </w:r>
            <w:r>
              <w:rPr>
                <w:rFonts w:hint="eastAsia" w:cs="宋体"/>
                <w:color w:val="0000FF"/>
                <w:sz w:val="21"/>
                <w:szCs w:val="21"/>
                <w:highlight w:val="none"/>
                <w:u w:val="single"/>
                <w:lang w:eastAsia="zh-CN"/>
              </w:rPr>
              <w:t>详见专用合同条款</w:t>
            </w:r>
            <w:r>
              <w:rPr>
                <w:rFonts w:hint="eastAsia" w:cs="宋体"/>
                <w:color w:val="0000FF"/>
                <w:sz w:val="21"/>
                <w:szCs w:val="21"/>
                <w:highlight w:val="none"/>
                <w:u w:val="single"/>
                <w:lang w:val="en-US" w:eastAsia="zh-CN"/>
              </w:rPr>
              <w:t>3.5</w:t>
            </w:r>
            <w:r>
              <w:rPr>
                <w:rFonts w:hint="eastAsia" w:ascii="宋体" w:hAnsi="宋体" w:eastAsia="宋体" w:cs="宋体"/>
                <w:color w:val="0000FF"/>
                <w:sz w:val="21"/>
                <w:szCs w:val="21"/>
                <w:highlight w:val="none"/>
                <w:u w:val="single"/>
              </w:rPr>
              <w:t>。</w:t>
            </w:r>
          </w:p>
          <w:p>
            <w:pPr>
              <w:tabs>
                <w:tab w:val="left" w:pos="624"/>
              </w:tabs>
              <w:adjustRightInd w:val="0"/>
              <w:snapToGrid w:val="0"/>
              <w:spacing w:line="30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接受分包的第三人资格、资质要求：</w:t>
            </w:r>
            <w:r>
              <w:rPr>
                <w:rFonts w:hint="eastAsia" w:cs="宋体"/>
                <w:color w:val="0000FF"/>
                <w:sz w:val="21"/>
                <w:szCs w:val="21"/>
                <w:highlight w:val="none"/>
                <w:u w:val="single"/>
                <w:lang w:eastAsia="zh-CN"/>
              </w:rPr>
              <w:t>详见专用合同条款</w:t>
            </w:r>
            <w:r>
              <w:rPr>
                <w:rFonts w:hint="eastAsia" w:cs="宋体"/>
                <w:color w:val="0000FF"/>
                <w:sz w:val="21"/>
                <w:szCs w:val="21"/>
                <w:highlight w:val="none"/>
                <w:u w:val="single"/>
                <w:lang w:val="en-US" w:eastAsia="zh-CN"/>
              </w:rPr>
              <w:t>3.5</w:t>
            </w:r>
            <w:r>
              <w:rPr>
                <w:rFonts w:hint="eastAsia" w:ascii="宋体" w:hAnsi="宋体" w:eastAsia="宋体" w:cs="宋体"/>
                <w:color w:val="0000FF"/>
                <w:sz w:val="21"/>
                <w:szCs w:val="21"/>
                <w:highlight w:val="none"/>
                <w:u w:val="singl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1.12</w:t>
            </w:r>
          </w:p>
        </w:tc>
        <w:tc>
          <w:tcPr>
            <w:tcW w:w="1984"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偏离</w:t>
            </w:r>
          </w:p>
        </w:tc>
        <w:tc>
          <w:tcPr>
            <w:tcW w:w="6946" w:type="dxa"/>
            <w:vAlign w:val="center"/>
          </w:tcPr>
          <w:p>
            <w:pPr>
              <w:autoSpaceDE w:val="0"/>
              <w:autoSpaceDN w:val="0"/>
              <w:adjustRightInd w:val="0"/>
              <w:spacing w:line="300" w:lineRule="auto"/>
              <w:rPr>
                <w:rFonts w:cs="宋体"/>
                <w:color w:val="0000FF"/>
                <w:sz w:val="21"/>
                <w:szCs w:val="21"/>
                <w:highlight w:val="none"/>
              </w:rPr>
            </w:pPr>
            <w:r>
              <w:rPr>
                <w:rFonts w:hint="eastAsia" w:cs="宋体"/>
                <w:color w:val="0000FF"/>
                <w:sz w:val="21"/>
                <w:szCs w:val="21"/>
                <w:highlight w:val="none"/>
                <w:lang w:eastAsia="zh-CN"/>
              </w:rPr>
              <w:t>☑</w:t>
            </w:r>
            <w:r>
              <w:rPr>
                <w:rFonts w:hint="eastAsia" w:cs="宋体"/>
                <w:color w:val="0000FF"/>
                <w:sz w:val="21"/>
                <w:szCs w:val="21"/>
                <w:highlight w:val="none"/>
              </w:rPr>
              <w:t xml:space="preserve"> 不允许</w:t>
            </w:r>
          </w:p>
          <w:p>
            <w:pPr>
              <w:pStyle w:val="23"/>
              <w:spacing w:line="300" w:lineRule="auto"/>
              <w:rPr>
                <w:rFonts w:cs="宋体"/>
                <w:color w:val="auto"/>
                <w:sz w:val="21"/>
                <w:szCs w:val="21"/>
                <w:highlight w:val="none"/>
                <w:lang w:val="en-US"/>
              </w:rPr>
            </w:pPr>
            <w:r>
              <w:rPr>
                <w:rFonts w:hint="eastAsia" w:cs="宋体"/>
                <w:color w:val="auto"/>
                <w:kern w:val="0"/>
                <w:sz w:val="21"/>
                <w:szCs w:val="21"/>
                <w:highlight w:val="none"/>
                <w:lang w:val="en-US"/>
              </w:rPr>
              <w:t>□ 允许，允许偏离范围和幅度：</w:t>
            </w:r>
            <w:r>
              <w:rPr>
                <w:rFonts w:hint="eastAsia" w:cs="宋体"/>
                <w:color w:val="auto"/>
                <w:kern w:val="0"/>
                <w:sz w:val="21"/>
                <w:szCs w:val="21"/>
                <w:highlight w:val="none"/>
                <w:u w:val="single"/>
                <w:lang w:val="en-US"/>
              </w:rPr>
              <w:t xml:space="preserve">    </w:t>
            </w:r>
            <w:r>
              <w:rPr>
                <w:rFonts w:hint="eastAsia" w:cs="宋体"/>
                <w:color w:val="auto"/>
                <w:kern w:val="2"/>
                <w:sz w:val="21"/>
                <w:szCs w:val="21"/>
                <w:highlight w:val="none"/>
                <w:u w:val="single"/>
              </w:rPr>
              <w:t xml:space="preserve">  </w:t>
            </w:r>
            <w:r>
              <w:rPr>
                <w:rFonts w:hint="eastAsia" w:cs="宋体"/>
                <w:color w:val="auto"/>
                <w:kern w:val="2"/>
                <w:sz w:val="21"/>
                <w:szCs w:val="21"/>
                <w:highlight w:val="none"/>
                <w:u w:val="single"/>
                <w:lang w:val="en-US"/>
              </w:rPr>
              <w:t>/</w:t>
            </w:r>
            <w:r>
              <w:rPr>
                <w:rFonts w:hint="eastAsia" w:cs="宋体"/>
                <w:color w:val="auto"/>
                <w:kern w:val="2"/>
                <w:sz w:val="21"/>
                <w:szCs w:val="21"/>
                <w:highlight w:val="none"/>
                <w:u w:val="single"/>
              </w:rPr>
              <w:t xml:space="preserve"> </w:t>
            </w:r>
            <w:r>
              <w:rPr>
                <w:rFonts w:hint="eastAsia" w:cs="宋体"/>
                <w:color w:val="auto"/>
                <w:kern w:val="0"/>
                <w:sz w:val="21"/>
                <w:szCs w:val="21"/>
                <w:highlight w:val="none"/>
                <w:u w:val="single"/>
                <w:lang w:val="en-US"/>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1"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2.2.1</w:t>
            </w:r>
          </w:p>
        </w:tc>
        <w:tc>
          <w:tcPr>
            <w:tcW w:w="1984"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投标截止时间</w:t>
            </w:r>
          </w:p>
        </w:tc>
        <w:tc>
          <w:tcPr>
            <w:tcW w:w="6946" w:type="dxa"/>
            <w:vAlign w:val="center"/>
          </w:tcPr>
          <w:p>
            <w:pPr>
              <w:spacing w:line="300" w:lineRule="auto"/>
              <w:ind w:firstLine="420" w:firstLineChars="200"/>
              <w:rPr>
                <w:rFonts w:cs="宋体"/>
                <w:color w:val="auto"/>
                <w:kern w:val="1"/>
                <w:sz w:val="21"/>
                <w:szCs w:val="21"/>
                <w:highlight w:val="none"/>
              </w:rPr>
            </w:pPr>
            <w:r>
              <w:rPr>
                <w:rFonts w:hint="eastAsia" w:cs="宋体"/>
                <w:color w:val="auto"/>
                <w:kern w:val="1"/>
                <w:sz w:val="21"/>
                <w:szCs w:val="21"/>
                <w:highlight w:val="none"/>
                <w:u w:val="single"/>
              </w:rPr>
              <w:t xml:space="preserve"> </w:t>
            </w:r>
            <w:r>
              <w:rPr>
                <w:rFonts w:hint="eastAsia" w:cs="宋体"/>
                <w:color w:val="auto"/>
                <w:kern w:val="1"/>
                <w:sz w:val="21"/>
                <w:szCs w:val="21"/>
                <w:highlight w:val="none"/>
                <w:u w:val="single"/>
                <w:lang w:val="en-US" w:eastAsia="zh-CN"/>
              </w:rPr>
              <w:t>2024</w:t>
            </w:r>
            <w:r>
              <w:rPr>
                <w:rFonts w:hint="eastAsia" w:cs="宋体"/>
                <w:color w:val="auto"/>
                <w:kern w:val="1"/>
                <w:sz w:val="21"/>
                <w:szCs w:val="21"/>
                <w:highlight w:val="none"/>
                <w:u w:val="single"/>
              </w:rPr>
              <w:t xml:space="preserve"> </w:t>
            </w:r>
            <w:r>
              <w:rPr>
                <w:rFonts w:hint="eastAsia" w:cs="宋体"/>
                <w:color w:val="auto"/>
                <w:kern w:val="1"/>
                <w:sz w:val="21"/>
                <w:szCs w:val="21"/>
                <w:highlight w:val="none"/>
              </w:rPr>
              <w:t>年</w:t>
            </w:r>
            <w:r>
              <w:rPr>
                <w:rFonts w:hint="eastAsia" w:cs="宋体"/>
                <w:color w:val="auto"/>
                <w:kern w:val="1"/>
                <w:sz w:val="21"/>
                <w:szCs w:val="21"/>
                <w:highlight w:val="none"/>
                <w:u w:val="single"/>
              </w:rPr>
              <w:t xml:space="preserve">     </w:t>
            </w:r>
            <w:r>
              <w:rPr>
                <w:rFonts w:hint="eastAsia" w:cs="宋体"/>
                <w:color w:val="auto"/>
                <w:kern w:val="1"/>
                <w:sz w:val="21"/>
                <w:szCs w:val="21"/>
                <w:highlight w:val="none"/>
              </w:rPr>
              <w:t>月</w:t>
            </w:r>
            <w:r>
              <w:rPr>
                <w:rFonts w:hint="eastAsia" w:cs="宋体"/>
                <w:color w:val="auto"/>
                <w:kern w:val="1"/>
                <w:sz w:val="21"/>
                <w:szCs w:val="21"/>
                <w:highlight w:val="none"/>
                <w:u w:val="single"/>
              </w:rPr>
              <w:t xml:space="preserve">     </w:t>
            </w:r>
            <w:r>
              <w:rPr>
                <w:rFonts w:hint="eastAsia" w:cs="宋体"/>
                <w:color w:val="auto"/>
                <w:kern w:val="1"/>
                <w:sz w:val="21"/>
                <w:szCs w:val="21"/>
                <w:highlight w:val="none"/>
              </w:rPr>
              <w:t>日</w:t>
            </w:r>
            <w:r>
              <w:rPr>
                <w:rFonts w:hint="eastAsia" w:cs="宋体"/>
                <w:color w:val="auto"/>
                <w:kern w:val="1"/>
                <w:sz w:val="21"/>
                <w:szCs w:val="21"/>
                <w:highlight w:val="none"/>
                <w:u w:val="single"/>
              </w:rPr>
              <w:t xml:space="preserve">    </w:t>
            </w:r>
            <w:r>
              <w:rPr>
                <w:rFonts w:hint="eastAsia" w:cs="宋体"/>
                <w:color w:val="auto"/>
                <w:kern w:val="1"/>
                <w:sz w:val="21"/>
                <w:szCs w:val="21"/>
                <w:highlight w:val="none"/>
              </w:rPr>
              <w:t>时</w:t>
            </w:r>
            <w:r>
              <w:rPr>
                <w:rFonts w:hint="eastAsia" w:cs="宋体"/>
                <w:color w:val="auto"/>
                <w:kern w:val="1"/>
                <w:sz w:val="21"/>
                <w:szCs w:val="21"/>
                <w:highlight w:val="none"/>
                <w:u w:val="single"/>
              </w:rPr>
              <w:t xml:space="preserve">    </w:t>
            </w:r>
            <w:r>
              <w:rPr>
                <w:rFonts w:hint="eastAsia" w:cs="宋体"/>
                <w:color w:val="auto"/>
                <w:kern w:val="1"/>
                <w:sz w:val="21"/>
                <w:szCs w:val="21"/>
                <w:highlight w:val="none"/>
              </w:rPr>
              <w:t>分</w:t>
            </w:r>
            <w:r>
              <w:rPr>
                <w:rFonts w:hint="eastAsia" w:cs="宋体"/>
                <w:color w:val="auto"/>
                <w:kern w:val="1"/>
                <w:sz w:val="21"/>
                <w:szCs w:val="21"/>
                <w:highlight w:val="none"/>
                <w:u w:val="single"/>
              </w:rPr>
              <w:t xml:space="preserve">     </w:t>
            </w:r>
            <w:r>
              <w:rPr>
                <w:rFonts w:hint="eastAsia" w:cs="宋体"/>
                <w:color w:val="auto"/>
                <w:kern w:val="1"/>
                <w:sz w:val="21"/>
                <w:szCs w:val="21"/>
                <w:highlight w:val="none"/>
              </w:rPr>
              <w:t>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1"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3.1.1</w:t>
            </w:r>
          </w:p>
        </w:tc>
        <w:tc>
          <w:tcPr>
            <w:tcW w:w="1984"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构成投标文件的资格文件其他资料和商务文件其他资料</w:t>
            </w:r>
          </w:p>
        </w:tc>
        <w:tc>
          <w:tcPr>
            <w:tcW w:w="6946" w:type="dxa"/>
            <w:vAlign w:val="center"/>
          </w:tcPr>
          <w:p>
            <w:pPr>
              <w:spacing w:line="300" w:lineRule="auto"/>
              <w:ind w:firstLine="420" w:firstLineChars="200"/>
              <w:rPr>
                <w:rFonts w:cs="宋体"/>
                <w:color w:val="auto"/>
                <w:kern w:val="1"/>
                <w:sz w:val="21"/>
                <w:szCs w:val="21"/>
                <w:highlight w:val="none"/>
                <w:u w:val="single"/>
              </w:rPr>
            </w:pPr>
            <w:r>
              <w:rPr>
                <w:rFonts w:hint="eastAsia" w:cs="宋体"/>
                <w:color w:val="auto"/>
                <w:kern w:val="1"/>
                <w:sz w:val="21"/>
                <w:szCs w:val="21"/>
                <w:highlight w:val="none"/>
              </w:rPr>
              <w:t>资格文件其他资料和商务文件其他资料的格式见投标人须知前附表附录2。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851"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3.3.1</w:t>
            </w:r>
          </w:p>
        </w:tc>
        <w:tc>
          <w:tcPr>
            <w:tcW w:w="1984"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投标有效期</w:t>
            </w:r>
          </w:p>
        </w:tc>
        <w:tc>
          <w:tcPr>
            <w:tcW w:w="6946" w:type="dxa"/>
            <w:vAlign w:val="center"/>
          </w:tcPr>
          <w:p>
            <w:pPr>
              <w:spacing w:line="300" w:lineRule="auto"/>
              <w:ind w:firstLine="458"/>
              <w:rPr>
                <w:rFonts w:cs="宋体"/>
                <w:bCs/>
                <w:color w:val="auto"/>
                <w:kern w:val="1"/>
                <w:sz w:val="21"/>
                <w:szCs w:val="21"/>
                <w:highlight w:val="none"/>
              </w:rPr>
            </w:pPr>
            <w:r>
              <w:rPr>
                <w:rFonts w:hint="eastAsia" w:cs="宋体"/>
                <w:bCs/>
                <w:color w:val="auto"/>
                <w:kern w:val="1"/>
                <w:sz w:val="21"/>
                <w:szCs w:val="21"/>
                <w:highlight w:val="none"/>
                <w:u w:val="single"/>
              </w:rPr>
              <w:t xml:space="preserve"> </w:t>
            </w:r>
            <w:r>
              <w:rPr>
                <w:rFonts w:hint="eastAsia" w:cs="宋体"/>
                <w:bCs/>
                <w:color w:val="0000FF"/>
                <w:kern w:val="1"/>
                <w:sz w:val="21"/>
                <w:szCs w:val="21"/>
                <w:highlight w:val="none"/>
                <w:u w:val="single"/>
                <w:lang w:val="en-US" w:eastAsia="zh-CN"/>
              </w:rPr>
              <w:t>90</w:t>
            </w:r>
            <w:r>
              <w:rPr>
                <w:rFonts w:hint="eastAsia" w:cs="宋体"/>
                <w:bCs/>
                <w:color w:val="auto"/>
                <w:kern w:val="1"/>
                <w:sz w:val="21"/>
                <w:szCs w:val="21"/>
                <w:highlight w:val="none"/>
                <w:u w:val="single"/>
              </w:rPr>
              <w:t xml:space="preserve"> </w:t>
            </w:r>
            <w:r>
              <w:rPr>
                <w:rFonts w:hint="eastAsia" w:cs="宋体"/>
                <w:bCs/>
                <w:color w:val="auto"/>
                <w:kern w:val="1"/>
                <w:sz w:val="21"/>
                <w:szCs w:val="21"/>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3.4.1</w:t>
            </w:r>
          </w:p>
        </w:tc>
        <w:tc>
          <w:tcPr>
            <w:tcW w:w="1984"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投标保证金</w:t>
            </w:r>
          </w:p>
        </w:tc>
        <w:tc>
          <w:tcPr>
            <w:tcW w:w="6946" w:type="dxa"/>
            <w:vAlign w:val="center"/>
          </w:tcPr>
          <w:p>
            <w:pPr>
              <w:adjustRightInd w:val="0"/>
              <w:snapToGrid w:val="0"/>
              <w:spacing w:line="300" w:lineRule="auto"/>
              <w:ind w:firstLine="422" w:firstLineChars="200"/>
              <w:textAlignment w:val="baseline"/>
              <w:rPr>
                <w:rFonts w:cs="宋体"/>
                <w:color w:val="auto"/>
                <w:sz w:val="21"/>
                <w:szCs w:val="21"/>
                <w:highlight w:val="none"/>
              </w:rPr>
            </w:pPr>
            <w:r>
              <w:rPr>
                <w:rFonts w:hint="eastAsia" w:cs="宋体"/>
                <w:b/>
                <w:color w:val="auto"/>
                <w:sz w:val="21"/>
                <w:szCs w:val="21"/>
                <w:highlight w:val="none"/>
              </w:rPr>
              <w:t>1.投标保证金金额</w:t>
            </w:r>
            <w:r>
              <w:rPr>
                <w:rFonts w:hint="eastAsia" w:cs="宋体"/>
                <w:color w:val="auto"/>
                <w:sz w:val="21"/>
                <w:szCs w:val="21"/>
                <w:highlight w:val="none"/>
              </w:rPr>
              <w:t>：</w:t>
            </w:r>
            <w:r>
              <w:rPr>
                <w:rFonts w:hint="eastAsia" w:cs="宋体"/>
                <w:color w:val="auto"/>
                <w:sz w:val="21"/>
                <w:szCs w:val="21"/>
                <w:highlight w:val="none"/>
                <w:u w:val="single"/>
              </w:rPr>
              <w:t xml:space="preserve"> </w:t>
            </w:r>
            <w:r>
              <w:rPr>
                <w:rFonts w:hint="eastAsia" w:cs="宋体"/>
                <w:color w:val="0000FF"/>
                <w:sz w:val="21"/>
                <w:szCs w:val="21"/>
                <w:highlight w:val="none"/>
                <w:u w:val="single"/>
                <w:lang w:val="en-US" w:eastAsia="zh-CN"/>
              </w:rPr>
              <w:t>80</w:t>
            </w:r>
            <w:r>
              <w:rPr>
                <w:rFonts w:hint="eastAsia" w:cs="宋体"/>
                <w:color w:val="auto"/>
                <w:sz w:val="21"/>
                <w:szCs w:val="21"/>
                <w:highlight w:val="none"/>
                <w:u w:val="single"/>
              </w:rPr>
              <w:t xml:space="preserve"> </w:t>
            </w:r>
            <w:r>
              <w:rPr>
                <w:rFonts w:hint="eastAsia" w:cs="宋体"/>
                <w:color w:val="auto"/>
                <w:sz w:val="21"/>
                <w:szCs w:val="21"/>
                <w:highlight w:val="none"/>
              </w:rPr>
              <w:t>万元人民币；</w:t>
            </w:r>
          </w:p>
          <w:p>
            <w:pPr>
              <w:adjustRightInd w:val="0"/>
              <w:snapToGrid w:val="0"/>
              <w:spacing w:line="300" w:lineRule="auto"/>
              <w:ind w:firstLine="422" w:firstLineChars="200"/>
              <w:textAlignment w:val="baseline"/>
              <w:rPr>
                <w:rFonts w:cs="宋体"/>
                <w:color w:val="auto"/>
                <w:sz w:val="21"/>
                <w:szCs w:val="21"/>
                <w:highlight w:val="none"/>
                <w:u w:val="single"/>
              </w:rPr>
            </w:pPr>
            <w:r>
              <w:rPr>
                <w:rFonts w:hint="eastAsia" w:cs="宋体"/>
                <w:b/>
                <w:color w:val="auto"/>
                <w:sz w:val="21"/>
                <w:szCs w:val="21"/>
                <w:highlight w:val="none"/>
              </w:rPr>
              <w:t>2.投标保证金形式</w:t>
            </w:r>
            <w:r>
              <w:rPr>
                <w:rFonts w:hint="eastAsia" w:cs="宋体"/>
                <w:color w:val="auto"/>
                <w:sz w:val="21"/>
                <w:szCs w:val="21"/>
                <w:highlight w:val="none"/>
              </w:rPr>
              <w:t>：</w:t>
            </w:r>
            <w:r>
              <w:rPr>
                <w:rFonts w:hint="eastAsia" w:cs="宋体"/>
                <w:color w:val="auto"/>
                <w:sz w:val="21"/>
                <w:szCs w:val="21"/>
                <w:highlight w:val="none"/>
                <w:u w:val="single"/>
              </w:rPr>
              <w:t>投标人可以使用下列第</w:t>
            </w:r>
            <w:r>
              <w:rPr>
                <w:rFonts w:hint="eastAsia" w:cs="宋体"/>
                <w:color w:val="0000FF"/>
                <w:sz w:val="21"/>
                <w:szCs w:val="21"/>
                <w:highlight w:val="none"/>
                <w:u w:val="single"/>
              </w:rPr>
              <w:t>①或②或③或④</w:t>
            </w:r>
            <w:r>
              <w:rPr>
                <w:rFonts w:hint="eastAsia" w:cs="宋体"/>
                <w:color w:val="auto"/>
                <w:sz w:val="21"/>
                <w:szCs w:val="21"/>
                <w:highlight w:val="none"/>
                <w:u w:val="single"/>
              </w:rPr>
              <w:t>种形式提交。</w:t>
            </w:r>
          </w:p>
          <w:p>
            <w:pPr>
              <w:adjustRightInd w:val="0"/>
              <w:snapToGrid w:val="0"/>
              <w:spacing w:line="30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①现金形式:应在投标截止时间之前从投标人所在地银行的投标人企业基本账户以电汇或银行转账的形式，汇到招标文件指定的投标保证金账户</w:t>
            </w:r>
            <w:r>
              <w:rPr>
                <w:rFonts w:hint="eastAsia" w:cs="宋体"/>
                <w:color w:val="auto"/>
                <w:spacing w:val="4"/>
                <w:sz w:val="21"/>
                <w:szCs w:val="21"/>
                <w:highlight w:val="none"/>
              </w:rPr>
              <w:t>，并应在电汇或银行转账单上注明</w:t>
            </w:r>
            <w:r>
              <w:rPr>
                <w:rFonts w:hint="eastAsia" w:cs="宋体"/>
                <w:color w:val="auto"/>
                <w:spacing w:val="4"/>
                <w:sz w:val="21"/>
                <w:szCs w:val="21"/>
                <w:highlight w:val="none"/>
                <w:u w:val="single"/>
              </w:rPr>
              <w:t xml:space="preserve">    （招标项目编号）</w:t>
            </w:r>
            <w:r>
              <w:rPr>
                <w:rFonts w:hint="eastAsia" w:cs="宋体"/>
                <w:color w:val="auto"/>
                <w:spacing w:val="4"/>
                <w:sz w:val="21"/>
                <w:szCs w:val="21"/>
                <w:highlight w:val="none"/>
              </w:rPr>
              <w:t>，如因投标人汇款凭证未注明招标项目编号造成银行无法识别投标保证金到账情况或识别错误的，其责任由投标人自行承担。</w:t>
            </w:r>
            <w:r>
              <w:rPr>
                <w:rFonts w:hint="eastAsia" w:cs="宋体"/>
                <w:color w:val="auto"/>
                <w:sz w:val="21"/>
                <w:szCs w:val="21"/>
                <w:highlight w:val="none"/>
              </w:rPr>
              <w:t>招标人在投标截止的同一时间到银行查询投标保证金到帐情况，并以银行出具的加盖公章的投标保证金到帐证明作为投标人是否按招标文件规定递交投标保证金的依据。投标人企业基本账户开户许可证或基本存款账户开户银行开具的《基本存款账户信息》上账号应与投标保证金转账回单上账号一致，否则视为未按规定提交投标保证金，资格审查不合格。</w:t>
            </w:r>
          </w:p>
          <w:p>
            <w:pPr>
              <w:adjustRightInd w:val="0"/>
              <w:snapToGrid w:val="0"/>
              <w:spacing w:line="30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投标保证金银行帐号：</w:t>
            </w:r>
          </w:p>
          <w:p>
            <w:pPr>
              <w:adjustRightInd w:val="0"/>
              <w:snapToGrid w:val="0"/>
              <w:spacing w:line="30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开户银行：</w:t>
            </w:r>
            <w:r>
              <w:rPr>
                <w:rFonts w:hint="eastAsia" w:cs="宋体"/>
                <w:color w:val="auto"/>
                <w:sz w:val="21"/>
                <w:szCs w:val="21"/>
                <w:highlight w:val="none"/>
                <w:u w:val="single"/>
              </w:rPr>
              <w:t>中国农业银行股份有限公司厦门政务中心支行</w:t>
            </w:r>
          </w:p>
          <w:p>
            <w:pPr>
              <w:adjustRightInd w:val="0"/>
              <w:snapToGrid w:val="0"/>
              <w:spacing w:line="30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帐户名称：</w:t>
            </w:r>
            <w:r>
              <w:rPr>
                <w:rFonts w:hint="eastAsia" w:cs="宋体"/>
                <w:color w:val="auto"/>
                <w:sz w:val="21"/>
                <w:szCs w:val="21"/>
                <w:highlight w:val="none"/>
                <w:u w:val="single"/>
              </w:rPr>
              <w:t xml:space="preserve">厦门市公共资源交易中心 </w:t>
            </w:r>
          </w:p>
          <w:p>
            <w:pPr>
              <w:adjustRightInd w:val="0"/>
              <w:snapToGrid w:val="0"/>
              <w:spacing w:line="30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帐    号：</w:t>
            </w:r>
            <w:r>
              <w:rPr>
                <w:rFonts w:hint="eastAsia" w:cs="宋体"/>
                <w:color w:val="auto"/>
                <w:sz w:val="21"/>
                <w:szCs w:val="21"/>
                <w:highlight w:val="none"/>
                <w:u w:val="single"/>
              </w:rPr>
              <w:t xml:space="preserve">                       </w:t>
            </w:r>
          </w:p>
          <w:p>
            <w:pPr>
              <w:adjustRightInd w:val="0"/>
              <w:snapToGrid w:val="0"/>
              <w:spacing w:line="300" w:lineRule="auto"/>
              <w:ind w:firstLine="420" w:firstLineChars="200"/>
              <w:textAlignment w:val="baseline"/>
              <w:rPr>
                <w:rFonts w:cs="宋体"/>
                <w:color w:val="auto"/>
                <w:sz w:val="21"/>
                <w:szCs w:val="21"/>
                <w:highlight w:val="none"/>
                <w:u w:val="single"/>
              </w:rPr>
            </w:pPr>
            <w:r>
              <w:rPr>
                <w:rFonts w:hint="eastAsia" w:cs="宋体"/>
                <w:color w:val="auto"/>
                <w:sz w:val="21"/>
                <w:szCs w:val="21"/>
                <w:highlight w:val="none"/>
              </w:rPr>
              <w:t>银行存款利率类型为：银行存款同期活期利率，并从投标截止当日开始计息。</w:t>
            </w:r>
          </w:p>
          <w:p>
            <w:pPr>
              <w:adjustRightInd w:val="0"/>
              <w:snapToGrid w:val="0"/>
              <w:spacing w:line="30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利息部分应出具发票的类型为：</w:t>
            </w:r>
            <w:r>
              <w:rPr>
                <w:rFonts w:hint="eastAsia" w:cs="宋体"/>
                <w:color w:val="auto"/>
                <w:sz w:val="21"/>
                <w:szCs w:val="21"/>
                <w:highlight w:val="none"/>
                <w:u w:val="single"/>
              </w:rPr>
              <w:t>税务发票</w:t>
            </w:r>
            <w:r>
              <w:rPr>
                <w:rFonts w:hint="eastAsia" w:cs="宋体"/>
                <w:color w:val="auto"/>
                <w:sz w:val="21"/>
                <w:szCs w:val="21"/>
                <w:highlight w:val="none"/>
              </w:rPr>
              <w:t>。</w:t>
            </w:r>
          </w:p>
          <w:p>
            <w:pPr>
              <w:adjustRightInd w:val="0"/>
              <w:snapToGrid w:val="0"/>
              <w:spacing w:line="30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②银行保函形式：</w:t>
            </w:r>
            <w:r>
              <w:rPr>
                <w:rFonts w:hint="eastAsia" w:cs="宋体"/>
                <w:color w:val="auto"/>
                <w:sz w:val="21"/>
                <w:szCs w:val="21"/>
                <w:highlight w:val="none"/>
                <w:u w:val="single"/>
              </w:rPr>
              <w:t>投标人须在投标截止时间前按厦建筑〔2019〕41 号规定要求自行办妥电子投标保函手续；银行电子保函应注明项目名称，保函额度等信息，电子保函额度不少于招标文件规定的金额。</w:t>
            </w:r>
          </w:p>
          <w:p>
            <w:pPr>
              <w:adjustRightInd w:val="0"/>
              <w:snapToGrid w:val="0"/>
              <w:spacing w:line="30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③工程担保公司出具的担保保函形式：</w:t>
            </w:r>
            <w:r>
              <w:rPr>
                <w:rFonts w:hint="eastAsia" w:cs="宋体"/>
                <w:color w:val="auto"/>
                <w:sz w:val="21"/>
                <w:szCs w:val="21"/>
                <w:highlight w:val="none"/>
                <w:u w:val="single"/>
              </w:rPr>
              <w:t>投标人须在投标截止时间前按厦建筑〔2019〕41 号规定要求自行办妥电子投标保函手续；电子工程担保保函应注明项目名称，保函额度等信息，电子担保保函额度不少于招标文件规定的金额。</w:t>
            </w:r>
          </w:p>
          <w:p>
            <w:pPr>
              <w:widowControl/>
              <w:spacing w:line="400" w:lineRule="exact"/>
              <w:ind w:firstLine="420" w:firstLineChars="200"/>
              <w:rPr>
                <w:rFonts w:cs="宋体"/>
                <w:color w:val="auto"/>
                <w:sz w:val="21"/>
                <w:szCs w:val="21"/>
                <w:highlight w:val="none"/>
                <w:u w:val="single"/>
              </w:rPr>
            </w:pPr>
            <w:r>
              <w:rPr>
                <w:rFonts w:hint="eastAsia" w:cs="宋体"/>
                <w:color w:val="auto"/>
                <w:kern w:val="2"/>
                <w:sz w:val="21"/>
                <w:szCs w:val="21"/>
                <w:highlight w:val="none"/>
              </w:rPr>
              <w:t>④保险公司出具的投标保证保险形式：</w:t>
            </w:r>
            <w:r>
              <w:rPr>
                <w:rFonts w:hint="eastAsia" w:cs="宋体"/>
                <w:color w:val="auto"/>
                <w:sz w:val="21"/>
                <w:szCs w:val="21"/>
                <w:highlight w:val="none"/>
                <w:u w:val="single"/>
              </w:rPr>
              <w:t>投标保证保险应为先行赔付、后续追偿的见索即付保单。保险条款须经中国银保监会或原中国保监会批准或备案。保险人应在保单中的特别约定条款中注明以下责任，如无注明则视为无效保单：</w:t>
            </w:r>
          </w:p>
          <w:p>
            <w:pPr>
              <w:widowControl/>
              <w:adjustRightInd w:val="0"/>
              <w:spacing w:line="400" w:lineRule="exact"/>
              <w:ind w:firstLine="420" w:firstLineChars="200"/>
              <w:textAlignment w:val="baseline"/>
              <w:rPr>
                <w:rFonts w:cs="宋体"/>
                <w:color w:val="auto"/>
                <w:sz w:val="21"/>
                <w:szCs w:val="21"/>
                <w:highlight w:val="none"/>
                <w:u w:val="single"/>
              </w:rPr>
            </w:pPr>
            <w:r>
              <w:rPr>
                <w:rFonts w:hint="eastAsia" w:cs="宋体"/>
                <w:color w:val="auto"/>
                <w:sz w:val="21"/>
                <w:szCs w:val="21"/>
                <w:highlight w:val="none"/>
                <w:u w:val="single"/>
              </w:rPr>
              <w:t>1.保险人在投标人存在违反法律、法规和招标文件规定投标保证金不予退还的情形时承担保证保险责任。</w:t>
            </w:r>
          </w:p>
          <w:p>
            <w:pPr>
              <w:pStyle w:val="9"/>
              <w:snapToGrid w:val="0"/>
              <w:spacing w:line="300" w:lineRule="auto"/>
              <w:ind w:right="95" w:rightChars="28" w:firstLineChars="200"/>
              <w:rPr>
                <w:rFonts w:cs="宋体"/>
                <w:color w:val="auto"/>
                <w:kern w:val="0"/>
                <w:sz w:val="21"/>
                <w:szCs w:val="21"/>
                <w:highlight w:val="none"/>
                <w:u w:val="single"/>
              </w:rPr>
            </w:pPr>
            <w:r>
              <w:rPr>
                <w:rFonts w:hint="eastAsia" w:cs="宋体"/>
                <w:color w:val="auto"/>
                <w:kern w:val="0"/>
                <w:sz w:val="21"/>
                <w:szCs w:val="21"/>
                <w:highlight w:val="none"/>
                <w:u w:val="single"/>
              </w:rPr>
              <w:t>2.本保单为现行赔付、后续追偿的见索即付保单。本保单自开立之日起至投标有效期届满之日后的28日（含）。</w:t>
            </w:r>
          </w:p>
          <w:p>
            <w:pPr>
              <w:adjustRightInd w:val="0"/>
              <w:snapToGrid w:val="0"/>
              <w:spacing w:line="300" w:lineRule="auto"/>
              <w:ind w:firstLine="420" w:firstLineChars="200"/>
              <w:textAlignment w:val="baseline"/>
              <w:rPr>
                <w:rFonts w:cs="宋体"/>
                <w:color w:val="auto"/>
                <w:kern w:val="2"/>
                <w:sz w:val="21"/>
                <w:szCs w:val="21"/>
                <w:highlight w:val="none"/>
              </w:rPr>
            </w:pPr>
            <w:r>
              <w:rPr>
                <w:rFonts w:hint="eastAsia" w:cs="宋体"/>
                <w:color w:val="auto"/>
                <w:kern w:val="2"/>
                <w:sz w:val="21"/>
                <w:szCs w:val="21"/>
                <w:highlight w:val="none"/>
              </w:rPr>
              <w:t>⑤免缴投标保证金形式：符合下列情形之一的投标人，予以免缴投标保证金。</w:t>
            </w:r>
          </w:p>
          <w:p>
            <w:pPr>
              <w:tabs>
                <w:tab w:val="left" w:pos="510"/>
              </w:tabs>
              <w:adjustRightInd w:val="0"/>
              <w:snapToGrid w:val="0"/>
              <w:spacing w:line="300" w:lineRule="auto"/>
              <w:ind w:firstLine="457" w:firstLineChars="218"/>
              <w:textAlignment w:val="baseline"/>
              <w:rPr>
                <w:rFonts w:cs="宋体"/>
                <w:color w:val="auto"/>
                <w:kern w:val="2"/>
                <w:sz w:val="21"/>
                <w:szCs w:val="21"/>
                <w:highlight w:val="none"/>
              </w:rPr>
            </w:pPr>
            <w:r>
              <w:rPr>
                <w:rFonts w:hint="eastAsia" w:cs="宋体"/>
                <w:color w:val="auto"/>
                <w:kern w:val="2"/>
                <w:sz w:val="21"/>
                <w:szCs w:val="21"/>
                <w:highlight w:val="none"/>
              </w:rPr>
              <w:t>a.在法定媒介发布招标公告之日仍属于福建省住房和城乡建设厅公布的福建省建筑业龙头企业名单内；</w:t>
            </w:r>
          </w:p>
          <w:p>
            <w:pPr>
              <w:tabs>
                <w:tab w:val="left" w:pos="510"/>
              </w:tabs>
              <w:adjustRightInd w:val="0"/>
              <w:snapToGrid w:val="0"/>
              <w:spacing w:line="300" w:lineRule="auto"/>
              <w:ind w:firstLine="457" w:firstLineChars="218"/>
              <w:textAlignment w:val="baseline"/>
              <w:rPr>
                <w:rFonts w:cs="宋体"/>
                <w:color w:val="auto"/>
                <w:kern w:val="2"/>
                <w:sz w:val="21"/>
                <w:szCs w:val="21"/>
                <w:highlight w:val="none"/>
              </w:rPr>
            </w:pPr>
            <w:r>
              <w:rPr>
                <w:rFonts w:hint="eastAsia" w:cs="宋体"/>
                <w:color w:val="auto"/>
                <w:kern w:val="2"/>
                <w:sz w:val="21"/>
                <w:szCs w:val="21"/>
                <w:highlight w:val="none"/>
              </w:rPr>
              <w:t>b.应用于本招标项目的</w:t>
            </w:r>
            <w:r>
              <w:rPr>
                <w:rFonts w:hint="eastAsia" w:cs="宋体"/>
                <w:color w:val="auto"/>
                <w:kern w:val="2"/>
                <w:sz w:val="21"/>
                <w:szCs w:val="21"/>
                <w:highlight w:val="none"/>
                <w:u w:val="single"/>
              </w:rPr>
              <w:t xml:space="preserve"> </w:t>
            </w:r>
            <w:r>
              <w:rPr>
                <w:rFonts w:hint="eastAsia" w:cs="宋体"/>
                <w:color w:val="0000FF"/>
                <w:kern w:val="2"/>
                <w:sz w:val="21"/>
                <w:szCs w:val="21"/>
                <w:highlight w:val="none"/>
                <w:u w:val="single"/>
              </w:rPr>
              <w:t>房屋建筑</w:t>
            </w:r>
            <w:r>
              <w:rPr>
                <w:rFonts w:hint="eastAsia" w:cs="宋体"/>
                <w:color w:val="auto"/>
                <w:kern w:val="2"/>
                <w:sz w:val="21"/>
                <w:szCs w:val="21"/>
                <w:highlight w:val="none"/>
                <w:u w:val="single"/>
              </w:rPr>
              <w:t>（房屋建筑、市政工程）</w:t>
            </w:r>
            <w:r>
              <w:rPr>
                <w:rFonts w:hint="eastAsia" w:cs="宋体"/>
                <w:color w:val="auto"/>
                <w:kern w:val="2"/>
                <w:sz w:val="21"/>
                <w:szCs w:val="21"/>
                <w:highlight w:val="none"/>
              </w:rPr>
              <w:t>类企业季度信用得分超过（含）</w:t>
            </w:r>
            <w:r>
              <w:rPr>
                <w:rFonts w:hint="eastAsia" w:cs="宋体"/>
                <w:color w:val="0000FF"/>
                <w:kern w:val="2"/>
                <w:sz w:val="21"/>
                <w:szCs w:val="21"/>
                <w:highlight w:val="none"/>
                <w:u w:val="single"/>
                <w:lang w:val="en-US" w:eastAsia="zh-CN"/>
              </w:rPr>
              <w:t>（本条不适用）</w:t>
            </w:r>
            <w:r>
              <w:rPr>
                <w:rFonts w:hint="eastAsia" w:cs="宋体"/>
                <w:color w:val="auto"/>
                <w:kern w:val="2"/>
                <w:sz w:val="21"/>
                <w:szCs w:val="21"/>
                <w:highlight w:val="none"/>
              </w:rPr>
              <w:t>分；</w:t>
            </w:r>
          </w:p>
          <w:p>
            <w:pPr>
              <w:pStyle w:val="9"/>
              <w:snapToGrid w:val="0"/>
              <w:spacing w:line="300" w:lineRule="auto"/>
              <w:ind w:right="95" w:rightChars="28" w:firstLineChars="200"/>
              <w:rPr>
                <w:rFonts w:cs="宋体"/>
                <w:color w:val="auto"/>
                <w:kern w:val="2"/>
                <w:sz w:val="21"/>
                <w:szCs w:val="21"/>
                <w:highlight w:val="none"/>
              </w:rPr>
            </w:pPr>
            <w:r>
              <w:rPr>
                <w:rFonts w:hint="eastAsia" w:cs="宋体"/>
                <w:color w:val="auto"/>
                <w:kern w:val="0"/>
                <w:sz w:val="21"/>
                <w:szCs w:val="21"/>
                <w:highlight w:val="none"/>
              </w:rPr>
              <w:t xml:space="preserve">c. </w:t>
            </w:r>
            <w:r>
              <w:rPr>
                <w:rFonts w:hint="eastAsia" w:cs="宋体"/>
                <w:color w:val="auto"/>
                <w:kern w:val="0"/>
                <w:sz w:val="21"/>
                <w:szCs w:val="21"/>
                <w:highlight w:val="none"/>
                <w:u w:val="single"/>
                <w:lang w:val="en-US" w:eastAsia="zh-CN"/>
              </w:rPr>
              <w:t xml:space="preserve">  </w:t>
            </w:r>
            <w:r>
              <w:rPr>
                <w:rFonts w:hint="eastAsia" w:cs="宋体"/>
                <w:i w:val="0"/>
                <w:iCs w:val="0"/>
                <w:color w:val="2B2BFF"/>
                <w:kern w:val="2"/>
                <w:sz w:val="21"/>
                <w:szCs w:val="21"/>
                <w:highlight w:val="none"/>
                <w:u w:val="single"/>
                <w:lang w:val="en-US" w:eastAsia="zh-CN"/>
              </w:rPr>
              <w:t xml:space="preserve">/  </w:t>
            </w:r>
            <w:r>
              <w:rPr>
                <w:rFonts w:hint="eastAsia" w:cs="宋体"/>
                <w:color w:val="auto"/>
                <w:kern w:val="0"/>
                <w:sz w:val="21"/>
                <w:szCs w:val="21"/>
                <w:highlight w:val="none"/>
              </w:rPr>
              <w:t>。</w:t>
            </w:r>
          </w:p>
          <w:p>
            <w:pPr>
              <w:adjustRightInd w:val="0"/>
              <w:snapToGrid w:val="0"/>
              <w:spacing w:line="300" w:lineRule="auto"/>
              <w:ind w:firstLine="422" w:firstLineChars="200"/>
              <w:jc w:val="left"/>
              <w:textAlignment w:val="baseline"/>
              <w:rPr>
                <w:rFonts w:cs="宋体"/>
                <w:b/>
                <w:color w:val="auto"/>
                <w:sz w:val="21"/>
                <w:szCs w:val="21"/>
                <w:highlight w:val="none"/>
              </w:rPr>
            </w:pPr>
            <w:r>
              <w:rPr>
                <w:rFonts w:hint="eastAsia" w:cs="宋体"/>
                <w:b/>
                <w:color w:val="auto"/>
                <w:sz w:val="21"/>
                <w:szCs w:val="21"/>
                <w:highlight w:val="none"/>
              </w:rPr>
              <w:t>3.投标保证金证明材料要求：</w:t>
            </w:r>
          </w:p>
          <w:p>
            <w:pPr>
              <w:adjustRightInd w:val="0"/>
              <w:snapToGrid w:val="0"/>
              <w:spacing w:line="30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①采用现金形式：提交电汇或银行转账单的扫描件以及企业基本账户开户许可证或基本存款账户开户银行开具的《基本存款账户信息》扫描件，并加盖投标人单位电子印章，作为资格文件的组成部分。</w:t>
            </w:r>
          </w:p>
          <w:p>
            <w:pPr>
              <w:adjustRightInd w:val="0"/>
              <w:snapToGrid w:val="0"/>
              <w:spacing w:line="30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②采用投标保函（包括银行保函、担保保函、投标保证保险，下同）：</w:t>
            </w:r>
          </w:p>
          <w:p>
            <w:pPr>
              <w:adjustRightInd w:val="0"/>
              <w:snapToGrid w:val="0"/>
              <w:spacing w:line="30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a.投标保函应采用电子保函形式，投标人应通过“厦门市建设工程电子招投标交易平台——电子投标保函系统”使用其企业CA证书申请购买电子投标保函。</w:t>
            </w:r>
          </w:p>
          <w:p>
            <w:pPr>
              <w:pStyle w:val="59"/>
              <w:spacing w:line="300" w:lineRule="auto"/>
              <w:ind w:left="0" w:firstLineChars="200"/>
              <w:rPr>
                <w:rFonts w:ascii="宋体" w:hAnsi="宋体" w:cs="宋体"/>
                <w:color w:val="auto"/>
                <w:kern w:val="0"/>
                <w:szCs w:val="21"/>
                <w:highlight w:val="none"/>
              </w:rPr>
            </w:pPr>
            <w:r>
              <w:rPr>
                <w:rFonts w:hint="eastAsia" w:ascii="宋体" w:hAnsi="宋体" w:cs="宋体"/>
                <w:color w:val="auto"/>
                <w:kern w:val="0"/>
                <w:szCs w:val="21"/>
                <w:highlight w:val="none"/>
              </w:rPr>
              <w:t>b.投标人应将</w:t>
            </w:r>
            <w:r>
              <w:rPr>
                <w:rFonts w:hint="eastAsia" w:ascii="宋体" w:hAnsi="宋体" w:cs="瀹嬩綋"/>
                <w:color w:val="auto"/>
                <w:kern w:val="0"/>
                <w:szCs w:val="21"/>
                <w:highlight w:val="none"/>
              </w:rPr>
              <w:t>:①电子投标保函原件（加盖电子投标保函开立人电子印章或电子投标保函开立人依法刻制并授权用于投标保函业务的专用章）、②支付电子投标保函费用的电汇或银行转账回单扫描件（加盖投标人单位电子印章）、③电子投标保函开立人出具的加盖电子投标保函开立人电子印章或电子投标保函开立人依法刻制并授权用于投标保函业务的专用章的到账证明扫描件（加盖投标人单位电子印章）、④企业基本账户开户许可证或基本存款账户开户银行开具的《基本存款账户信息》扫描件（加盖投标人单位电子印章）作为资格文件的组成部分</w:t>
            </w:r>
            <w:r>
              <w:rPr>
                <w:rFonts w:hint="eastAsia" w:ascii="宋体" w:hAnsi="宋体" w:cs="宋体"/>
                <w:color w:val="auto"/>
                <w:kern w:val="0"/>
                <w:szCs w:val="21"/>
                <w:highlight w:val="none"/>
              </w:rPr>
              <w:t>。</w:t>
            </w:r>
          </w:p>
          <w:p>
            <w:pPr>
              <w:adjustRightInd w:val="0"/>
              <w:snapToGrid w:val="0"/>
              <w:spacing w:line="30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c.投标人向电子投标保函开立人购买电子投标保函所支付的费用应在投标截止时间之前从投标人企业基本账户转出，并在电汇或银行转账回单上注明招标项目编号。</w:t>
            </w:r>
          </w:p>
          <w:p>
            <w:pPr>
              <w:adjustRightInd w:val="0"/>
              <w:snapToGrid w:val="0"/>
              <w:spacing w:line="30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投标人应确保其企业基本账户开户许可证或基本存款账户开户银行开具的《基本存款账户信息》上账号与投标人支付电子投标保函费用的电汇或银行转账回单上账号一致，否则视同未缴交投标保证金。</w:t>
            </w:r>
          </w:p>
          <w:p>
            <w:pPr>
              <w:adjustRightInd w:val="0"/>
              <w:snapToGrid w:val="0"/>
              <w:spacing w:line="300" w:lineRule="auto"/>
              <w:ind w:firstLine="420" w:firstLineChars="200"/>
              <w:jc w:val="left"/>
              <w:textAlignment w:val="baseline"/>
              <w:rPr>
                <w:rFonts w:cs="宋体"/>
                <w:bCs/>
                <w:color w:val="auto"/>
                <w:sz w:val="21"/>
                <w:szCs w:val="21"/>
                <w:highlight w:val="none"/>
              </w:rPr>
            </w:pPr>
            <w:r>
              <w:rPr>
                <w:rFonts w:hint="eastAsia" w:cs="宋体"/>
                <w:bCs/>
                <w:color w:val="auto"/>
                <w:sz w:val="21"/>
                <w:szCs w:val="21"/>
                <w:highlight w:val="none"/>
              </w:rPr>
              <w:t>d.投标人以电子投标保函形式提交投标保证金的，资格审查委员会应当核对投标人支付电子投标保函费用电汇或银行转账回单上账号是否与投标人企业基本账户开户许可证或基本存款账户开户银行开具的《基本存款账户信息》上账号一致，如不一致的，应否决其投标。</w:t>
            </w:r>
          </w:p>
          <w:p>
            <w:pPr>
              <w:adjustRightInd w:val="0"/>
              <w:snapToGrid w:val="0"/>
              <w:spacing w:line="30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e.各工程担保保证人应确保其出具的电子投标保函的真实性、合法性和有效性，如出现将电子投标保函相关数据信息泄露给其他任何机构和个人，或未按照规定履行赔付义务等情况，主管部门将视情节给予通报批评、暂停或关闭与市公共资源交易中心电子投标保函对接、行政处罚等处理。</w:t>
            </w:r>
          </w:p>
          <w:p>
            <w:pPr>
              <w:pStyle w:val="59"/>
              <w:spacing w:after="0" w:line="300" w:lineRule="auto"/>
              <w:ind w:left="0" w:firstLineChars="200"/>
              <w:rPr>
                <w:color w:val="auto"/>
                <w:highlight w:val="none"/>
              </w:rPr>
            </w:pPr>
            <w:r>
              <w:rPr>
                <w:rFonts w:hint="eastAsia"/>
                <w:color w:val="auto"/>
                <w:highlight w:val="none"/>
              </w:rPr>
              <w:t>③</w:t>
            </w:r>
            <w:r>
              <w:rPr>
                <w:rFonts w:hint="eastAsia" w:ascii="宋体" w:hAnsi="宋体" w:cs="宋体"/>
                <w:color w:val="auto"/>
                <w:szCs w:val="21"/>
                <w:highlight w:val="none"/>
              </w:rPr>
              <w:t>采用</w:t>
            </w:r>
            <w:r>
              <w:rPr>
                <w:rFonts w:hint="eastAsia" w:ascii="宋体" w:hAnsi="宋体" w:cs="宋体"/>
                <w:color w:val="auto"/>
                <w:szCs w:val="21"/>
                <w:highlight w:val="none"/>
                <w:lang w:val="zh-CN"/>
              </w:rPr>
              <w:t>免缴投标保证金形式：</w:t>
            </w:r>
            <w:r>
              <w:rPr>
                <w:rFonts w:hint="eastAsia" w:ascii="宋体" w:hAnsi="宋体" w:cs="宋体"/>
                <w:color w:val="auto"/>
                <w:kern w:val="0"/>
                <w:szCs w:val="21"/>
                <w:highlight w:val="none"/>
              </w:rPr>
              <w:t>符合免缴投标保证金情形之一的投标人，在本招标项目采用免缴投标保证金形式的，提交加盖投标人单位电子印章的《免缴投标保证金承诺函》，作为资格文件的组成部分。</w:t>
            </w:r>
          </w:p>
          <w:p>
            <w:pPr>
              <w:widowControl/>
              <w:shd w:val="clear" w:color="000000" w:fill="FFFFFF"/>
              <w:spacing w:line="300" w:lineRule="auto"/>
              <w:ind w:firstLine="485"/>
              <w:rPr>
                <w:rFonts w:cs="宋体"/>
                <w:color w:val="auto"/>
                <w:kern w:val="1"/>
                <w:sz w:val="21"/>
                <w:szCs w:val="21"/>
                <w:highlight w:val="none"/>
              </w:rPr>
            </w:pPr>
            <w:r>
              <w:rPr>
                <w:rFonts w:hint="eastAsia" w:cs="宋体"/>
                <w:b/>
                <w:color w:val="auto"/>
                <w:spacing w:val="4"/>
                <w:sz w:val="21"/>
                <w:szCs w:val="21"/>
                <w:highlight w:val="none"/>
              </w:rPr>
              <w:t>4.投标保证金有效期：</w:t>
            </w:r>
            <w:r>
              <w:rPr>
                <w:rFonts w:hint="eastAsia" w:cs="宋体"/>
                <w:color w:val="auto"/>
                <w:spacing w:val="4"/>
                <w:sz w:val="21"/>
                <w:szCs w:val="21"/>
                <w:highlight w:val="none"/>
              </w:rPr>
              <w:t>除保证保险形式外，至少与投标有效期一致。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3.5</w:t>
            </w:r>
          </w:p>
        </w:tc>
        <w:tc>
          <w:tcPr>
            <w:tcW w:w="1984"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是否允许递交备选投标方案</w:t>
            </w:r>
          </w:p>
        </w:tc>
        <w:tc>
          <w:tcPr>
            <w:tcW w:w="6946" w:type="dxa"/>
            <w:vAlign w:val="center"/>
          </w:tcPr>
          <w:p>
            <w:pPr>
              <w:pStyle w:val="23"/>
              <w:spacing w:line="300" w:lineRule="auto"/>
              <w:ind w:firstLine="458"/>
              <w:rPr>
                <w:rFonts w:cs="宋体"/>
                <w:color w:val="auto"/>
                <w:sz w:val="21"/>
                <w:szCs w:val="21"/>
                <w:highlight w:val="none"/>
                <w:lang w:val="en-US"/>
              </w:rPr>
            </w:pPr>
            <w:r>
              <w:rPr>
                <w:rFonts w:hint="eastAsia" w:cs="宋体"/>
                <w:color w:val="auto"/>
                <w:sz w:val="21"/>
                <w:szCs w:val="21"/>
                <w:highlight w:val="none"/>
                <w:lang w:val="en-US"/>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851" w:type="dxa"/>
            <w:vAlign w:val="center"/>
          </w:tcPr>
          <w:p>
            <w:pPr>
              <w:spacing w:line="300" w:lineRule="auto"/>
              <w:jc w:val="center"/>
              <w:rPr>
                <w:rFonts w:cs="宋体"/>
                <w:color w:val="auto"/>
                <w:kern w:val="1"/>
                <w:sz w:val="21"/>
                <w:szCs w:val="21"/>
                <w:highlight w:val="none"/>
              </w:rPr>
            </w:pPr>
            <w:r>
              <w:rPr>
                <w:rFonts w:cs="宋体"/>
                <w:color w:val="auto"/>
                <w:kern w:val="1"/>
                <w:sz w:val="21"/>
                <w:szCs w:val="21"/>
                <w:highlight w:val="none"/>
              </w:rPr>
              <w:t>3.1.1/</w:t>
            </w:r>
            <w:r>
              <w:rPr>
                <w:rFonts w:hint="eastAsia" w:cs="宋体"/>
                <w:color w:val="auto"/>
                <w:kern w:val="1"/>
                <w:sz w:val="21"/>
                <w:szCs w:val="21"/>
                <w:highlight w:val="none"/>
              </w:rPr>
              <w:t>3.6.1</w:t>
            </w:r>
          </w:p>
        </w:tc>
        <w:tc>
          <w:tcPr>
            <w:tcW w:w="1984"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要求提交的投标文件内容以及投标文件编制和加密要求</w:t>
            </w:r>
          </w:p>
        </w:tc>
        <w:tc>
          <w:tcPr>
            <w:tcW w:w="6946" w:type="dxa"/>
            <w:vAlign w:val="center"/>
          </w:tcPr>
          <w:p>
            <w:pPr>
              <w:widowControl/>
              <w:adjustRightInd w:val="0"/>
              <w:snapToGrid w:val="0"/>
              <w:spacing w:line="300" w:lineRule="auto"/>
              <w:ind w:firstLine="420" w:firstLineChars="200"/>
              <w:jc w:val="left"/>
              <w:textAlignment w:val="baseline"/>
              <w:rPr>
                <w:rFonts w:cs="宋体"/>
                <w:bCs/>
                <w:color w:val="auto"/>
                <w:kern w:val="1"/>
                <w:sz w:val="21"/>
                <w:szCs w:val="21"/>
                <w:highlight w:val="none"/>
                <w:u w:val="single"/>
              </w:rPr>
            </w:pPr>
            <w:r>
              <w:rPr>
                <w:rFonts w:hint="eastAsia" w:cs="宋体"/>
                <w:bCs/>
                <w:color w:val="auto"/>
                <w:kern w:val="1"/>
                <w:sz w:val="21"/>
                <w:szCs w:val="21"/>
                <w:highlight w:val="none"/>
              </w:rPr>
              <w:t>1.资格文件</w:t>
            </w:r>
            <w:r>
              <w:rPr>
                <w:rFonts w:hint="eastAsia" w:cs="宋体"/>
                <w:color w:val="auto"/>
                <w:kern w:val="1"/>
                <w:sz w:val="21"/>
                <w:szCs w:val="21"/>
                <w:highlight w:val="none"/>
              </w:rPr>
              <w:t>：</w:t>
            </w:r>
            <w:r>
              <w:rPr>
                <w:rFonts w:hint="eastAsia" w:cs="宋体"/>
                <w:color w:val="0000FF"/>
                <w:sz w:val="21"/>
                <w:szCs w:val="21"/>
                <w:highlight w:val="none"/>
                <w:u w:val="single"/>
              </w:rPr>
              <w:t>要求</w:t>
            </w:r>
            <w:r>
              <w:rPr>
                <w:rFonts w:hint="eastAsia" w:cs="宋体"/>
                <w:bCs/>
                <w:color w:val="auto"/>
                <w:kern w:val="1"/>
                <w:sz w:val="21"/>
                <w:szCs w:val="21"/>
                <w:highlight w:val="none"/>
              </w:rPr>
              <w:t>提交。</w:t>
            </w:r>
          </w:p>
          <w:p>
            <w:pPr>
              <w:widowControl/>
              <w:adjustRightInd w:val="0"/>
              <w:snapToGrid w:val="0"/>
              <w:spacing w:line="300" w:lineRule="auto"/>
              <w:ind w:firstLineChars="200"/>
              <w:jc w:val="left"/>
              <w:textAlignment w:val="baseline"/>
              <w:rPr>
                <w:rFonts w:cs="宋体"/>
                <w:bCs/>
                <w:iCs/>
                <w:color w:val="auto"/>
                <w:sz w:val="21"/>
                <w:szCs w:val="21"/>
                <w:highlight w:val="none"/>
              </w:rPr>
            </w:pPr>
            <w:r>
              <w:rPr>
                <w:rFonts w:hint="eastAsia" w:cs="宋体"/>
                <w:bCs/>
                <w:color w:val="auto"/>
                <w:sz w:val="21"/>
                <w:szCs w:val="21"/>
                <w:highlight w:val="none"/>
              </w:rPr>
              <w:t>2.商务文件</w:t>
            </w:r>
            <w:r>
              <w:rPr>
                <w:rFonts w:hint="eastAsia" w:cs="宋体"/>
                <w:color w:val="auto"/>
                <w:sz w:val="21"/>
                <w:szCs w:val="21"/>
                <w:highlight w:val="none"/>
              </w:rPr>
              <w:t>：</w:t>
            </w:r>
            <w:r>
              <w:rPr>
                <w:rFonts w:hint="eastAsia" w:cs="宋体"/>
                <w:color w:val="0000FF"/>
                <w:sz w:val="21"/>
                <w:szCs w:val="21"/>
                <w:highlight w:val="none"/>
                <w:u w:val="single"/>
              </w:rPr>
              <w:t>要求</w:t>
            </w:r>
            <w:r>
              <w:rPr>
                <w:rFonts w:hint="eastAsia" w:cs="宋体"/>
                <w:bCs/>
                <w:color w:val="auto"/>
                <w:sz w:val="21"/>
                <w:szCs w:val="21"/>
                <w:highlight w:val="none"/>
              </w:rPr>
              <w:t>提交</w:t>
            </w:r>
            <w:r>
              <w:rPr>
                <w:rFonts w:hint="eastAsia" w:cs="宋体"/>
                <w:color w:val="auto"/>
                <w:sz w:val="21"/>
                <w:szCs w:val="21"/>
                <w:highlight w:val="none"/>
              </w:rPr>
              <w:t>，</w:t>
            </w:r>
            <w:r>
              <w:rPr>
                <w:rFonts w:hint="eastAsia" w:cs="宋体"/>
                <w:bCs/>
                <w:color w:val="auto"/>
                <w:sz w:val="21"/>
                <w:szCs w:val="21"/>
                <w:highlight w:val="none"/>
              </w:rPr>
              <w:t>其中</w:t>
            </w:r>
            <w:r>
              <w:rPr>
                <w:rFonts w:hint="eastAsia" w:cs="宋体"/>
                <w:color w:val="0000FF"/>
                <w:sz w:val="21"/>
                <w:szCs w:val="21"/>
                <w:highlight w:val="none"/>
                <w:u w:val="single"/>
              </w:rPr>
              <w:t>要求</w:t>
            </w:r>
            <w:r>
              <w:rPr>
                <w:rFonts w:hint="eastAsia" w:cs="宋体"/>
                <w:color w:val="auto"/>
                <w:sz w:val="21"/>
                <w:szCs w:val="21"/>
                <w:highlight w:val="none"/>
              </w:rPr>
              <w:t>另外</w:t>
            </w:r>
            <w:r>
              <w:rPr>
                <w:rFonts w:hint="eastAsia" w:cs="宋体"/>
                <w:bCs/>
                <w:iCs/>
                <w:color w:val="auto"/>
                <w:sz w:val="21"/>
                <w:szCs w:val="21"/>
                <w:highlight w:val="none"/>
              </w:rPr>
              <w:t>提交已标价工程量清单XML电子文档，XML电子文档的具体要求：</w:t>
            </w:r>
          </w:p>
          <w:p>
            <w:pPr>
              <w:widowControl/>
              <w:adjustRightInd w:val="0"/>
              <w:snapToGrid w:val="0"/>
              <w:spacing w:line="300" w:lineRule="auto"/>
              <w:ind w:firstLineChars="200"/>
              <w:jc w:val="left"/>
              <w:textAlignment w:val="baseline"/>
              <w:rPr>
                <w:rFonts w:cs="宋体"/>
                <w:color w:val="auto"/>
                <w:sz w:val="21"/>
                <w:szCs w:val="21"/>
                <w:highlight w:val="none"/>
                <w:u w:val="single"/>
              </w:rPr>
            </w:pPr>
            <w:r>
              <w:rPr>
                <w:rFonts w:hint="eastAsia" w:cs="宋体"/>
                <w:color w:val="auto"/>
                <w:sz w:val="21"/>
                <w:szCs w:val="21"/>
                <w:highlight w:val="none"/>
              </w:rPr>
              <w:t>（1）计价软件要求：</w:t>
            </w:r>
            <w:r>
              <w:rPr>
                <w:rFonts w:hint="eastAsia" w:cs="宋体"/>
                <w:color w:val="auto"/>
                <w:sz w:val="21"/>
                <w:szCs w:val="21"/>
                <w:highlight w:val="none"/>
                <w:u w:val="single"/>
              </w:rPr>
              <w:t>应当采用按照《福建省住房和城乡建设厅关于加强房屋建筑和市政基础设施工程招标投标活动管理的通知》（闽建筑</w:t>
            </w:r>
            <w:r>
              <w:rPr>
                <w:rFonts w:cs="宋体"/>
                <w:color w:val="auto"/>
                <w:sz w:val="21"/>
                <w:szCs w:val="21"/>
                <w:highlight w:val="none"/>
                <w:u w:val="single"/>
              </w:rPr>
              <w:t>〔</w:t>
            </w:r>
            <w:r>
              <w:rPr>
                <w:rFonts w:hint="eastAsia" w:cs="宋体"/>
                <w:color w:val="auto"/>
                <w:sz w:val="21"/>
                <w:szCs w:val="21"/>
                <w:highlight w:val="none"/>
                <w:u w:val="single"/>
              </w:rPr>
              <w:t>2022</w:t>
            </w:r>
            <w:r>
              <w:rPr>
                <w:rFonts w:cs="宋体"/>
                <w:color w:val="auto"/>
                <w:sz w:val="21"/>
                <w:szCs w:val="21"/>
                <w:highlight w:val="none"/>
                <w:u w:val="single"/>
              </w:rPr>
              <w:t>〕</w:t>
            </w:r>
            <w:r>
              <w:rPr>
                <w:rFonts w:hint="eastAsia" w:cs="宋体"/>
                <w:color w:val="auto"/>
                <w:sz w:val="21"/>
                <w:szCs w:val="21"/>
                <w:highlight w:val="none"/>
                <w:u w:val="single"/>
              </w:rPr>
              <w:t>3号）规定签署了诚信承诺函并通过省公共资源交易电子服务平台向社会公开承诺的计价软件开发企业发售的计价软件。计价软件开发企业应未被列入“招投标重点监管对象”。</w:t>
            </w:r>
          </w:p>
          <w:p>
            <w:pPr>
              <w:widowControl/>
              <w:adjustRightInd w:val="0"/>
              <w:snapToGrid w:val="0"/>
              <w:spacing w:line="300" w:lineRule="auto"/>
              <w:ind w:firstLineChars="200"/>
              <w:jc w:val="left"/>
              <w:textAlignment w:val="baseline"/>
              <w:rPr>
                <w:rFonts w:cs="宋体"/>
                <w:color w:val="auto"/>
                <w:sz w:val="21"/>
                <w:szCs w:val="21"/>
                <w:highlight w:val="none"/>
                <w:u w:val="single"/>
              </w:rPr>
            </w:pPr>
            <w:r>
              <w:rPr>
                <w:rFonts w:hint="eastAsia" w:cs="宋体"/>
                <w:color w:val="auto"/>
                <w:sz w:val="21"/>
                <w:szCs w:val="21"/>
                <w:highlight w:val="none"/>
                <w:u w:val="single"/>
              </w:rPr>
              <w:t>（</w:t>
            </w:r>
            <w:r>
              <w:rPr>
                <w:rFonts w:cs="宋体"/>
                <w:color w:val="auto"/>
                <w:sz w:val="21"/>
                <w:szCs w:val="21"/>
                <w:highlight w:val="none"/>
                <w:u w:val="single"/>
              </w:rPr>
              <w:t>2</w:t>
            </w:r>
            <w:r>
              <w:rPr>
                <w:rFonts w:hint="eastAsia" w:cs="宋体"/>
                <w:color w:val="auto"/>
                <w:sz w:val="21"/>
                <w:szCs w:val="21"/>
                <w:highlight w:val="none"/>
                <w:u w:val="single"/>
              </w:rPr>
              <w:t>）每条清单的每一条软硬件信息（招标工程量清单XML格式文件记录的软硬件信息除外）应当包括有效的计价软件加密锁序列号、使用人全称、统一社会信用代码（或身份证号码）、软件功能、计算机网卡MAC地址（如有）、CPU序列号、数据存取设备序列号。</w:t>
            </w:r>
          </w:p>
          <w:p>
            <w:pPr>
              <w:widowControl/>
              <w:adjustRightInd w:val="0"/>
              <w:snapToGrid w:val="0"/>
              <w:spacing w:line="300" w:lineRule="auto"/>
              <w:ind w:firstLineChars="200"/>
              <w:jc w:val="left"/>
              <w:textAlignment w:val="baseline"/>
              <w:rPr>
                <w:rFonts w:cs="宋体"/>
                <w:color w:val="auto"/>
                <w:sz w:val="21"/>
                <w:szCs w:val="21"/>
                <w:highlight w:val="none"/>
                <w:u w:val="single"/>
              </w:rPr>
            </w:pPr>
            <w:r>
              <w:rPr>
                <w:rFonts w:hint="eastAsia" w:cs="宋体"/>
                <w:color w:val="auto"/>
                <w:sz w:val="21"/>
                <w:szCs w:val="21"/>
                <w:highlight w:val="none"/>
                <w:u w:val="single"/>
              </w:rPr>
              <w:t>（</w:t>
            </w:r>
            <w:r>
              <w:rPr>
                <w:rFonts w:cs="宋体"/>
                <w:color w:val="auto"/>
                <w:sz w:val="21"/>
                <w:szCs w:val="21"/>
                <w:highlight w:val="none"/>
                <w:u w:val="single"/>
              </w:rPr>
              <w:t>3</w:t>
            </w:r>
            <w:r>
              <w:rPr>
                <w:rFonts w:hint="eastAsia" w:cs="宋体"/>
                <w:color w:val="auto"/>
                <w:sz w:val="21"/>
                <w:szCs w:val="21"/>
                <w:highlight w:val="none"/>
                <w:u w:val="single"/>
              </w:rPr>
              <w:t>）分部分项工程每条清单子目记录投标人软硬件信息不少于一条, 且不得删除招标工程量清单记录的软硬件信息。</w:t>
            </w:r>
          </w:p>
          <w:p>
            <w:pPr>
              <w:widowControl/>
              <w:adjustRightInd w:val="0"/>
              <w:snapToGrid w:val="0"/>
              <w:spacing w:line="300" w:lineRule="auto"/>
              <w:ind w:firstLineChars="200"/>
              <w:jc w:val="left"/>
              <w:textAlignment w:val="baseline"/>
              <w:rPr>
                <w:rFonts w:cs="宋体"/>
                <w:color w:val="auto"/>
                <w:sz w:val="21"/>
                <w:szCs w:val="21"/>
                <w:highlight w:val="none"/>
                <w:u w:val="single"/>
              </w:rPr>
            </w:pPr>
            <w:r>
              <w:rPr>
                <w:rFonts w:hint="eastAsia" w:cs="宋体"/>
                <w:color w:val="auto"/>
                <w:sz w:val="21"/>
                <w:szCs w:val="21"/>
                <w:highlight w:val="none"/>
                <w:u w:val="single"/>
              </w:rPr>
              <w:t>（</w:t>
            </w:r>
            <w:r>
              <w:rPr>
                <w:rFonts w:cs="宋体"/>
                <w:color w:val="auto"/>
                <w:sz w:val="21"/>
                <w:szCs w:val="21"/>
                <w:highlight w:val="none"/>
                <w:u w:val="single"/>
              </w:rPr>
              <w:t>4</w:t>
            </w:r>
            <w:r>
              <w:rPr>
                <w:rFonts w:hint="eastAsia" w:cs="宋体"/>
                <w:color w:val="auto"/>
                <w:sz w:val="21"/>
                <w:szCs w:val="21"/>
                <w:highlight w:val="none"/>
                <w:u w:val="single"/>
              </w:rPr>
              <w:t>）导出的已标价工程量清单XML电子文档，按照统一规则全文加密，不得篡改软硬件信息。</w:t>
            </w:r>
          </w:p>
          <w:p>
            <w:pPr>
              <w:widowControl/>
              <w:adjustRightInd w:val="0"/>
              <w:snapToGrid w:val="0"/>
              <w:spacing w:line="300" w:lineRule="auto"/>
              <w:ind w:firstLineChars="200"/>
              <w:jc w:val="left"/>
              <w:textAlignment w:val="baseline"/>
              <w:rPr>
                <w:rFonts w:cs="宋体"/>
                <w:color w:val="auto"/>
                <w:sz w:val="21"/>
                <w:szCs w:val="21"/>
                <w:highlight w:val="none"/>
              </w:rPr>
            </w:pPr>
            <w:r>
              <w:rPr>
                <w:rFonts w:hint="eastAsia" w:cs="宋体"/>
                <w:color w:val="auto"/>
                <w:sz w:val="21"/>
                <w:szCs w:val="21"/>
                <w:highlight w:val="none"/>
                <w:u w:val="single"/>
              </w:rPr>
              <w:t>（</w:t>
            </w:r>
            <w:r>
              <w:rPr>
                <w:rFonts w:cs="宋体"/>
                <w:color w:val="auto"/>
                <w:sz w:val="21"/>
                <w:szCs w:val="21"/>
                <w:highlight w:val="none"/>
                <w:u w:val="single"/>
              </w:rPr>
              <w:t>5</w:t>
            </w:r>
            <w:r>
              <w:rPr>
                <w:rFonts w:hint="eastAsia" w:cs="宋体"/>
                <w:color w:val="auto"/>
                <w:sz w:val="21"/>
                <w:szCs w:val="21"/>
                <w:highlight w:val="none"/>
                <w:u w:val="single"/>
              </w:rPr>
              <w:t>）使用个人计价软件加密锁编制的，应当提供计价软件加密锁持有人为已标价工程量清单编制单位在岗人员的证明材料（以住房和城乡建设行政主管部门颁发的有效执业注册证书或社保管理部门出具的社保缴费证明所署单位为准）。</w:t>
            </w:r>
          </w:p>
          <w:p>
            <w:pPr>
              <w:widowControl/>
              <w:adjustRightInd w:val="0"/>
              <w:snapToGrid w:val="0"/>
              <w:spacing w:line="300" w:lineRule="auto"/>
              <w:ind w:firstLine="420" w:firstLineChars="200"/>
              <w:jc w:val="left"/>
              <w:textAlignment w:val="baseline"/>
              <w:rPr>
                <w:rFonts w:cs="宋体"/>
                <w:bCs/>
                <w:i/>
                <w:iCs/>
                <w:color w:val="auto"/>
                <w:sz w:val="21"/>
                <w:szCs w:val="21"/>
                <w:highlight w:val="none"/>
                <w:u w:val="single"/>
              </w:rPr>
            </w:pPr>
            <w:r>
              <w:rPr>
                <w:rFonts w:hint="eastAsia" w:cs="宋体"/>
                <w:color w:val="auto"/>
                <w:sz w:val="21"/>
                <w:szCs w:val="21"/>
                <w:highlight w:val="none"/>
                <w:u w:val="single"/>
              </w:rPr>
              <w:t>（</w:t>
            </w:r>
            <w:r>
              <w:rPr>
                <w:rFonts w:cs="宋体"/>
                <w:color w:val="auto"/>
                <w:sz w:val="21"/>
                <w:szCs w:val="21"/>
                <w:highlight w:val="none"/>
                <w:u w:val="single"/>
              </w:rPr>
              <w:t>6</w:t>
            </w:r>
            <w:r>
              <w:rPr>
                <w:rFonts w:hint="eastAsia" w:cs="宋体"/>
                <w:color w:val="auto"/>
                <w:sz w:val="21"/>
                <w:szCs w:val="21"/>
                <w:highlight w:val="none"/>
                <w:u w:val="single"/>
              </w:rPr>
              <w:t>）其余有关内容应符合现行《福建省建设工程造价电子数据交换导则》的相关规定。</w:t>
            </w:r>
          </w:p>
          <w:p>
            <w:pPr>
              <w:widowControl/>
              <w:adjustRightInd w:val="0"/>
              <w:snapToGrid w:val="0"/>
              <w:spacing w:line="300" w:lineRule="auto"/>
              <w:ind w:firstLine="420" w:firstLineChars="200"/>
              <w:jc w:val="left"/>
              <w:textAlignment w:val="baseline"/>
              <w:rPr>
                <w:rFonts w:cs="宋体"/>
                <w:color w:val="auto"/>
                <w:sz w:val="21"/>
                <w:szCs w:val="21"/>
                <w:highlight w:val="none"/>
                <w:lang w:val="en-US"/>
              </w:rPr>
            </w:pPr>
            <w:r>
              <w:rPr>
                <w:rFonts w:hint="eastAsia" w:cs="宋体"/>
                <w:bCs/>
                <w:color w:val="auto"/>
                <w:sz w:val="21"/>
                <w:szCs w:val="21"/>
                <w:highlight w:val="none"/>
              </w:rPr>
              <w:t>3.技术文件</w:t>
            </w:r>
            <w:r>
              <w:rPr>
                <w:rFonts w:hint="eastAsia" w:cs="宋体"/>
                <w:color w:val="auto"/>
                <w:sz w:val="21"/>
                <w:szCs w:val="21"/>
                <w:highlight w:val="none"/>
              </w:rPr>
              <w:t>：</w:t>
            </w:r>
            <w:r>
              <w:rPr>
                <w:rFonts w:hint="eastAsia" w:cs="宋体"/>
                <w:color w:val="auto"/>
                <w:kern w:val="2"/>
                <w:sz w:val="21"/>
                <w:szCs w:val="21"/>
                <w:highlight w:val="none"/>
                <w:u w:val="single"/>
                <w:lang w:val="en-US"/>
              </w:rPr>
              <w:t xml:space="preserve"> </w:t>
            </w:r>
            <w:r>
              <w:rPr>
                <w:rFonts w:hint="eastAsia" w:cs="宋体"/>
                <w:color w:val="0000FF"/>
                <w:kern w:val="2"/>
                <w:sz w:val="21"/>
                <w:szCs w:val="21"/>
                <w:highlight w:val="none"/>
                <w:u w:val="single"/>
                <w:lang w:val="en-US" w:eastAsia="zh-CN"/>
              </w:rPr>
              <w:t>要求</w:t>
            </w:r>
            <w:r>
              <w:rPr>
                <w:rFonts w:hint="eastAsia" w:cs="宋体"/>
                <w:color w:val="auto"/>
                <w:kern w:val="2"/>
                <w:sz w:val="21"/>
                <w:szCs w:val="21"/>
                <w:highlight w:val="none"/>
                <w:u w:val="single"/>
                <w:lang w:val="en-US"/>
              </w:rPr>
              <w:t xml:space="preserve"> </w:t>
            </w:r>
            <w:r>
              <w:rPr>
                <w:rFonts w:hint="eastAsia" w:cs="宋体"/>
                <w:bCs/>
                <w:color w:val="auto"/>
                <w:sz w:val="21"/>
                <w:szCs w:val="21"/>
                <w:highlight w:val="none"/>
              </w:rPr>
              <w:t>提交。</w:t>
            </w:r>
          </w:p>
          <w:p>
            <w:pPr>
              <w:widowControl/>
              <w:adjustRightInd w:val="0"/>
              <w:snapToGrid w:val="0"/>
              <w:spacing w:line="30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4.投标文件编制工具软件和加密</w:t>
            </w:r>
          </w:p>
          <w:p>
            <w:pPr>
              <w:widowControl/>
              <w:adjustRightInd w:val="0"/>
              <w:snapToGrid w:val="0"/>
              <w:spacing w:line="300" w:lineRule="auto"/>
              <w:ind w:firstLine="420" w:firstLineChars="200"/>
              <w:jc w:val="left"/>
              <w:textAlignment w:val="baseline"/>
              <w:rPr>
                <w:rFonts w:hint="eastAsia" w:cs="宋体"/>
                <w:color w:val="0000FF"/>
                <w:kern w:val="2"/>
                <w:sz w:val="21"/>
                <w:szCs w:val="21"/>
                <w:highlight w:val="none"/>
                <w:u w:val="single"/>
              </w:rPr>
            </w:pPr>
            <w:r>
              <w:rPr>
                <w:rFonts w:hint="eastAsia" w:cs="宋体"/>
                <w:color w:val="auto"/>
                <w:sz w:val="21"/>
                <w:szCs w:val="21"/>
                <w:highlight w:val="none"/>
              </w:rPr>
              <w:t>（1）投标文件编制工具软件名称及版本：</w:t>
            </w:r>
            <w:r>
              <w:rPr>
                <w:rFonts w:hint="eastAsia" w:ascii="宋体" w:hAnsi="宋体" w:eastAsia="宋体" w:cs="宋体"/>
                <w:color w:val="0000FF"/>
                <w:kern w:val="2"/>
                <w:sz w:val="21"/>
                <w:szCs w:val="21"/>
                <w:highlight w:val="none"/>
                <w:u w:val="single"/>
                <w:lang w:val="en-US" w:eastAsia="zh-CN" w:bidi="ar"/>
              </w:rPr>
              <w:t>厦门市建设工程电子招投标交易平台投标文件制作系统（最新版本）（可以在厦门市公共资源交易网 http://zyjy.as.xm.gov.cn/中的“办事服务-下载中心”-“工程建设”栏目中下载，并关注更新信息）</w:t>
            </w:r>
          </w:p>
          <w:p>
            <w:pPr>
              <w:widowControl/>
              <w:adjustRightInd w:val="0"/>
              <w:snapToGrid w:val="0"/>
              <w:spacing w:line="30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（2）投标文件编制工具软件供应商：</w:t>
            </w:r>
            <w:r>
              <w:rPr>
                <w:rFonts w:hint="eastAsia" w:cs="宋体"/>
                <w:color w:val="auto"/>
                <w:sz w:val="21"/>
                <w:szCs w:val="21"/>
                <w:highlight w:val="none"/>
                <w:u w:val="single"/>
              </w:rPr>
              <w:t xml:space="preserve"> </w:t>
            </w:r>
            <w:r>
              <w:rPr>
                <w:rFonts w:hint="eastAsia" w:cs="宋体"/>
                <w:color w:val="0000FF"/>
                <w:kern w:val="2"/>
                <w:sz w:val="21"/>
                <w:szCs w:val="21"/>
                <w:highlight w:val="none"/>
                <w:u w:val="single"/>
              </w:rPr>
              <w:t>福建首众信息科技有限公司</w:t>
            </w:r>
            <w:r>
              <w:rPr>
                <w:rFonts w:hint="eastAsia" w:cs="宋体"/>
                <w:color w:val="auto"/>
                <w:sz w:val="21"/>
                <w:szCs w:val="21"/>
                <w:highlight w:val="none"/>
                <w:u w:val="single"/>
              </w:rPr>
              <w:t xml:space="preserve"> </w:t>
            </w:r>
          </w:p>
          <w:p>
            <w:pPr>
              <w:widowControl/>
              <w:adjustRightInd w:val="0"/>
              <w:snapToGrid w:val="0"/>
              <w:spacing w:line="30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（3）投标文件编制工具软件供应商联系电话：</w:t>
            </w:r>
            <w:r>
              <w:rPr>
                <w:rFonts w:hint="eastAsia" w:cs="宋体"/>
                <w:color w:val="auto"/>
                <w:sz w:val="21"/>
                <w:szCs w:val="21"/>
                <w:highlight w:val="none"/>
                <w:u w:val="single"/>
              </w:rPr>
              <w:t xml:space="preserve">  </w:t>
            </w:r>
            <w:r>
              <w:rPr>
                <w:rFonts w:hint="eastAsia" w:cs="宋体"/>
                <w:color w:val="0000FF"/>
                <w:kern w:val="2"/>
                <w:sz w:val="21"/>
                <w:szCs w:val="21"/>
                <w:highlight w:val="none"/>
                <w:u w:val="single"/>
              </w:rPr>
              <w:t>4009996901</w:t>
            </w:r>
            <w:r>
              <w:rPr>
                <w:rFonts w:hint="eastAsia" w:cs="宋体"/>
                <w:color w:val="auto"/>
                <w:sz w:val="21"/>
                <w:szCs w:val="21"/>
                <w:highlight w:val="none"/>
                <w:u w:val="single"/>
              </w:rPr>
              <w:t xml:space="preserve">  </w:t>
            </w:r>
          </w:p>
          <w:p>
            <w:pPr>
              <w:widowControl/>
              <w:adjustRightInd w:val="0"/>
              <w:snapToGrid w:val="0"/>
              <w:spacing w:line="300" w:lineRule="auto"/>
              <w:ind w:firstLine="420" w:firstLineChars="200"/>
              <w:jc w:val="left"/>
              <w:textAlignment w:val="baseline"/>
              <w:rPr>
                <w:rFonts w:cs="宋体"/>
                <w:color w:val="auto"/>
                <w:sz w:val="21"/>
                <w:szCs w:val="21"/>
                <w:highlight w:val="none"/>
                <w:u w:val="single"/>
              </w:rPr>
            </w:pPr>
            <w:r>
              <w:rPr>
                <w:rFonts w:hint="eastAsia" w:cs="宋体"/>
                <w:color w:val="auto"/>
                <w:sz w:val="21"/>
                <w:szCs w:val="21"/>
                <w:highlight w:val="none"/>
              </w:rPr>
              <w:t>（4）投标文件加密要求：</w:t>
            </w:r>
            <w:r>
              <w:rPr>
                <w:rFonts w:hint="eastAsia" w:cs="宋体"/>
                <w:color w:val="0000FF"/>
                <w:kern w:val="2"/>
                <w:sz w:val="21"/>
                <w:szCs w:val="21"/>
                <w:highlight w:val="none"/>
                <w:u w:val="single"/>
              </w:rPr>
              <w:t>详见《厦</w:t>
            </w:r>
            <w:r>
              <w:rPr>
                <w:rFonts w:hint="eastAsia" w:cs="宋体"/>
                <w:color w:val="0000FF"/>
                <w:kern w:val="2"/>
                <w:sz w:val="21"/>
                <w:szCs w:val="21"/>
                <w:highlight w:val="none"/>
                <w:u w:val="single"/>
                <w:lang w:bidi="ar"/>
              </w:rPr>
              <w:t>门市建设工程电子招投标交易平台投标人系统操作手册》（可以在厦门市公共资源交易网http://zyjy.as.xm.gov.cn/中</w:t>
            </w:r>
            <w:r>
              <w:rPr>
                <w:rFonts w:hint="eastAsia" w:ascii="宋体" w:hAnsi="宋体" w:eastAsia="宋体" w:cs="宋体"/>
                <w:color w:val="0000FF"/>
                <w:kern w:val="2"/>
                <w:sz w:val="21"/>
                <w:szCs w:val="21"/>
                <w:highlight w:val="none"/>
                <w:u w:val="single"/>
                <w:lang w:val="en-US" w:eastAsia="zh-CN" w:bidi="ar"/>
              </w:rPr>
              <w:t>的“办事服务-下载中心”-“工程建设”栏目中下载，并关注更新信息）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5.1</w:t>
            </w:r>
          </w:p>
        </w:tc>
        <w:tc>
          <w:tcPr>
            <w:tcW w:w="1984"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开标时间</w:t>
            </w:r>
          </w:p>
        </w:tc>
        <w:tc>
          <w:tcPr>
            <w:tcW w:w="6946" w:type="dxa"/>
            <w:vAlign w:val="center"/>
          </w:tcPr>
          <w:p>
            <w:pPr>
              <w:spacing w:line="300" w:lineRule="auto"/>
              <w:ind w:firstLine="420" w:firstLineChars="200"/>
              <w:rPr>
                <w:rFonts w:cs="宋体"/>
                <w:color w:val="auto"/>
                <w:sz w:val="21"/>
                <w:szCs w:val="21"/>
                <w:highlight w:val="none"/>
              </w:rPr>
            </w:pPr>
            <w:r>
              <w:rPr>
                <w:rFonts w:hint="eastAsia" w:cs="宋体"/>
                <w:color w:val="auto"/>
                <w:sz w:val="21"/>
                <w:szCs w:val="21"/>
                <w:highlight w:val="none"/>
              </w:rPr>
              <w:t>投标截止时间即为开标时间。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5.2</w:t>
            </w:r>
          </w:p>
        </w:tc>
        <w:tc>
          <w:tcPr>
            <w:tcW w:w="1984" w:type="dxa"/>
            <w:vAlign w:val="center"/>
          </w:tcPr>
          <w:p>
            <w:pPr>
              <w:pStyle w:val="9"/>
              <w:snapToGrid w:val="0"/>
              <w:spacing w:line="300" w:lineRule="auto"/>
              <w:ind w:left="24" w:firstLine="0"/>
              <w:jc w:val="center"/>
              <w:rPr>
                <w:rFonts w:cs="宋体"/>
                <w:color w:val="auto"/>
                <w:spacing w:val="-12"/>
                <w:sz w:val="21"/>
                <w:szCs w:val="21"/>
                <w:highlight w:val="none"/>
              </w:rPr>
            </w:pPr>
            <w:r>
              <w:rPr>
                <w:rFonts w:hint="eastAsia" w:cs="宋体"/>
                <w:color w:val="auto"/>
                <w:spacing w:val="-12"/>
                <w:sz w:val="21"/>
                <w:szCs w:val="21"/>
                <w:highlight w:val="none"/>
              </w:rPr>
              <w:t>投标文件解密方式</w:t>
            </w:r>
          </w:p>
        </w:tc>
        <w:tc>
          <w:tcPr>
            <w:tcW w:w="6946" w:type="dxa"/>
            <w:vAlign w:val="center"/>
          </w:tcPr>
          <w:p>
            <w:pPr>
              <w:spacing w:line="300" w:lineRule="auto"/>
              <w:ind w:firstLine="420" w:firstLineChars="200"/>
              <w:jc w:val="left"/>
              <w:rPr>
                <w:rFonts w:cs="宋体"/>
                <w:color w:val="auto"/>
                <w:sz w:val="21"/>
                <w:szCs w:val="21"/>
                <w:highlight w:val="none"/>
              </w:rPr>
            </w:pPr>
            <w:r>
              <w:rPr>
                <w:rFonts w:hint="eastAsia" w:cs="宋体"/>
                <w:color w:val="auto"/>
                <w:sz w:val="21"/>
                <w:szCs w:val="21"/>
                <w:highlight w:val="none"/>
              </w:rPr>
              <w:t>投标人在招标项目开标时需登录厦门市建设工程电子招投标交易平台（http://117.25.161.110:7070/xmjy），待解密环节开始时及时插入CA证书进行投标文件在线解密，解密时长为：</w:t>
            </w:r>
            <w:r>
              <w:rPr>
                <w:rFonts w:hint="eastAsia" w:cs="宋体"/>
                <w:color w:val="auto"/>
                <w:sz w:val="21"/>
                <w:szCs w:val="21"/>
                <w:highlight w:val="none"/>
                <w:u w:val="single"/>
              </w:rPr>
              <w:t xml:space="preserve"> </w:t>
            </w:r>
            <w:r>
              <w:rPr>
                <w:rFonts w:hint="eastAsia" w:cs="宋体"/>
                <w:color w:val="0000FF"/>
                <w:sz w:val="21"/>
                <w:szCs w:val="21"/>
                <w:highlight w:val="none"/>
                <w:u w:val="single"/>
              </w:rPr>
              <w:t>60</w:t>
            </w:r>
            <w:r>
              <w:rPr>
                <w:rFonts w:hint="eastAsia" w:cs="宋体"/>
                <w:color w:val="auto"/>
                <w:sz w:val="21"/>
                <w:szCs w:val="21"/>
                <w:highlight w:val="none"/>
                <w:u w:val="single"/>
              </w:rPr>
              <w:t xml:space="preserve"> </w:t>
            </w:r>
            <w:r>
              <w:rPr>
                <w:rFonts w:hint="eastAsia" w:cs="宋体"/>
                <w:color w:val="auto"/>
                <w:sz w:val="21"/>
                <w:szCs w:val="21"/>
                <w:highlight w:val="none"/>
              </w:rPr>
              <w:t>分钟。</w:t>
            </w:r>
            <w:r>
              <w:rPr>
                <w:rFonts w:hint="eastAsia" w:cs="宋体"/>
                <w:b/>
                <w:color w:val="auto"/>
                <w:sz w:val="21"/>
                <w:szCs w:val="21"/>
                <w:highlight w:val="none"/>
              </w:rPr>
              <w:t>投标人只允许使用生成投标文件的CA数字证书进行解密。</w:t>
            </w:r>
            <w:r>
              <w:rPr>
                <w:rFonts w:hint="eastAsia" w:cs="宋体"/>
                <w:color w:val="auto"/>
                <w:sz w:val="21"/>
                <w:szCs w:val="21"/>
                <w:highlight w:val="none"/>
              </w:rPr>
              <w:t>投标人需及时操作并预留足够的时间进行投标文件解密，否则须自行承担解密失败的责任。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5.4</w:t>
            </w:r>
          </w:p>
        </w:tc>
        <w:tc>
          <w:tcPr>
            <w:tcW w:w="1984" w:type="dxa"/>
            <w:vAlign w:val="center"/>
          </w:tcPr>
          <w:p>
            <w:pPr>
              <w:pStyle w:val="9"/>
              <w:snapToGrid w:val="0"/>
              <w:spacing w:line="300" w:lineRule="auto"/>
              <w:ind w:left="-108" w:firstLine="0"/>
              <w:jc w:val="center"/>
              <w:rPr>
                <w:rFonts w:cs="宋体"/>
                <w:color w:val="auto"/>
                <w:sz w:val="21"/>
                <w:szCs w:val="21"/>
                <w:highlight w:val="none"/>
              </w:rPr>
            </w:pPr>
            <w:r>
              <w:rPr>
                <w:rFonts w:hint="eastAsia" w:cs="宋体"/>
                <w:color w:val="auto"/>
                <w:sz w:val="21"/>
                <w:szCs w:val="21"/>
                <w:highlight w:val="none"/>
              </w:rPr>
              <w:t>委托鉴定</w:t>
            </w:r>
          </w:p>
        </w:tc>
        <w:tc>
          <w:tcPr>
            <w:tcW w:w="6946" w:type="dxa"/>
          </w:tcPr>
          <w:p>
            <w:pPr>
              <w:pStyle w:val="9"/>
              <w:snapToGrid w:val="0"/>
              <w:spacing w:line="300" w:lineRule="auto"/>
              <w:ind w:firstLineChars="200"/>
              <w:rPr>
                <w:rFonts w:cs="宋体"/>
                <w:color w:val="auto"/>
                <w:kern w:val="0"/>
                <w:sz w:val="21"/>
                <w:szCs w:val="21"/>
                <w:highlight w:val="none"/>
              </w:rPr>
            </w:pPr>
            <w:r>
              <w:rPr>
                <w:rFonts w:hint="eastAsia" w:cs="宋体"/>
                <w:color w:val="auto"/>
                <w:kern w:val="0"/>
                <w:sz w:val="21"/>
                <w:szCs w:val="21"/>
                <w:highlight w:val="none"/>
              </w:rPr>
              <w:t>投标人对公共资源电子交易平台生成的电子投标文件软硬件信息分析结果提出异议的，应在开标之日起</w:t>
            </w:r>
            <w:r>
              <w:rPr>
                <w:rFonts w:hint="eastAsia" w:cs="宋体"/>
                <w:color w:val="auto"/>
                <w:kern w:val="0"/>
                <w:sz w:val="21"/>
                <w:szCs w:val="21"/>
                <w:highlight w:val="none"/>
                <w:u w:val="single"/>
              </w:rPr>
              <w:t xml:space="preserve"> </w:t>
            </w:r>
            <w:r>
              <w:rPr>
                <w:rFonts w:hint="eastAsia" w:cs="宋体"/>
                <w:color w:val="0000FF"/>
                <w:kern w:val="0"/>
                <w:sz w:val="21"/>
                <w:szCs w:val="21"/>
                <w:highlight w:val="none"/>
                <w:u w:val="single"/>
              </w:rPr>
              <w:t>3</w:t>
            </w:r>
            <w:r>
              <w:rPr>
                <w:rFonts w:hint="eastAsia" w:cs="宋体"/>
                <w:color w:val="auto"/>
                <w:kern w:val="0"/>
                <w:sz w:val="21"/>
                <w:szCs w:val="21"/>
                <w:highlight w:val="none"/>
                <w:u w:val="single"/>
              </w:rPr>
              <w:t xml:space="preserve"> </w:t>
            </w:r>
            <w:r>
              <w:rPr>
                <w:rFonts w:hint="eastAsia" w:cs="宋体"/>
                <w:color w:val="auto"/>
                <w:kern w:val="0"/>
                <w:sz w:val="21"/>
                <w:szCs w:val="21"/>
                <w:highlight w:val="none"/>
              </w:rPr>
              <w:t>个工作日内与招标人共同委托有资质的鉴定机构进行鉴定。</w:t>
            </w:r>
          </w:p>
          <w:p>
            <w:pPr>
              <w:pStyle w:val="9"/>
              <w:snapToGrid w:val="0"/>
              <w:spacing w:line="300" w:lineRule="auto"/>
              <w:ind w:firstLineChars="200"/>
              <w:rPr>
                <w:rFonts w:cs="宋体"/>
                <w:color w:val="auto"/>
                <w:sz w:val="21"/>
                <w:szCs w:val="21"/>
                <w:highlight w:val="none"/>
              </w:rPr>
            </w:pPr>
            <w:r>
              <w:rPr>
                <w:rFonts w:hint="eastAsia" w:cs="宋体"/>
                <w:color w:val="auto"/>
                <w:kern w:val="0"/>
                <w:sz w:val="21"/>
                <w:szCs w:val="21"/>
                <w:highlight w:val="none"/>
              </w:rPr>
              <w:t>鉴定配合事项：</w:t>
            </w:r>
            <w:r>
              <w:rPr>
                <w:rFonts w:hint="eastAsia" w:cs="宋体"/>
                <w:color w:val="0000FF"/>
                <w:kern w:val="2"/>
                <w:sz w:val="21"/>
                <w:szCs w:val="21"/>
                <w:highlight w:val="none"/>
                <w:u w:val="single"/>
              </w:rPr>
              <w:t>含鉴定物品的封存、移交等鉴定过程中需要的事项，产生的费用由投标人自行承担</w:t>
            </w:r>
            <w:r>
              <w:rPr>
                <w:rFonts w:hint="eastAsia" w:cs="宋体"/>
                <w:color w:val="auto"/>
                <w:sz w:val="21"/>
                <w:szCs w:val="21"/>
                <w:highlight w:val="none"/>
                <w:u w:val="single"/>
              </w:rPr>
              <w:t>（含鉴定物品的封存、移交等）。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6.1</w:t>
            </w:r>
          </w:p>
        </w:tc>
        <w:tc>
          <w:tcPr>
            <w:tcW w:w="1984"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评标委员会的组建</w:t>
            </w:r>
          </w:p>
        </w:tc>
        <w:tc>
          <w:tcPr>
            <w:tcW w:w="6946" w:type="dxa"/>
            <w:vAlign w:val="center"/>
          </w:tcPr>
          <w:p>
            <w:pPr>
              <w:spacing w:line="300" w:lineRule="auto"/>
              <w:ind w:firstLine="420"/>
              <w:rPr>
                <w:rFonts w:cs="宋体"/>
                <w:color w:val="auto"/>
                <w:kern w:val="1"/>
                <w:sz w:val="21"/>
                <w:szCs w:val="21"/>
                <w:highlight w:val="none"/>
              </w:rPr>
            </w:pPr>
            <w:r>
              <w:rPr>
                <w:rFonts w:hint="eastAsia" w:cs="宋体"/>
                <w:color w:val="auto"/>
                <w:kern w:val="1"/>
                <w:sz w:val="21"/>
                <w:szCs w:val="21"/>
                <w:highlight w:val="none"/>
              </w:rPr>
              <w:t>评标委员会构成：评标专家</w:t>
            </w:r>
            <w:r>
              <w:rPr>
                <w:rFonts w:hint="eastAsia" w:cs="宋体"/>
                <w:color w:val="auto"/>
                <w:kern w:val="1"/>
                <w:sz w:val="21"/>
                <w:szCs w:val="21"/>
                <w:highlight w:val="none"/>
                <w:u w:val="single"/>
              </w:rPr>
              <w:t xml:space="preserve">  </w:t>
            </w:r>
            <w:r>
              <w:rPr>
                <w:rFonts w:hint="eastAsia" w:cs="宋体"/>
                <w:color w:val="0000FF"/>
                <w:kern w:val="1"/>
                <w:sz w:val="21"/>
                <w:szCs w:val="21"/>
                <w:highlight w:val="none"/>
                <w:u w:val="single"/>
                <w:lang w:val="en-US" w:eastAsia="zh-CN"/>
              </w:rPr>
              <w:t>5</w:t>
            </w:r>
            <w:r>
              <w:rPr>
                <w:rFonts w:hint="eastAsia" w:cs="宋体"/>
                <w:color w:val="auto"/>
                <w:kern w:val="1"/>
                <w:sz w:val="21"/>
                <w:szCs w:val="21"/>
                <w:highlight w:val="none"/>
                <w:u w:val="single"/>
              </w:rPr>
              <w:t xml:space="preserve">  </w:t>
            </w:r>
            <w:r>
              <w:rPr>
                <w:rFonts w:hint="eastAsia" w:cs="宋体"/>
                <w:color w:val="auto"/>
                <w:kern w:val="1"/>
                <w:sz w:val="21"/>
                <w:szCs w:val="21"/>
                <w:highlight w:val="none"/>
              </w:rPr>
              <w:t xml:space="preserve">人。 </w:t>
            </w:r>
          </w:p>
          <w:p>
            <w:pPr>
              <w:spacing w:line="300" w:lineRule="auto"/>
              <w:ind w:firstLine="458"/>
              <w:rPr>
                <w:rFonts w:cs="宋体"/>
                <w:color w:val="auto"/>
                <w:kern w:val="1"/>
                <w:sz w:val="21"/>
                <w:szCs w:val="21"/>
                <w:highlight w:val="none"/>
              </w:rPr>
            </w:pPr>
            <w:r>
              <w:rPr>
                <w:rFonts w:hint="eastAsia" w:cs="宋体"/>
                <w:color w:val="auto"/>
                <w:kern w:val="1"/>
                <w:sz w:val="21"/>
                <w:szCs w:val="21"/>
                <w:highlight w:val="none"/>
              </w:rPr>
              <w:t>评标专家确定方式：</w:t>
            </w:r>
            <w:r>
              <w:rPr>
                <w:rFonts w:hint="eastAsia" w:cs="宋体"/>
                <w:color w:val="0000FF"/>
                <w:sz w:val="21"/>
                <w:szCs w:val="21"/>
                <w:highlight w:val="none"/>
                <w:u w:val="single"/>
              </w:rPr>
              <w:t>招标人从福建省综合性评标专家库中随机抽取。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851"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6.2.1</w:t>
            </w:r>
          </w:p>
        </w:tc>
        <w:tc>
          <w:tcPr>
            <w:tcW w:w="1984"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评标办法</w:t>
            </w:r>
          </w:p>
        </w:tc>
        <w:tc>
          <w:tcPr>
            <w:tcW w:w="6946" w:type="dxa"/>
            <w:vAlign w:val="center"/>
          </w:tcPr>
          <w:p>
            <w:pPr>
              <w:spacing w:line="300" w:lineRule="auto"/>
              <w:ind w:firstLine="420"/>
              <w:rPr>
                <w:rFonts w:cs="宋体"/>
                <w:color w:val="auto"/>
                <w:kern w:val="1"/>
                <w:sz w:val="21"/>
                <w:szCs w:val="21"/>
                <w:highlight w:val="none"/>
                <w:u w:val="single"/>
              </w:rPr>
            </w:pPr>
            <w:r>
              <w:rPr>
                <w:rFonts w:hint="eastAsia" w:cs="宋体"/>
                <w:color w:val="auto"/>
                <w:kern w:val="1"/>
                <w:sz w:val="21"/>
                <w:szCs w:val="21"/>
                <w:highlight w:val="none"/>
              </w:rPr>
              <w:t>定性评审法，适用于：</w:t>
            </w:r>
          </w:p>
          <w:p>
            <w:pPr>
              <w:spacing w:line="300" w:lineRule="auto"/>
              <w:ind w:firstLine="420"/>
              <w:rPr>
                <w:rFonts w:cs="宋体"/>
                <w:color w:val="auto"/>
                <w:sz w:val="21"/>
                <w:szCs w:val="21"/>
                <w:highlight w:val="none"/>
              </w:rPr>
            </w:pPr>
            <w:r>
              <w:rPr>
                <w:rFonts w:hint="eastAsia" w:cs="宋体"/>
                <w:color w:val="auto"/>
                <w:sz w:val="21"/>
                <w:szCs w:val="21"/>
                <w:highlight w:val="none"/>
                <w:lang w:val="zh-CN" w:bidi="zh-CN"/>
              </w:rPr>
              <w:t>□</w:t>
            </w:r>
            <w:r>
              <w:rPr>
                <w:rFonts w:hint="eastAsia" w:cs="宋体"/>
                <w:color w:val="auto"/>
                <w:sz w:val="21"/>
                <w:szCs w:val="21"/>
                <w:highlight w:val="none"/>
              </w:rPr>
              <w:t>同时设置类似工程业绩和信用评价作为投标人资格条件的招标项目。</w:t>
            </w:r>
          </w:p>
          <w:p>
            <w:pPr>
              <w:spacing w:line="300" w:lineRule="auto"/>
              <w:ind w:firstLine="420"/>
              <w:rPr>
                <w:rFonts w:cs="宋体"/>
                <w:color w:val="auto"/>
                <w:sz w:val="21"/>
                <w:szCs w:val="21"/>
                <w:highlight w:val="none"/>
                <w:u w:val="single"/>
              </w:rPr>
            </w:pPr>
            <w:r>
              <w:rPr>
                <w:rFonts w:hint="eastAsia" w:cs="宋体"/>
                <w:color w:val="auto"/>
                <w:sz w:val="21"/>
                <w:szCs w:val="21"/>
                <w:highlight w:val="none"/>
                <w:lang w:val="zh-CN" w:bidi="zh-CN"/>
              </w:rPr>
              <w:t>☑</w:t>
            </w:r>
            <w:r>
              <w:rPr>
                <w:rFonts w:hint="eastAsia" w:cs="宋体"/>
                <w:color w:val="auto"/>
                <w:sz w:val="21"/>
                <w:szCs w:val="21"/>
                <w:highlight w:val="none"/>
              </w:rPr>
              <w:t>其他项目。是否将该类评标办法</w:t>
            </w:r>
            <w:r>
              <w:rPr>
                <w:rFonts w:hint="eastAsia" w:cs="宋体"/>
                <w:color w:val="auto"/>
                <w:kern w:val="1"/>
                <w:sz w:val="21"/>
                <w:szCs w:val="21"/>
                <w:highlight w:val="none"/>
              </w:rPr>
              <w:t>第2.1.1项</w:t>
            </w:r>
            <w:r>
              <w:rPr>
                <w:rFonts w:hint="eastAsia" w:cs="宋体"/>
                <w:color w:val="auto"/>
                <w:sz w:val="21"/>
                <w:szCs w:val="21"/>
                <w:highlight w:val="none"/>
              </w:rPr>
              <w:t>第（4）目“资格审查”先于第（3）目“确定入围投标人”进行：</w:t>
            </w:r>
            <w:r>
              <w:rPr>
                <w:rFonts w:hint="eastAsia" w:ascii="宋体" w:hAnsi="宋体" w:eastAsia="宋体" w:cs="宋体"/>
                <w:color w:val="0000FF"/>
                <w:kern w:val="0"/>
                <w:sz w:val="21"/>
                <w:szCs w:val="21"/>
                <w:highlight w:val="none"/>
                <w:u w:val="single"/>
                <w:lang w:val="en-US" w:eastAsia="zh-CN" w:bidi="ar-SA"/>
              </w:rPr>
              <w:t xml:space="preserve"> 否</w:t>
            </w:r>
            <w:r>
              <w:rPr>
                <w:rFonts w:hint="eastAsia" w:cs="宋体"/>
                <w:color w:val="auto"/>
                <w:sz w:val="21"/>
                <w:szCs w:val="21"/>
                <w:highlight w:val="none"/>
                <w:u w:val="single"/>
              </w:rPr>
              <w:t xml:space="preserve"> </w:t>
            </w:r>
            <w:r>
              <w:rPr>
                <w:rFonts w:hint="eastAsia" w:cs="宋体"/>
                <w:color w:val="auto"/>
                <w:sz w:val="21"/>
                <w:szCs w:val="21"/>
                <w:highlight w:val="none"/>
              </w:rPr>
              <w:t>（是或否）</w:t>
            </w:r>
          </w:p>
          <w:p>
            <w:pPr>
              <w:spacing w:line="300" w:lineRule="auto"/>
              <w:ind w:firstLine="420"/>
              <w:rPr>
                <w:rFonts w:cs="宋体"/>
                <w:color w:val="auto"/>
                <w:sz w:val="21"/>
                <w:szCs w:val="21"/>
                <w:highlight w:val="none"/>
              </w:rPr>
            </w:pPr>
            <w:r>
              <w:rPr>
                <w:rFonts w:hint="eastAsia" w:cs="宋体"/>
                <w:color w:val="auto"/>
                <w:sz w:val="21"/>
                <w:szCs w:val="21"/>
                <w:highlight w:val="none"/>
                <w:lang w:val="zh-CN" w:bidi="zh-CN"/>
              </w:rPr>
              <w:t>□</w:t>
            </w:r>
            <w:r>
              <w:rPr>
                <w:rFonts w:hint="eastAsia" w:cs="宋体"/>
                <w:color w:val="auto"/>
                <w:sz w:val="21"/>
                <w:szCs w:val="21"/>
                <w:highlight w:val="none"/>
              </w:rPr>
              <w:t>简易招标法项目。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851"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6.3/</w:t>
            </w:r>
          </w:p>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7.3</w:t>
            </w:r>
          </w:p>
        </w:tc>
        <w:tc>
          <w:tcPr>
            <w:tcW w:w="1984"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定标候选人和中标结果公示媒介</w:t>
            </w:r>
          </w:p>
        </w:tc>
        <w:tc>
          <w:tcPr>
            <w:tcW w:w="6946" w:type="dxa"/>
            <w:vAlign w:val="center"/>
          </w:tcPr>
          <w:p>
            <w:pPr>
              <w:spacing w:line="300" w:lineRule="auto"/>
              <w:ind w:firstLine="420" w:firstLineChars="200"/>
              <w:rPr>
                <w:rFonts w:cs="宋体"/>
                <w:color w:val="auto"/>
                <w:kern w:val="1"/>
                <w:sz w:val="21"/>
                <w:szCs w:val="21"/>
                <w:highlight w:val="none"/>
                <w:u w:val="single"/>
              </w:rPr>
            </w:pPr>
            <w:r>
              <w:rPr>
                <w:rFonts w:hint="eastAsia" w:cs="宋体"/>
                <w:color w:val="auto"/>
                <w:kern w:val="1"/>
                <w:sz w:val="21"/>
                <w:szCs w:val="21"/>
                <w:highlight w:val="none"/>
                <w:u w:val="single"/>
              </w:rPr>
              <w:t>福建省公共资源交易电子公共服务平台（</w:t>
            </w:r>
            <w:r>
              <w:rPr>
                <w:rFonts w:hint="eastAsia" w:cs="宋体"/>
                <w:color w:val="auto"/>
                <w:sz w:val="21"/>
                <w:szCs w:val="21"/>
                <w:highlight w:val="none"/>
                <w:u w:val="single"/>
              </w:rPr>
              <w:t>http://ggzyfw.fujian.gov.cn</w:t>
            </w:r>
            <w:r>
              <w:rPr>
                <w:rFonts w:hint="eastAsia" w:cs="宋体"/>
                <w:color w:val="auto"/>
                <w:kern w:val="1"/>
                <w:sz w:val="21"/>
                <w:szCs w:val="21"/>
                <w:highlight w:val="none"/>
                <w:u w:val="single"/>
              </w:rPr>
              <w:t>）、中国招标投标公共服务平台上（http://www.cebpubservice.com/）</w:t>
            </w:r>
            <w:r>
              <w:rPr>
                <w:rFonts w:hint="eastAsia" w:cs="宋体"/>
                <w:color w:val="auto"/>
                <w:sz w:val="21"/>
                <w:szCs w:val="21"/>
                <w:highlight w:val="none"/>
                <w:u w:val="single"/>
              </w:rPr>
              <w:t>和厦门市公共资源交易网（http://zyjy.as.xm.gov.cn/）。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7.2</w:t>
            </w:r>
          </w:p>
        </w:tc>
        <w:tc>
          <w:tcPr>
            <w:tcW w:w="1984"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定标票决办法</w:t>
            </w:r>
          </w:p>
        </w:tc>
        <w:tc>
          <w:tcPr>
            <w:tcW w:w="6946" w:type="dxa"/>
            <w:vAlign w:val="center"/>
          </w:tcPr>
          <w:p>
            <w:pPr>
              <w:autoSpaceDE w:val="0"/>
              <w:autoSpaceDN w:val="0"/>
              <w:spacing w:line="300" w:lineRule="auto"/>
              <w:jc w:val="left"/>
              <w:rPr>
                <w:rFonts w:cs="宋体"/>
                <w:color w:val="auto"/>
                <w:sz w:val="21"/>
                <w:szCs w:val="21"/>
                <w:highlight w:val="none"/>
              </w:rPr>
            </w:pPr>
            <w:r>
              <w:rPr>
                <w:rFonts w:hint="eastAsia" w:cs="宋体"/>
                <w:color w:val="auto"/>
                <w:sz w:val="21"/>
                <w:szCs w:val="21"/>
                <w:highlight w:val="none"/>
                <w:lang w:val="zh-CN" w:bidi="zh-CN"/>
              </w:rPr>
              <w:t xml:space="preserve">□ </w:t>
            </w:r>
            <w:r>
              <w:rPr>
                <w:rFonts w:hint="eastAsia" w:cs="宋体"/>
                <w:color w:val="auto"/>
                <w:sz w:val="21"/>
                <w:szCs w:val="21"/>
                <w:highlight w:val="none"/>
              </w:rPr>
              <w:t>票决定标法中的</w:t>
            </w:r>
            <w:r>
              <w:rPr>
                <w:rFonts w:hint="eastAsia" w:cs="宋体"/>
                <w:color w:val="auto"/>
                <w:sz w:val="21"/>
                <w:szCs w:val="21"/>
                <w:highlight w:val="none"/>
              </w:rPr>
              <w:sym w:font="Wingdings" w:char="00A8"/>
            </w:r>
            <w:r>
              <w:rPr>
                <w:rFonts w:hint="eastAsia" w:cs="宋体"/>
                <w:color w:val="auto"/>
                <w:sz w:val="21"/>
                <w:szCs w:val="21"/>
                <w:highlight w:val="none"/>
                <w:lang w:val="zh-CN" w:bidi="zh-CN"/>
              </w:rPr>
              <w:t>直接票决法或□逐轮票决法</w:t>
            </w:r>
          </w:p>
          <w:p>
            <w:pPr>
              <w:autoSpaceDE w:val="0"/>
              <w:autoSpaceDN w:val="0"/>
              <w:spacing w:line="300" w:lineRule="auto"/>
              <w:jc w:val="left"/>
              <w:rPr>
                <w:rFonts w:cs="宋体"/>
                <w:color w:val="auto"/>
                <w:sz w:val="21"/>
                <w:szCs w:val="21"/>
                <w:highlight w:val="none"/>
              </w:rPr>
            </w:pPr>
            <w:r>
              <w:rPr>
                <w:rFonts w:hint="eastAsia" w:cs="宋体"/>
                <w:color w:val="auto"/>
                <w:sz w:val="21"/>
                <w:szCs w:val="21"/>
                <w:highlight w:val="none"/>
                <w:lang w:val="zh-CN" w:bidi="zh-CN"/>
              </w:rPr>
              <w:t xml:space="preserve">□ </w:t>
            </w:r>
            <w:r>
              <w:rPr>
                <w:rFonts w:hint="eastAsia" w:cs="宋体"/>
                <w:color w:val="0000FF"/>
                <w:sz w:val="21"/>
                <w:szCs w:val="21"/>
                <w:highlight w:val="none"/>
              </w:rPr>
              <w:t>票决抽签定标法</w:t>
            </w:r>
          </w:p>
          <w:p>
            <w:pPr>
              <w:spacing w:line="300" w:lineRule="auto"/>
              <w:rPr>
                <w:rFonts w:cs="宋体"/>
                <w:color w:val="auto"/>
                <w:kern w:val="1"/>
                <w:sz w:val="21"/>
                <w:szCs w:val="21"/>
                <w:highlight w:val="none"/>
              </w:rPr>
            </w:pPr>
            <w:r>
              <w:rPr>
                <w:rFonts w:hint="eastAsia" w:cs="宋体"/>
                <w:color w:val="auto"/>
                <w:sz w:val="21"/>
                <w:szCs w:val="21"/>
                <w:highlight w:val="none"/>
                <w:lang w:val="zh-CN" w:bidi="zh-CN"/>
              </w:rPr>
              <w:sym w:font="Wingdings 2" w:char="0052"/>
            </w:r>
            <w:r>
              <w:rPr>
                <w:rFonts w:hint="eastAsia" w:cs="宋体"/>
                <w:color w:val="auto"/>
                <w:sz w:val="21"/>
                <w:szCs w:val="21"/>
                <w:highlight w:val="none"/>
                <w:lang w:val="zh-CN" w:bidi="zh-CN"/>
              </w:rPr>
              <w:t xml:space="preserve"> </w:t>
            </w:r>
            <w:r>
              <w:rPr>
                <w:rFonts w:hint="eastAsia" w:cs="宋体"/>
                <w:color w:val="auto"/>
                <w:sz w:val="21"/>
                <w:szCs w:val="21"/>
                <w:highlight w:val="none"/>
              </w:rPr>
              <w:t>票决低价定标法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1"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7.4.1</w:t>
            </w:r>
          </w:p>
        </w:tc>
        <w:tc>
          <w:tcPr>
            <w:tcW w:w="1984"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履约担保</w:t>
            </w:r>
          </w:p>
        </w:tc>
        <w:tc>
          <w:tcPr>
            <w:tcW w:w="6946" w:type="dxa"/>
            <w:vAlign w:val="center"/>
          </w:tcPr>
          <w:p>
            <w:pPr>
              <w:pStyle w:val="9"/>
              <w:snapToGrid w:val="0"/>
              <w:spacing w:line="400" w:lineRule="exact"/>
              <w:ind w:firstLineChars="200"/>
              <w:rPr>
                <w:rFonts w:cs="宋体"/>
                <w:color w:val="auto"/>
                <w:sz w:val="21"/>
                <w:szCs w:val="21"/>
                <w:highlight w:val="none"/>
              </w:rPr>
            </w:pPr>
            <w:r>
              <w:rPr>
                <w:rFonts w:hint="eastAsia" w:cs="宋体"/>
                <w:color w:val="auto"/>
                <w:sz w:val="21"/>
                <w:szCs w:val="21"/>
                <w:highlight w:val="none"/>
              </w:rPr>
              <w:t>履约担保金额：</w:t>
            </w:r>
          </w:p>
          <w:p>
            <w:pPr>
              <w:pStyle w:val="9"/>
              <w:snapToGrid w:val="0"/>
              <w:spacing w:line="400" w:lineRule="exact"/>
              <w:ind w:firstLineChars="200"/>
              <w:rPr>
                <w:rFonts w:cs="宋体"/>
                <w:color w:val="auto"/>
                <w:kern w:val="2"/>
                <w:sz w:val="21"/>
                <w:szCs w:val="21"/>
                <w:highlight w:val="none"/>
              </w:rPr>
            </w:pPr>
            <w:r>
              <w:rPr>
                <w:rFonts w:hint="eastAsia" w:cs="宋体"/>
                <w:color w:val="auto"/>
                <w:kern w:val="2"/>
                <w:sz w:val="21"/>
                <w:szCs w:val="21"/>
                <w:highlight w:val="none"/>
              </w:rPr>
              <w:t>中标人合同签订时属于福建省建筑业龙头企业且</w:t>
            </w:r>
            <w:r>
              <w:rPr>
                <w:rFonts w:hint="eastAsia" w:cs="宋体"/>
                <w:color w:val="auto"/>
                <w:kern w:val="2"/>
                <w:sz w:val="21"/>
                <w:szCs w:val="21"/>
                <w:highlight w:val="none"/>
                <w:u w:val="single"/>
              </w:rPr>
              <w:t xml:space="preserve"> </w:t>
            </w:r>
            <w:r>
              <w:rPr>
                <w:rFonts w:hint="eastAsia" w:cs="宋体"/>
                <w:color w:val="0000FF"/>
                <w:kern w:val="0"/>
                <w:sz w:val="21"/>
                <w:szCs w:val="21"/>
                <w:highlight w:val="none"/>
                <w:u w:val="single"/>
                <w:lang w:eastAsia="zh-CN"/>
              </w:rPr>
              <w:t>房屋建筑</w:t>
            </w:r>
            <w:r>
              <w:rPr>
                <w:rFonts w:hint="eastAsia" w:cs="宋体"/>
                <w:color w:val="auto"/>
                <w:kern w:val="2"/>
                <w:sz w:val="21"/>
                <w:szCs w:val="21"/>
                <w:highlight w:val="none"/>
                <w:u w:val="single"/>
              </w:rPr>
              <w:t xml:space="preserve"> </w:t>
            </w:r>
            <w:r>
              <w:rPr>
                <w:rStyle w:val="74"/>
                <w:rFonts w:cs="宋体"/>
                <w:color w:val="auto"/>
                <w:kern w:val="2"/>
                <w:sz w:val="21"/>
                <w:szCs w:val="21"/>
                <w:highlight w:val="none"/>
                <w:u w:val="single"/>
              </w:rPr>
              <w:footnoteReference w:id="18"/>
            </w:r>
            <w:r>
              <w:rPr>
                <w:rFonts w:hint="eastAsia" w:cs="宋体"/>
                <w:color w:val="auto"/>
                <w:kern w:val="2"/>
                <w:sz w:val="21"/>
                <w:szCs w:val="21"/>
                <w:highlight w:val="none"/>
              </w:rPr>
              <w:t>类企业季度信用得分超过（含）</w:t>
            </w:r>
            <w:r>
              <w:rPr>
                <w:rFonts w:hint="eastAsia" w:cs="宋体"/>
                <w:color w:val="0000FF"/>
                <w:kern w:val="2"/>
                <w:sz w:val="21"/>
                <w:szCs w:val="21"/>
                <w:highlight w:val="none"/>
                <w:u w:val="single"/>
                <w:lang w:val="en-US" w:eastAsia="zh-CN"/>
              </w:rPr>
              <w:t>（本条不适用）</w:t>
            </w:r>
            <w:r>
              <w:rPr>
                <w:rFonts w:hint="eastAsia" w:cs="宋体"/>
                <w:color w:val="auto"/>
                <w:kern w:val="2"/>
                <w:sz w:val="21"/>
                <w:szCs w:val="21"/>
                <w:highlight w:val="none"/>
              </w:rPr>
              <w:t>分的，其履约担保金额为中标合同价的</w:t>
            </w:r>
            <w:r>
              <w:rPr>
                <w:rFonts w:hint="eastAsia" w:cs="宋体"/>
                <w:color w:val="auto"/>
                <w:kern w:val="2"/>
                <w:sz w:val="21"/>
                <w:szCs w:val="21"/>
                <w:highlight w:val="none"/>
                <w:u w:val="single"/>
              </w:rPr>
              <w:t xml:space="preserve"> </w:t>
            </w:r>
            <w:r>
              <w:rPr>
                <w:rFonts w:hint="eastAsia" w:cs="宋体"/>
                <w:color w:val="0000FF"/>
                <w:kern w:val="2"/>
                <w:sz w:val="21"/>
                <w:szCs w:val="21"/>
                <w:highlight w:val="none"/>
                <w:u w:val="single"/>
                <w:lang w:val="en-US" w:eastAsia="zh-CN"/>
              </w:rPr>
              <w:t>（本条不适用）</w:t>
            </w:r>
            <w:r>
              <w:rPr>
                <w:rFonts w:hint="eastAsia" w:cs="宋体"/>
                <w:color w:val="auto"/>
                <w:kern w:val="2"/>
                <w:sz w:val="21"/>
                <w:szCs w:val="21"/>
                <w:highlight w:val="none"/>
                <w:u w:val="single"/>
              </w:rPr>
              <w:t xml:space="preserve"> </w:t>
            </w:r>
            <w:r>
              <w:rPr>
                <w:rStyle w:val="74"/>
                <w:rFonts w:cs="宋体"/>
                <w:color w:val="auto"/>
                <w:kern w:val="2"/>
                <w:sz w:val="21"/>
                <w:szCs w:val="21"/>
                <w:highlight w:val="none"/>
                <w:u w:val="single"/>
              </w:rPr>
              <w:footnoteReference w:id="19"/>
            </w:r>
            <w:r>
              <w:rPr>
                <w:rFonts w:hint="eastAsia" w:cs="宋体"/>
                <w:color w:val="auto"/>
                <w:kern w:val="2"/>
                <w:sz w:val="21"/>
                <w:szCs w:val="21"/>
                <w:highlight w:val="none"/>
              </w:rPr>
              <w:t>％；</w:t>
            </w:r>
          </w:p>
          <w:p>
            <w:pPr>
              <w:adjustRightInd w:val="0"/>
              <w:snapToGrid w:val="0"/>
              <w:spacing w:line="400" w:lineRule="exact"/>
              <w:ind w:firstLine="420" w:firstLineChars="200"/>
              <w:textAlignment w:val="baseline"/>
              <w:rPr>
                <w:rFonts w:hAnsi="Calibri"/>
                <w:color w:val="auto"/>
                <w:kern w:val="2"/>
                <w:sz w:val="21"/>
                <w:szCs w:val="21"/>
                <w:highlight w:val="none"/>
              </w:rPr>
            </w:pPr>
            <w:r>
              <w:rPr>
                <w:rFonts w:hint="eastAsia" w:ascii="Times New Roman" w:hAnsi="Times New Roman" w:cs="宋体"/>
                <w:color w:val="auto"/>
                <w:sz w:val="21"/>
                <w:szCs w:val="21"/>
                <w:highlight w:val="none"/>
              </w:rPr>
              <w:t>厦门市建筑施工企业信用综合</w:t>
            </w:r>
            <w:r>
              <w:rPr>
                <w:rFonts w:hint="eastAsia" w:hAnsi="Calibri"/>
                <w:color w:val="auto"/>
                <w:kern w:val="2"/>
                <w:sz w:val="21"/>
                <w:szCs w:val="21"/>
                <w:highlight w:val="none"/>
              </w:rPr>
              <w:t>评价A级企业：为中标合同价的</w:t>
            </w:r>
            <w:r>
              <w:rPr>
                <w:rFonts w:hint="eastAsia" w:hAnsi="Calibri"/>
                <w:color w:val="auto"/>
                <w:kern w:val="2"/>
                <w:sz w:val="21"/>
                <w:szCs w:val="21"/>
                <w:highlight w:val="none"/>
                <w:u w:val="single"/>
              </w:rPr>
              <w:t xml:space="preserve"> </w:t>
            </w:r>
            <w:r>
              <w:rPr>
                <w:rFonts w:hint="eastAsia" w:hAnsi="Calibri"/>
                <w:color w:val="0000FF"/>
                <w:kern w:val="2"/>
                <w:sz w:val="21"/>
                <w:szCs w:val="21"/>
                <w:highlight w:val="none"/>
                <w:u w:val="single"/>
                <w:lang w:val="en-US" w:eastAsia="zh-CN"/>
              </w:rPr>
              <w:t>10</w:t>
            </w:r>
            <w:r>
              <w:rPr>
                <w:rFonts w:hint="eastAsia" w:hAnsi="Calibri"/>
                <w:color w:val="auto"/>
                <w:kern w:val="2"/>
                <w:sz w:val="21"/>
                <w:szCs w:val="21"/>
                <w:highlight w:val="none"/>
              </w:rPr>
              <w:t>％；</w:t>
            </w:r>
          </w:p>
          <w:p>
            <w:pPr>
              <w:adjustRightInd w:val="0"/>
              <w:snapToGrid w:val="0"/>
              <w:spacing w:line="400" w:lineRule="exact"/>
              <w:ind w:firstLine="420" w:firstLineChars="200"/>
              <w:textAlignment w:val="baseline"/>
              <w:rPr>
                <w:rFonts w:cs="宋体"/>
                <w:color w:val="auto"/>
                <w:kern w:val="2"/>
                <w:sz w:val="21"/>
                <w:szCs w:val="21"/>
                <w:highlight w:val="none"/>
              </w:rPr>
            </w:pPr>
            <w:r>
              <w:rPr>
                <w:rFonts w:hint="eastAsia" w:ascii="Times New Roman" w:hAnsi="Times New Roman" w:cs="宋体"/>
                <w:color w:val="auto"/>
                <w:kern w:val="2"/>
                <w:sz w:val="21"/>
                <w:szCs w:val="21"/>
                <w:highlight w:val="none"/>
              </w:rPr>
              <w:t>厦门市建筑施工企业信用综合</w:t>
            </w:r>
            <w:r>
              <w:rPr>
                <w:rFonts w:hAnsi="Calibri"/>
                <w:color w:val="auto"/>
                <w:kern w:val="2"/>
                <w:sz w:val="21"/>
                <w:szCs w:val="21"/>
                <w:highlight w:val="none"/>
              </w:rPr>
              <w:t>评价</w:t>
            </w:r>
            <w:r>
              <w:rPr>
                <w:rFonts w:hint="eastAsia" w:hAnsi="Calibri"/>
                <w:color w:val="auto"/>
                <w:kern w:val="2"/>
                <w:sz w:val="21"/>
                <w:szCs w:val="21"/>
                <w:highlight w:val="none"/>
              </w:rPr>
              <w:t>BB+</w:t>
            </w:r>
            <w:r>
              <w:rPr>
                <w:rFonts w:hAnsi="Calibri"/>
                <w:color w:val="auto"/>
                <w:kern w:val="2"/>
                <w:sz w:val="21"/>
                <w:szCs w:val="21"/>
                <w:highlight w:val="none"/>
              </w:rPr>
              <w:t>级企业：为中标合同价的</w:t>
            </w:r>
            <w:r>
              <w:rPr>
                <w:rFonts w:hAnsi="Calibri"/>
                <w:color w:val="auto"/>
                <w:kern w:val="2"/>
                <w:sz w:val="21"/>
                <w:szCs w:val="21"/>
                <w:highlight w:val="none"/>
                <w:u w:val="single"/>
              </w:rPr>
              <w:t xml:space="preserve"> </w:t>
            </w:r>
            <w:r>
              <w:rPr>
                <w:rFonts w:hint="eastAsia" w:hAnsi="Calibri"/>
                <w:color w:val="auto"/>
                <w:kern w:val="2"/>
                <w:sz w:val="21"/>
                <w:szCs w:val="21"/>
                <w:highlight w:val="none"/>
                <w:u w:val="single"/>
                <w:lang w:val="en-US" w:eastAsia="zh-CN"/>
              </w:rPr>
              <w:t>10</w:t>
            </w:r>
            <w:r>
              <w:rPr>
                <w:rFonts w:hAnsi="Calibri"/>
                <w:color w:val="auto"/>
                <w:kern w:val="2"/>
                <w:sz w:val="21"/>
                <w:szCs w:val="21"/>
                <w:highlight w:val="none"/>
              </w:rPr>
              <w:t>％；</w:t>
            </w:r>
          </w:p>
          <w:p>
            <w:pPr>
              <w:tabs>
                <w:tab w:val="left" w:pos="57"/>
              </w:tabs>
              <w:spacing w:line="300" w:lineRule="auto"/>
              <w:ind w:firstLine="420" w:firstLineChars="200"/>
              <w:rPr>
                <w:rFonts w:hint="eastAsia" w:cs="宋体"/>
                <w:color w:val="0000FF"/>
                <w:kern w:val="2"/>
                <w:sz w:val="21"/>
                <w:szCs w:val="21"/>
                <w:highlight w:val="none"/>
                <w:u w:val="single"/>
                <w:lang w:val="en-US" w:eastAsia="zh-CN"/>
              </w:rPr>
            </w:pPr>
            <w:r>
              <w:rPr>
                <w:rFonts w:hint="eastAsia" w:cs="宋体"/>
                <w:color w:val="auto"/>
                <w:sz w:val="21"/>
                <w:szCs w:val="21"/>
                <w:highlight w:val="none"/>
              </w:rPr>
              <w:t>其他：为中标合同价的</w:t>
            </w:r>
            <w:r>
              <w:rPr>
                <w:rFonts w:hint="eastAsia" w:cs="宋体"/>
                <w:color w:val="auto"/>
                <w:sz w:val="21"/>
                <w:szCs w:val="21"/>
                <w:highlight w:val="none"/>
                <w:u w:val="single"/>
              </w:rPr>
              <w:t xml:space="preserve"> </w:t>
            </w:r>
            <w:r>
              <w:rPr>
                <w:rFonts w:hint="eastAsia" w:cs="宋体"/>
                <w:color w:val="0000FF"/>
                <w:sz w:val="21"/>
                <w:szCs w:val="21"/>
                <w:highlight w:val="none"/>
                <w:u w:val="single"/>
              </w:rPr>
              <w:t>1</w:t>
            </w:r>
            <w:r>
              <w:rPr>
                <w:rFonts w:hint="eastAsia" w:cs="宋体"/>
                <w:color w:val="0000FF"/>
                <w:kern w:val="2"/>
                <w:sz w:val="21"/>
                <w:szCs w:val="21"/>
                <w:highlight w:val="none"/>
                <w:u w:val="single"/>
              </w:rPr>
              <w:t>0</w:t>
            </w:r>
            <w:r>
              <w:rPr>
                <w:rFonts w:hint="eastAsia" w:cs="宋体"/>
                <w:color w:val="0000FF"/>
                <w:kern w:val="2"/>
                <w:sz w:val="21"/>
                <w:szCs w:val="21"/>
                <w:highlight w:val="none"/>
                <w:u w:val="single"/>
                <w:lang w:val="en-US" w:eastAsia="zh-CN"/>
              </w:rPr>
              <w:t xml:space="preserve"> </w:t>
            </w:r>
            <w:r>
              <w:rPr>
                <w:rFonts w:hint="eastAsia" w:cs="宋体"/>
                <w:color w:val="auto"/>
                <w:kern w:val="2"/>
                <w:sz w:val="21"/>
                <w:szCs w:val="21"/>
                <w:highlight w:val="none"/>
                <w:u w:val="none"/>
                <w:lang w:val="en-US" w:eastAsia="zh-CN"/>
              </w:rPr>
              <w:t>%</w:t>
            </w:r>
            <w:r>
              <w:rPr>
                <w:rFonts w:hint="eastAsia" w:cs="宋体"/>
                <w:color w:val="0000FF"/>
                <w:kern w:val="2"/>
                <w:sz w:val="21"/>
                <w:szCs w:val="21"/>
                <w:highlight w:val="none"/>
                <w:u w:val="none"/>
                <w:lang w:val="en-US" w:eastAsia="zh-CN"/>
              </w:rPr>
              <w:t>；</w:t>
            </w:r>
          </w:p>
          <w:p>
            <w:pPr>
              <w:tabs>
                <w:tab w:val="left" w:pos="57"/>
              </w:tabs>
              <w:spacing w:line="300" w:lineRule="auto"/>
              <w:ind w:firstLine="420" w:firstLineChars="200"/>
              <w:rPr>
                <w:rFonts w:hint="eastAsia" w:cs="宋体"/>
                <w:color w:val="0000FF"/>
                <w:kern w:val="1"/>
                <w:sz w:val="21"/>
                <w:szCs w:val="21"/>
                <w:highlight w:val="none"/>
                <w:u w:val="single"/>
              </w:rPr>
            </w:pPr>
            <w:r>
              <w:rPr>
                <w:rFonts w:hint="eastAsia" w:cs="宋体"/>
                <w:color w:val="auto"/>
                <w:kern w:val="1"/>
                <w:sz w:val="21"/>
                <w:szCs w:val="21"/>
                <w:highlight w:val="none"/>
              </w:rPr>
              <w:t>履约担保形式：</w:t>
            </w:r>
            <w:r>
              <w:rPr>
                <w:rFonts w:hint="eastAsia" w:cs="宋体"/>
                <w:color w:val="0000FF"/>
                <w:kern w:val="1"/>
                <w:sz w:val="21"/>
                <w:szCs w:val="21"/>
                <w:highlight w:val="none"/>
                <w:u w:val="single"/>
              </w:rPr>
              <w:t>采用转账或者银行履约保函或者工程担保形式，中标人应在合同签订前向招标人提交。其中：</w:t>
            </w:r>
          </w:p>
          <w:p>
            <w:pPr>
              <w:tabs>
                <w:tab w:val="left" w:pos="57"/>
              </w:tabs>
              <w:spacing w:line="300" w:lineRule="auto"/>
              <w:ind w:firstLine="420" w:firstLineChars="200"/>
              <w:rPr>
                <w:rFonts w:hint="eastAsia" w:cs="宋体"/>
                <w:color w:val="0000FF"/>
                <w:kern w:val="1"/>
                <w:sz w:val="21"/>
                <w:szCs w:val="21"/>
                <w:highlight w:val="none"/>
                <w:u w:val="single"/>
              </w:rPr>
            </w:pPr>
            <w:r>
              <w:rPr>
                <w:rFonts w:hint="eastAsia" w:cs="宋体"/>
                <w:color w:val="0000FF"/>
                <w:kern w:val="1"/>
                <w:sz w:val="21"/>
                <w:szCs w:val="21"/>
                <w:highlight w:val="none"/>
                <w:u w:val="single"/>
              </w:rPr>
              <w:t>1.以转账形式递交的，应由承包人企业基本账户汇入指定的账户；</w:t>
            </w:r>
          </w:p>
          <w:p>
            <w:pPr>
              <w:tabs>
                <w:tab w:val="left" w:pos="57"/>
              </w:tabs>
              <w:spacing w:line="300" w:lineRule="auto"/>
              <w:ind w:firstLine="420" w:firstLineChars="200"/>
              <w:rPr>
                <w:rFonts w:hint="eastAsia" w:cs="宋体"/>
                <w:color w:val="0000FF"/>
                <w:kern w:val="1"/>
                <w:sz w:val="21"/>
                <w:szCs w:val="21"/>
                <w:highlight w:val="none"/>
                <w:u w:val="single"/>
              </w:rPr>
            </w:pPr>
            <w:r>
              <w:rPr>
                <w:rFonts w:hint="eastAsia" w:cs="宋体"/>
                <w:color w:val="0000FF"/>
                <w:kern w:val="1"/>
                <w:sz w:val="21"/>
                <w:szCs w:val="21"/>
                <w:highlight w:val="none"/>
                <w:u w:val="single"/>
              </w:rPr>
              <w:t>2.银行保函应由冠以“银行”名称且为支行及其以上级别的金融机构出具，银行保函能够通过互联网且无需任何授权即可在相应银行的官方网站验证真伪，并在保函上写明网址；</w:t>
            </w:r>
          </w:p>
          <w:p>
            <w:pPr>
              <w:tabs>
                <w:tab w:val="left" w:pos="57"/>
              </w:tabs>
              <w:spacing w:line="300" w:lineRule="auto"/>
              <w:ind w:firstLine="420" w:firstLineChars="200"/>
              <w:rPr>
                <w:rFonts w:hint="eastAsia" w:cs="宋体"/>
                <w:color w:val="0000FF"/>
                <w:kern w:val="1"/>
                <w:sz w:val="21"/>
                <w:szCs w:val="21"/>
                <w:highlight w:val="none"/>
                <w:u w:val="single"/>
              </w:rPr>
            </w:pPr>
            <w:r>
              <w:rPr>
                <w:rFonts w:hint="eastAsia" w:cs="宋体"/>
                <w:color w:val="0000FF"/>
                <w:kern w:val="1"/>
                <w:sz w:val="21"/>
                <w:szCs w:val="21"/>
                <w:highlight w:val="none"/>
                <w:u w:val="single"/>
              </w:rPr>
              <w:t>3.金融担保或保险机构出具担保保函的，出具担保保函的担保机构应为注册资金3亿元以上（含3亿）的国有绝对控股的金融机构或者商业担保公司。</w:t>
            </w:r>
          </w:p>
          <w:p>
            <w:pPr>
              <w:tabs>
                <w:tab w:val="left" w:pos="57"/>
              </w:tabs>
              <w:spacing w:line="300" w:lineRule="auto"/>
              <w:ind w:firstLine="420" w:firstLineChars="200"/>
              <w:rPr>
                <w:rFonts w:hint="eastAsia" w:cs="宋体"/>
                <w:color w:val="0000FF"/>
                <w:kern w:val="1"/>
                <w:sz w:val="21"/>
                <w:szCs w:val="21"/>
                <w:highlight w:val="none"/>
                <w:u w:val="single"/>
              </w:rPr>
            </w:pPr>
            <w:r>
              <w:rPr>
                <w:rFonts w:hint="eastAsia" w:cs="宋体"/>
                <w:color w:val="0000FF"/>
                <w:kern w:val="1"/>
                <w:sz w:val="21"/>
                <w:szCs w:val="21"/>
                <w:highlight w:val="none"/>
                <w:u w:val="single"/>
              </w:rPr>
              <w:t>4.建设工程合同履约担保应符合《关于在全市房屋建筑和市政基础设施工程开展建设工程保证保险工作的通知》（厦建筑[2018]4号）及《厦门市住房和建设局等4家单位关于印发完善实施建设工程保证机制指导意见的通知》（厦住建建筑〔2024〕20号）的规定。</w:t>
            </w:r>
          </w:p>
          <w:p>
            <w:pPr>
              <w:tabs>
                <w:tab w:val="left" w:pos="57"/>
              </w:tabs>
              <w:spacing w:line="300" w:lineRule="auto"/>
              <w:ind w:firstLine="420" w:firstLineChars="200"/>
              <w:rPr>
                <w:rFonts w:cs="宋体"/>
                <w:color w:val="auto"/>
                <w:kern w:val="1"/>
                <w:sz w:val="21"/>
                <w:szCs w:val="21"/>
                <w:highlight w:val="none"/>
              </w:rPr>
            </w:pPr>
            <w:r>
              <w:rPr>
                <w:rFonts w:hint="eastAsia" w:cs="宋体"/>
                <w:color w:val="0000FF"/>
                <w:kern w:val="1"/>
                <w:sz w:val="21"/>
                <w:szCs w:val="21"/>
                <w:highlight w:val="none"/>
                <w:u w:val="single"/>
              </w:rPr>
              <w:t>5.银行保函、担保保函应为以项目业主为受益人的不可撤销、见索即付的无条件担保。办理履约担保所需的相关费用由中标人承担。</w:t>
            </w:r>
          </w:p>
          <w:p>
            <w:pPr>
              <w:tabs>
                <w:tab w:val="left" w:pos="6"/>
              </w:tabs>
              <w:spacing w:line="300" w:lineRule="auto"/>
              <w:ind w:left="6" w:firstLine="424"/>
              <w:rPr>
                <w:rFonts w:cs="宋体"/>
                <w:color w:val="auto"/>
                <w:kern w:val="1"/>
                <w:sz w:val="21"/>
                <w:szCs w:val="21"/>
                <w:highlight w:val="none"/>
              </w:rPr>
            </w:pPr>
            <w:r>
              <w:rPr>
                <w:rFonts w:hint="eastAsia" w:cs="宋体"/>
                <w:color w:val="auto"/>
                <w:kern w:val="1"/>
                <w:sz w:val="21"/>
                <w:szCs w:val="21"/>
                <w:highlight w:val="none"/>
              </w:rPr>
              <w:t>履约担保期限：</w:t>
            </w:r>
            <w:r>
              <w:rPr>
                <w:rFonts w:hint="eastAsia"/>
                <w:color w:val="0000FF"/>
                <w:kern w:val="1"/>
                <w:sz w:val="21"/>
                <w:szCs w:val="21"/>
                <w:highlight w:val="none"/>
                <w:u w:val="single"/>
                <w:shd w:val="clear" w:color="auto" w:fill="FFFFFF"/>
              </w:rPr>
              <w:t>从工程建设合同约定的开工之日起，至工程建设合同约定的竣工之日后</w:t>
            </w:r>
            <w:r>
              <w:rPr>
                <w:color w:val="0000FF"/>
                <w:kern w:val="1"/>
                <w:sz w:val="21"/>
                <w:szCs w:val="21"/>
                <w:highlight w:val="none"/>
                <w:u w:val="single"/>
                <w:shd w:val="clear" w:color="auto" w:fill="FFFFFF"/>
              </w:rPr>
              <w:t xml:space="preserve">90 </w:t>
            </w:r>
            <w:r>
              <w:rPr>
                <w:rFonts w:hint="eastAsia"/>
                <w:color w:val="0000FF"/>
                <w:kern w:val="1"/>
                <w:sz w:val="21"/>
                <w:szCs w:val="21"/>
                <w:highlight w:val="none"/>
                <w:u w:val="single"/>
                <w:shd w:val="clear" w:color="auto" w:fill="FFFFFF"/>
              </w:rPr>
              <w:t>天止。如工程实际工期超过担保有效期，则有效期需延长至工程实际竣工验收合格之日后90日，否则，发包人有权暂扣与履约担保金金额相等的工程款，待工程竣工验收合格后14天内无息退还。</w:t>
            </w:r>
            <w:r>
              <w:rPr>
                <w:rFonts w:hint="eastAsia" w:cs="宋体"/>
                <w:color w:val="0000FF"/>
                <w:kern w:val="1"/>
                <w:sz w:val="21"/>
                <w:szCs w:val="21"/>
                <w:highlight w:val="none"/>
                <w:u w:val="single"/>
              </w:rPr>
              <w:t>工期延长的，承包人应负责承担费用继续提供履约担保以覆盖延长的工期</w:t>
            </w:r>
            <w:r>
              <w:rPr>
                <w:rFonts w:hint="eastAsia"/>
                <w:color w:val="0000FF"/>
                <w:sz w:val="21"/>
                <w:szCs w:val="21"/>
                <w:highlight w:val="none"/>
                <w:u w:val="singl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7.5.1</w:t>
            </w:r>
          </w:p>
        </w:tc>
        <w:tc>
          <w:tcPr>
            <w:tcW w:w="1984"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签订合同</w:t>
            </w:r>
          </w:p>
        </w:tc>
        <w:tc>
          <w:tcPr>
            <w:tcW w:w="6946" w:type="dxa"/>
            <w:vAlign w:val="center"/>
          </w:tcPr>
          <w:p>
            <w:pPr>
              <w:widowControl/>
              <w:suppressAutoHyphens/>
              <w:snapToGrid w:val="0"/>
              <w:spacing w:line="300" w:lineRule="auto"/>
              <w:ind w:firstLine="420" w:firstLineChars="200"/>
              <w:jc w:val="left"/>
              <w:rPr>
                <w:rFonts w:cs="宋体"/>
                <w:color w:val="auto"/>
                <w:kern w:val="2"/>
                <w:sz w:val="21"/>
                <w:szCs w:val="21"/>
                <w:highlight w:val="none"/>
              </w:rPr>
            </w:pPr>
            <w:r>
              <w:rPr>
                <w:rFonts w:hint="eastAsia" w:cs="宋体"/>
                <w:color w:val="auto"/>
                <w:kern w:val="2"/>
                <w:sz w:val="21"/>
                <w:szCs w:val="21"/>
                <w:highlight w:val="none"/>
              </w:rPr>
              <w:t>中标人需在中标通知书发出之日起30日内与招标人签订施工合同。实行固定总价合同的招标工程，中标人应当在中标通知书发出之日起28日内就包干范围内的工程量向招标人或其委托的中介机构提出核对申请，并在20日内完成工程量清单核对工作，逾期未提出申请的，视为对包干范围内的工程量无异议。财政投融资项目如有调整，招标人须将调整后的工程量清单向市（区）财政审核部门报备。</w:t>
            </w:r>
          </w:p>
          <w:p>
            <w:pPr>
              <w:pStyle w:val="9"/>
              <w:snapToGrid w:val="0"/>
              <w:spacing w:line="300" w:lineRule="auto"/>
              <w:ind w:firstLineChars="200"/>
              <w:rPr>
                <w:rFonts w:cs="宋体"/>
                <w:color w:val="auto"/>
                <w:sz w:val="21"/>
                <w:szCs w:val="21"/>
                <w:highlight w:val="none"/>
              </w:rPr>
            </w:pPr>
            <w:r>
              <w:rPr>
                <w:rFonts w:hint="eastAsia" w:cs="宋体"/>
                <w:color w:val="auto"/>
                <w:kern w:val="2"/>
                <w:sz w:val="21"/>
                <w:szCs w:val="21"/>
                <w:highlight w:val="none"/>
              </w:rPr>
              <w:t>经核对，确认工程量误差影响工程造价在中标价±3%（含±3%）以内的，招标人可不予调整合同价款，投标人应将其误差考虑在投标综合单价内。若工程量误差超过±3%的，招标人与中标人应根据中标价编制原则就超过部分确认增减工程造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300" w:lineRule="auto"/>
              <w:jc w:val="center"/>
              <w:rPr>
                <w:rFonts w:cs="宋体"/>
                <w:b/>
                <w:color w:val="auto"/>
                <w:kern w:val="1"/>
                <w:sz w:val="21"/>
                <w:szCs w:val="21"/>
                <w:highlight w:val="none"/>
              </w:rPr>
            </w:pPr>
            <w:r>
              <w:rPr>
                <w:rFonts w:hint="eastAsia" w:cs="宋体"/>
                <w:b/>
                <w:color w:val="auto"/>
                <w:kern w:val="1"/>
                <w:sz w:val="21"/>
                <w:szCs w:val="21"/>
                <w:highlight w:val="none"/>
              </w:rPr>
              <w:t>9.2</w:t>
            </w:r>
          </w:p>
        </w:tc>
        <w:tc>
          <w:tcPr>
            <w:tcW w:w="8930" w:type="dxa"/>
            <w:gridSpan w:val="2"/>
            <w:vAlign w:val="center"/>
          </w:tcPr>
          <w:p>
            <w:pPr>
              <w:spacing w:line="300" w:lineRule="auto"/>
              <w:jc w:val="left"/>
              <w:rPr>
                <w:rFonts w:cs="宋体"/>
                <w:b/>
                <w:color w:val="auto"/>
                <w:kern w:val="1"/>
                <w:sz w:val="21"/>
                <w:szCs w:val="21"/>
                <w:highlight w:val="none"/>
              </w:rPr>
            </w:pPr>
            <w:r>
              <w:rPr>
                <w:rFonts w:hint="eastAsia" w:cs="宋体"/>
                <w:b/>
                <w:color w:val="auto"/>
                <w:kern w:val="1"/>
                <w:sz w:val="21"/>
                <w:szCs w:val="21"/>
                <w:highlight w:val="none"/>
              </w:rPr>
              <w:t xml:space="preserve">                          需要补充和修改的其他内容</w:t>
            </w:r>
            <w:r>
              <w:rPr>
                <w:rStyle w:val="74"/>
                <w:rFonts w:hint="eastAsia" w:cs="宋体"/>
                <w:b/>
                <w:color w:val="auto"/>
                <w:kern w:val="1"/>
                <w:sz w:val="21"/>
                <w:szCs w:val="21"/>
                <w:highlight w:val="none"/>
              </w:rPr>
              <w:footnoteReference w:id="20"/>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851"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9.2.1</w:t>
            </w:r>
          </w:p>
        </w:tc>
        <w:tc>
          <w:tcPr>
            <w:tcW w:w="1984" w:type="dxa"/>
            <w:vAlign w:val="center"/>
          </w:tcPr>
          <w:p>
            <w:pPr>
              <w:spacing w:line="300" w:lineRule="auto"/>
              <w:jc w:val="center"/>
              <w:rPr>
                <w:rFonts w:cs="黑体"/>
                <w:bCs/>
                <w:color w:val="auto"/>
                <w:kern w:val="1"/>
                <w:sz w:val="21"/>
                <w:szCs w:val="21"/>
                <w:highlight w:val="none"/>
              </w:rPr>
            </w:pPr>
            <w:r>
              <w:rPr>
                <w:rFonts w:hint="eastAsia" w:cs="黑体"/>
                <w:bCs/>
                <w:color w:val="auto"/>
                <w:kern w:val="1"/>
                <w:sz w:val="21"/>
                <w:szCs w:val="21"/>
                <w:highlight w:val="none"/>
              </w:rPr>
              <w:t>公证服务费</w:t>
            </w:r>
          </w:p>
        </w:tc>
        <w:tc>
          <w:tcPr>
            <w:tcW w:w="6946" w:type="dxa"/>
            <w:vAlign w:val="center"/>
          </w:tcPr>
          <w:p>
            <w:pPr>
              <w:pStyle w:val="9"/>
              <w:snapToGrid w:val="0"/>
              <w:spacing w:line="300" w:lineRule="auto"/>
              <w:rPr>
                <w:rFonts w:cs="黑体"/>
                <w:bCs/>
                <w:color w:val="auto"/>
                <w:sz w:val="21"/>
                <w:szCs w:val="21"/>
                <w:highlight w:val="none"/>
              </w:rPr>
            </w:pPr>
            <w:r>
              <w:rPr>
                <w:rFonts w:hint="eastAsia" w:cs="黑体"/>
                <w:bCs/>
                <w:color w:val="auto"/>
                <w:sz w:val="21"/>
                <w:szCs w:val="21"/>
                <w:highlight w:val="none"/>
              </w:rPr>
              <w:t>招标项目根据规定需要进行公证服务的，公证服务费由招标人负责缴交。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851" w:type="dxa"/>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cs="宋体"/>
                <w:b/>
                <w:bCs/>
                <w:color w:val="auto"/>
                <w:kern w:val="1"/>
                <w:sz w:val="21"/>
                <w:szCs w:val="21"/>
                <w:highlight w:val="none"/>
              </w:rPr>
            </w:pPr>
            <w:r>
              <w:rPr>
                <w:rFonts w:hint="eastAsia" w:cs="宋体"/>
                <w:color w:val="auto"/>
                <w:kern w:val="1"/>
                <w:sz w:val="21"/>
                <w:szCs w:val="21"/>
                <w:highlight w:val="none"/>
              </w:rPr>
              <w:t>9.2.</w:t>
            </w:r>
            <w:r>
              <w:rPr>
                <w:rFonts w:cs="宋体"/>
                <w:color w:val="auto"/>
                <w:kern w:val="1"/>
                <w:sz w:val="21"/>
                <w:szCs w:val="21"/>
                <w:highlight w:val="none"/>
              </w:rPr>
              <w:t>2</w:t>
            </w:r>
          </w:p>
        </w:tc>
        <w:tc>
          <w:tcPr>
            <w:tcW w:w="1984" w:type="dxa"/>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cs="宋体"/>
                <w:bCs/>
                <w:color w:val="auto"/>
                <w:kern w:val="1"/>
                <w:sz w:val="21"/>
                <w:szCs w:val="21"/>
                <w:highlight w:val="none"/>
              </w:rPr>
            </w:pPr>
            <w:r>
              <w:rPr>
                <w:rFonts w:hint="eastAsia" w:cs="黑体"/>
                <w:bCs/>
                <w:color w:val="auto"/>
                <w:kern w:val="1"/>
                <w:sz w:val="21"/>
                <w:szCs w:val="21"/>
                <w:highlight w:val="none"/>
              </w:rPr>
              <w:t>拟派出项目负责人承诺函和投</w:t>
            </w:r>
            <w:r>
              <w:rPr>
                <w:rFonts w:hint="eastAsia" w:cs="宋体"/>
                <w:bCs/>
                <w:color w:val="auto"/>
                <w:kern w:val="1"/>
                <w:sz w:val="21"/>
                <w:szCs w:val="21"/>
                <w:highlight w:val="none"/>
              </w:rPr>
              <w:t>标人诚信承诺函</w:t>
            </w:r>
          </w:p>
        </w:tc>
        <w:tc>
          <w:tcPr>
            <w:tcW w:w="6946" w:type="dxa"/>
            <w:tcBorders>
              <w:top w:val="single" w:color="auto" w:sz="4" w:space="0"/>
              <w:left w:val="single" w:color="auto" w:sz="4" w:space="0"/>
              <w:bottom w:val="single" w:color="auto" w:sz="4" w:space="0"/>
              <w:right w:val="single" w:color="auto" w:sz="4" w:space="0"/>
            </w:tcBorders>
            <w:vAlign w:val="center"/>
          </w:tcPr>
          <w:p>
            <w:pPr>
              <w:pStyle w:val="9"/>
              <w:snapToGrid w:val="0"/>
              <w:spacing w:line="300" w:lineRule="auto"/>
              <w:rPr>
                <w:rFonts w:cs="宋体"/>
                <w:bCs/>
                <w:color w:val="auto"/>
                <w:sz w:val="21"/>
                <w:szCs w:val="21"/>
                <w:highlight w:val="none"/>
              </w:rPr>
            </w:pPr>
            <w:r>
              <w:rPr>
                <w:rFonts w:hint="eastAsia" w:cs="黑体"/>
                <w:bCs/>
                <w:color w:val="auto"/>
                <w:sz w:val="21"/>
                <w:szCs w:val="21"/>
                <w:highlight w:val="none"/>
              </w:rPr>
              <w:t>中标人在领取中标通知书之前，须将投标文件中的《拟派出项目负责人承诺函》原件和《投标人诚信承诺函》原件提交招标人。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9.2.</w:t>
            </w:r>
            <w:r>
              <w:rPr>
                <w:rFonts w:cs="宋体"/>
                <w:color w:val="auto"/>
                <w:kern w:val="1"/>
                <w:sz w:val="21"/>
                <w:szCs w:val="21"/>
                <w:highlight w:val="none"/>
              </w:rPr>
              <w:t>3</w:t>
            </w:r>
          </w:p>
        </w:tc>
        <w:tc>
          <w:tcPr>
            <w:tcW w:w="1984" w:type="dxa"/>
            <w:vAlign w:val="center"/>
          </w:tcPr>
          <w:p>
            <w:pPr>
              <w:spacing w:line="300" w:lineRule="auto"/>
              <w:jc w:val="center"/>
              <w:rPr>
                <w:rFonts w:cs="宋体"/>
                <w:color w:val="auto"/>
                <w:kern w:val="1"/>
                <w:sz w:val="21"/>
                <w:szCs w:val="21"/>
                <w:highlight w:val="none"/>
              </w:rPr>
            </w:pPr>
            <w:r>
              <w:rPr>
                <w:rFonts w:hint="eastAsia" w:cs="宋体"/>
                <w:b/>
                <w:bCs/>
                <w:color w:val="0000FF"/>
                <w:kern w:val="1"/>
                <w:sz w:val="21"/>
                <w:szCs w:val="21"/>
                <w:highlight w:val="none"/>
              </w:rPr>
              <w:t>其他</w:t>
            </w:r>
          </w:p>
        </w:tc>
        <w:tc>
          <w:tcPr>
            <w:tcW w:w="6946" w:type="dxa"/>
            <w:vAlign w:val="center"/>
          </w:tcPr>
          <w:p>
            <w:pPr>
              <w:pStyle w:val="9"/>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textAlignment w:val="auto"/>
              <w:rPr>
                <w:rFonts w:hint="default" w:ascii="宋体" w:hAnsi="宋体" w:eastAsia="宋体"/>
                <w:color w:val="0000FF"/>
                <w:sz w:val="21"/>
                <w:szCs w:val="21"/>
                <w:highlight w:val="none"/>
                <w:lang w:val="en-US" w:eastAsia="zh-CN"/>
              </w:rPr>
            </w:pPr>
            <w:r>
              <w:rPr>
                <w:rFonts w:hint="eastAsia" w:ascii="宋体" w:hAnsi="宋体" w:eastAsia="宋体"/>
                <w:color w:val="0000FF"/>
                <w:sz w:val="21"/>
                <w:szCs w:val="21"/>
                <w:highlight w:val="none"/>
                <w:lang w:val="en-US" w:eastAsia="zh-CN"/>
              </w:rPr>
              <w:t>1、</w:t>
            </w:r>
            <w:r>
              <w:rPr>
                <w:rFonts w:hint="eastAsia" w:cs="宋体"/>
                <w:color w:val="0000FF"/>
                <w:kern w:val="1"/>
                <w:sz w:val="21"/>
                <w:szCs w:val="21"/>
                <w:highlight w:val="none"/>
              </w:rPr>
              <w:t>投标人或者其他利害关系人关于招标投标活动的投诉统一实行线上投诉，不再接收纸质投诉。线上投诉通过登陆福建省公共资源交易电子行政监督平台（网址：https://ggzyjd.fujian.gov.cn/），点击“投诉信息”栏，选择“我要投诉”，按要求填写投诉信息并上传相关材料。</w:t>
            </w:r>
          </w:p>
          <w:p>
            <w:pPr>
              <w:pStyle w:val="9"/>
              <w:keepNext w:val="0"/>
              <w:keepLines w:val="0"/>
              <w:widowControl w:val="0"/>
              <w:numPr>
                <w:ilvl w:val="0"/>
                <w:numId w:val="0"/>
              </w:numPr>
              <w:suppressLineNumbers w:val="0"/>
              <w:snapToGrid w:val="0"/>
              <w:spacing w:line="360" w:lineRule="auto"/>
              <w:ind w:firstLine="420" w:firstLineChars="200"/>
              <w:jc w:val="left"/>
              <w:rPr>
                <w:rFonts w:hint="eastAsia"/>
                <w:color w:val="0000FF"/>
                <w:kern w:val="1"/>
                <w:sz w:val="21"/>
                <w:szCs w:val="21"/>
                <w:highlight w:val="none"/>
              </w:rPr>
            </w:pPr>
            <w:r>
              <w:rPr>
                <w:rFonts w:hint="eastAsia" w:ascii="宋体" w:hAnsi="宋体" w:eastAsia="宋体"/>
                <w:color w:val="0000FF"/>
                <w:sz w:val="21"/>
                <w:szCs w:val="21"/>
                <w:highlight w:val="none"/>
                <w:u w:val="none"/>
                <w:lang w:val="en-US" w:eastAsia="zh-CN"/>
              </w:rPr>
              <w:t>2</w:t>
            </w:r>
            <w:r>
              <w:rPr>
                <w:rFonts w:hint="eastAsia" w:ascii="宋体" w:hAnsi="宋体" w:eastAsia="宋体"/>
                <w:color w:val="0000FF"/>
                <w:sz w:val="21"/>
                <w:szCs w:val="21"/>
                <w:highlight w:val="none"/>
                <w:u w:val="none"/>
              </w:rPr>
              <w:t>、</w:t>
            </w:r>
            <w:r>
              <w:rPr>
                <w:rFonts w:hint="eastAsia" w:ascii="宋体" w:hAnsi="宋体" w:eastAsia="宋体"/>
                <w:color w:val="0000FF"/>
                <w:kern w:val="1"/>
                <w:sz w:val="21"/>
                <w:szCs w:val="21"/>
                <w:highlight w:val="none"/>
                <w:u w:val="none"/>
              </w:rPr>
              <w:t>本工程执行《福建省住房和城乡建设厅关于建设工程企业资质延续有关事项的通知》(闽建许(2023)4号)文。若投标人的企业资质证书有效期延续适用于其他省份资质审批部门相关规定的，投标人需在投标文件中附上相关文件复印件或网页截图等证明材料</w:t>
            </w:r>
            <w:r>
              <w:rPr>
                <w:rFonts w:hint="eastAsia" w:ascii="宋体" w:hAnsi="宋体" w:eastAsia="宋体"/>
                <w:color w:val="0000FF"/>
                <w:kern w:val="1"/>
                <w:sz w:val="21"/>
                <w:szCs w:val="21"/>
                <w:highlight w:val="none"/>
                <w:u w:val="none"/>
                <w:lang w:eastAsia="zh-CN"/>
              </w:rPr>
              <w:t>。</w:t>
            </w:r>
            <w:r>
              <w:rPr>
                <w:rFonts w:hint="eastAsia" w:ascii="宋体" w:hAnsi="宋体" w:eastAsia="宋体" w:cs="宋体"/>
                <w:color w:val="0000FF"/>
                <w:kern w:val="1"/>
                <w:sz w:val="21"/>
                <w:szCs w:val="21"/>
                <w:highlight w:val="none"/>
                <w:lang w:val="en-US" w:eastAsia="zh-CN" w:bidi="ar"/>
              </w:rPr>
              <w:t>否则评标委员会将可能作出不利于投标人的评审结论，投标人不得有异议。</w:t>
            </w:r>
          </w:p>
          <w:p>
            <w:pPr>
              <w:pStyle w:val="9"/>
              <w:keepNext w:val="0"/>
              <w:keepLines w:val="0"/>
              <w:widowControl w:val="0"/>
              <w:numPr>
                <w:ilvl w:val="-1"/>
                <w:numId w:val="0"/>
              </w:numPr>
              <w:suppressLineNumbers w:val="0"/>
              <w:snapToGrid w:val="0"/>
              <w:spacing w:line="360" w:lineRule="auto"/>
              <w:ind w:firstLineChars="200"/>
              <w:jc w:val="left"/>
              <w:rPr>
                <w:rFonts w:hint="default" w:ascii="宋体" w:hAnsi="宋体" w:eastAsia="宋体" w:cs="宋体"/>
                <w:color w:val="0000FF"/>
                <w:kern w:val="1"/>
                <w:sz w:val="21"/>
                <w:szCs w:val="21"/>
                <w:highlight w:val="none"/>
                <w:lang w:val="en-US" w:eastAsia="zh-CN" w:bidi="ar"/>
              </w:rPr>
            </w:pPr>
            <w:r>
              <w:rPr>
                <w:rFonts w:hint="eastAsia"/>
                <w:color w:val="0000FF"/>
                <w:sz w:val="21"/>
                <w:szCs w:val="21"/>
                <w:highlight w:val="none"/>
                <w:u w:val="none"/>
                <w:lang w:val="en-US" w:eastAsia="zh-CN"/>
              </w:rPr>
              <w:t>3、</w:t>
            </w:r>
            <w:r>
              <w:rPr>
                <w:rFonts w:hint="default" w:ascii="宋体" w:hAnsi="宋体" w:eastAsia="宋体" w:cs="宋体"/>
                <w:color w:val="0000FF"/>
                <w:kern w:val="1"/>
                <w:sz w:val="21"/>
                <w:szCs w:val="21"/>
                <w:highlight w:val="none"/>
                <w:lang w:val="en-US" w:eastAsia="zh-CN" w:bidi="ar"/>
              </w:rPr>
              <w:t>本项目招标公告第 2.1.3 条款及本项目招标文件-第二章 投标人须知-投标人须知前附表-“条款号 1.1.8/3.2.3”均修改为：“最高投标报价限价，招标人按以下方式发布：投标截止时间 10 日前发布。招标项目应用建筑信息模型（BIM）技术的，BIM 技术应用费在最高投标报价限价中发布。”</w:t>
            </w:r>
          </w:p>
          <w:p>
            <w:pPr>
              <w:pStyle w:val="9"/>
              <w:keepNext w:val="0"/>
              <w:keepLines w:val="0"/>
              <w:widowControl w:val="0"/>
              <w:numPr>
                <w:ilvl w:val="-1"/>
                <w:numId w:val="0"/>
              </w:numPr>
              <w:suppressLineNumbers w:val="0"/>
              <w:snapToGrid w:val="0"/>
              <w:spacing w:line="360" w:lineRule="auto"/>
              <w:ind w:firstLineChars="200"/>
              <w:jc w:val="left"/>
              <w:rPr>
                <w:rFonts w:hint="eastAsia" w:eastAsia="宋体" w:cs="宋体"/>
                <w:color w:val="0000FF"/>
                <w:kern w:val="1"/>
                <w:sz w:val="21"/>
                <w:szCs w:val="21"/>
                <w:highlight w:val="none"/>
                <w:lang w:val="en-US" w:eastAsia="zh-CN" w:bidi="ar"/>
              </w:rPr>
            </w:pPr>
            <w:r>
              <w:rPr>
                <w:rFonts w:hint="eastAsia" w:cs="宋体"/>
                <w:color w:val="0000FF"/>
                <w:kern w:val="1"/>
                <w:sz w:val="21"/>
                <w:szCs w:val="21"/>
                <w:highlight w:val="none"/>
                <w:lang w:val="en-US" w:eastAsia="zh-CN" w:bidi="ar"/>
              </w:rPr>
              <w:t>4、</w:t>
            </w:r>
            <w:r>
              <w:rPr>
                <w:rFonts w:hint="default" w:ascii="宋体" w:hAnsi="宋体" w:eastAsia="宋体" w:cs="宋体"/>
                <w:color w:val="0000FF"/>
                <w:kern w:val="1"/>
                <w:sz w:val="21"/>
                <w:szCs w:val="21"/>
                <w:highlight w:val="none"/>
                <w:lang w:val="en-US" w:eastAsia="zh-CN" w:bidi="ar"/>
              </w:rPr>
              <w:t>根据福建省住房和城乡建设厅关于修订《福建省房屋建筑和市政基础设施工程标准施工招标文件(2022 年版)》部分条款的通知（闽建筑[2023]10 号），本招标文件第 2 章投标人须知正文第 3.4.3 款第（1）项“（1）投标人在投标有效期内撤销其投标文件。”予以删除。投标保函(独立保函) 和免缴投标保证金承诺函的“投标人在投标有效期内撤销其投标文件”条款予以相应删除</w:t>
            </w:r>
            <w:r>
              <w:rPr>
                <w:rFonts w:hint="eastAsia" w:cs="宋体"/>
                <w:color w:val="0000FF"/>
                <w:kern w:val="1"/>
                <w:sz w:val="21"/>
                <w:szCs w:val="21"/>
                <w:highlight w:val="none"/>
                <w:lang w:val="en-US" w:eastAsia="zh-CN" w:bidi="ar"/>
              </w:rPr>
              <w:t>，其余内容不变。</w:t>
            </w:r>
          </w:p>
          <w:p>
            <w:pPr>
              <w:pStyle w:val="9"/>
              <w:keepNext w:val="0"/>
              <w:keepLines w:val="0"/>
              <w:pageBreakBefore w:val="0"/>
              <w:widowControl w:val="0"/>
              <w:numPr>
                <w:ilvl w:val="-1"/>
                <w:numId w:val="0"/>
              </w:numPr>
              <w:suppressLineNumbers w:val="0"/>
              <w:kinsoku/>
              <w:wordWrap/>
              <w:overflowPunct/>
              <w:topLinePunct w:val="0"/>
              <w:autoSpaceDE/>
              <w:autoSpaceDN/>
              <w:bidi w:val="0"/>
              <w:adjustRightInd/>
              <w:snapToGrid w:val="0"/>
              <w:spacing w:line="360" w:lineRule="auto"/>
              <w:ind w:firstLineChars="0"/>
              <w:jc w:val="left"/>
              <w:textAlignment w:val="auto"/>
              <w:rPr>
                <w:rFonts w:hint="default" w:ascii="宋体" w:hAnsi="宋体" w:eastAsia="宋体"/>
                <w:color w:val="0000FF"/>
                <w:sz w:val="21"/>
                <w:szCs w:val="21"/>
                <w:highlight w:val="none"/>
                <w:u w:val="none"/>
                <w:lang w:val="en-US" w:eastAsia="zh-CN"/>
              </w:rPr>
            </w:pPr>
          </w:p>
        </w:tc>
      </w:tr>
    </w:tbl>
    <w:p>
      <w:pPr>
        <w:tabs>
          <w:tab w:val="right" w:pos="8639"/>
        </w:tabs>
        <w:spacing w:line="360" w:lineRule="auto"/>
        <w:rPr>
          <w:rFonts w:cs="宋体"/>
          <w:b/>
          <w:color w:val="auto"/>
          <w:kern w:val="1"/>
          <w:sz w:val="21"/>
          <w:szCs w:val="21"/>
          <w:highlight w:val="none"/>
        </w:rPr>
      </w:pPr>
      <w:r>
        <w:rPr>
          <w:rFonts w:hint="eastAsia" w:cs="宋体"/>
          <w:b/>
          <w:color w:val="auto"/>
          <w:kern w:val="1"/>
          <w:sz w:val="21"/>
          <w:szCs w:val="21"/>
          <w:highlight w:val="none"/>
        </w:rPr>
        <w:br w:type="page"/>
      </w:r>
      <w:r>
        <w:rPr>
          <w:rFonts w:hint="eastAsia" w:cs="宋体"/>
          <w:color w:val="auto"/>
          <w:kern w:val="1"/>
          <w:sz w:val="21"/>
          <w:szCs w:val="21"/>
          <w:highlight w:val="none"/>
        </w:rPr>
        <w:t>附录1</w:t>
      </w:r>
      <w:r>
        <w:rPr>
          <w:rFonts w:hint="eastAsia" w:cs="宋体"/>
          <w:b/>
          <w:color w:val="auto"/>
          <w:kern w:val="1"/>
          <w:sz w:val="21"/>
          <w:szCs w:val="21"/>
          <w:highlight w:val="none"/>
        </w:rPr>
        <w:t xml:space="preserve">  </w:t>
      </w:r>
      <w:r>
        <w:rPr>
          <w:rFonts w:hint="eastAsia" w:cs="宋体"/>
          <w:color w:val="auto"/>
          <w:kern w:val="1"/>
          <w:sz w:val="21"/>
          <w:szCs w:val="21"/>
          <w:highlight w:val="none"/>
        </w:rPr>
        <w:t>投标人资质条件、能力和信用（适用于</w:t>
      </w:r>
      <w:r>
        <w:rPr>
          <w:rFonts w:hint="eastAsia" w:cs="宋体"/>
          <w:color w:val="auto"/>
          <w:kern w:val="1"/>
          <w:sz w:val="21"/>
          <w:szCs w:val="21"/>
          <w:highlight w:val="none"/>
          <w:u w:val="single"/>
        </w:rPr>
        <w:t xml:space="preserve"> </w:t>
      </w:r>
      <w:r>
        <w:rPr>
          <w:rFonts w:hint="eastAsia" w:cs="宋体"/>
          <w:color w:val="auto"/>
          <w:kern w:val="1"/>
          <w:sz w:val="21"/>
          <w:szCs w:val="21"/>
          <w:highlight w:val="none"/>
          <w:u w:val="single"/>
          <w:lang w:val="en-US" w:eastAsia="zh-CN"/>
        </w:rPr>
        <w:t>/</w:t>
      </w:r>
      <w:r>
        <w:rPr>
          <w:rFonts w:hint="eastAsia" w:cs="宋体"/>
          <w:color w:val="auto"/>
          <w:kern w:val="1"/>
          <w:sz w:val="21"/>
          <w:szCs w:val="21"/>
          <w:highlight w:val="none"/>
          <w:u w:val="single"/>
        </w:rPr>
        <w:t xml:space="preserve"> </w:t>
      </w:r>
      <w:r>
        <w:rPr>
          <w:rStyle w:val="74"/>
          <w:rFonts w:hint="eastAsia" w:cs="宋体"/>
          <w:color w:val="auto"/>
          <w:kern w:val="1"/>
          <w:sz w:val="21"/>
          <w:szCs w:val="21"/>
          <w:highlight w:val="none"/>
        </w:rPr>
        <w:footnoteReference w:id="21"/>
      </w:r>
      <w:r>
        <w:rPr>
          <w:rFonts w:hint="eastAsia" w:cs="宋体"/>
          <w:color w:val="auto"/>
          <w:kern w:val="1"/>
          <w:sz w:val="21"/>
          <w:szCs w:val="21"/>
          <w:highlight w:val="none"/>
        </w:rPr>
        <w:t>标段）</w:t>
      </w:r>
    </w:p>
    <w:tbl>
      <w:tblPr>
        <w:tblStyle w:val="6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559"/>
        <w:gridCol w:w="7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 w:hRule="atLeast"/>
        </w:trPr>
        <w:tc>
          <w:tcPr>
            <w:tcW w:w="817" w:type="dxa"/>
            <w:vAlign w:val="center"/>
          </w:tcPr>
          <w:p>
            <w:pPr>
              <w:tabs>
                <w:tab w:val="right" w:pos="8639"/>
              </w:tabs>
              <w:spacing w:line="300" w:lineRule="auto"/>
              <w:jc w:val="center"/>
              <w:rPr>
                <w:rFonts w:cs="宋体"/>
                <w:b/>
                <w:bCs/>
                <w:color w:val="auto"/>
                <w:kern w:val="1"/>
                <w:sz w:val="21"/>
                <w:szCs w:val="21"/>
                <w:highlight w:val="none"/>
              </w:rPr>
            </w:pPr>
            <w:bookmarkStart w:id="238" w:name="_Toc300834949"/>
            <w:bookmarkEnd w:id="238"/>
            <w:bookmarkStart w:id="239" w:name="_Toc338230760"/>
            <w:bookmarkEnd w:id="239"/>
            <w:bookmarkStart w:id="240" w:name="_Toc144974497"/>
            <w:bookmarkEnd w:id="240"/>
            <w:bookmarkStart w:id="241" w:name="_Toc152045529"/>
            <w:bookmarkEnd w:id="241"/>
            <w:bookmarkStart w:id="242" w:name="_Toc338680564"/>
            <w:bookmarkEnd w:id="242"/>
            <w:bookmarkStart w:id="243" w:name="_Toc374355153"/>
            <w:bookmarkEnd w:id="243"/>
            <w:bookmarkStart w:id="244" w:name="_Toc247513952"/>
            <w:bookmarkEnd w:id="244"/>
            <w:bookmarkStart w:id="245" w:name="_Toc152042305"/>
            <w:bookmarkEnd w:id="245"/>
            <w:bookmarkStart w:id="246" w:name="_Toc247527553"/>
            <w:bookmarkEnd w:id="246"/>
            <w:bookmarkStart w:id="247" w:name="_Toc409015502"/>
            <w:bookmarkEnd w:id="247"/>
            <w:bookmarkStart w:id="248" w:name="_Toc327774357"/>
            <w:bookmarkEnd w:id="248"/>
            <w:bookmarkStart w:id="249" w:name="_Hlk19456182"/>
            <w:r>
              <w:rPr>
                <w:rFonts w:hint="eastAsia" w:cs="宋体"/>
                <w:b/>
                <w:bCs/>
                <w:color w:val="auto"/>
                <w:kern w:val="1"/>
                <w:sz w:val="21"/>
                <w:szCs w:val="21"/>
                <w:highlight w:val="none"/>
              </w:rPr>
              <w:t>项号</w:t>
            </w:r>
          </w:p>
        </w:tc>
        <w:tc>
          <w:tcPr>
            <w:tcW w:w="1559" w:type="dxa"/>
            <w:vAlign w:val="center"/>
          </w:tcPr>
          <w:p>
            <w:pPr>
              <w:tabs>
                <w:tab w:val="right" w:pos="8639"/>
              </w:tabs>
              <w:spacing w:line="300" w:lineRule="auto"/>
              <w:jc w:val="center"/>
              <w:rPr>
                <w:rFonts w:cs="宋体"/>
                <w:b/>
                <w:bCs/>
                <w:color w:val="auto"/>
                <w:kern w:val="1"/>
                <w:sz w:val="21"/>
                <w:szCs w:val="21"/>
                <w:highlight w:val="none"/>
              </w:rPr>
            </w:pPr>
            <w:r>
              <w:rPr>
                <w:rFonts w:hint="eastAsia" w:cs="宋体"/>
                <w:b/>
                <w:bCs/>
                <w:color w:val="auto"/>
                <w:kern w:val="1"/>
                <w:sz w:val="21"/>
                <w:szCs w:val="21"/>
                <w:highlight w:val="none"/>
              </w:rPr>
              <w:t>内容</w:t>
            </w:r>
          </w:p>
        </w:tc>
        <w:tc>
          <w:tcPr>
            <w:tcW w:w="7088" w:type="dxa"/>
            <w:vAlign w:val="center"/>
          </w:tcPr>
          <w:p>
            <w:pPr>
              <w:tabs>
                <w:tab w:val="right" w:pos="8639"/>
              </w:tabs>
              <w:spacing w:line="300" w:lineRule="auto"/>
              <w:jc w:val="center"/>
              <w:rPr>
                <w:rFonts w:cs="宋体"/>
                <w:b/>
                <w:bCs/>
                <w:color w:val="auto"/>
                <w:kern w:val="1"/>
                <w:sz w:val="21"/>
                <w:szCs w:val="21"/>
                <w:highlight w:val="none"/>
              </w:rPr>
            </w:pPr>
            <w:r>
              <w:rPr>
                <w:rFonts w:hint="eastAsia" w:cs="宋体"/>
                <w:b/>
                <w:bCs/>
                <w:color w:val="auto"/>
                <w:kern w:val="1"/>
                <w:sz w:val="21"/>
                <w:szCs w:val="21"/>
                <w:highlight w:val="none"/>
              </w:rPr>
              <w:t>规定</w:t>
            </w:r>
            <w:r>
              <w:rPr>
                <w:rStyle w:val="74"/>
                <w:rFonts w:hint="eastAsia" w:cs="宋体"/>
                <w:b/>
                <w:bCs/>
                <w:color w:val="auto"/>
                <w:kern w:val="1"/>
                <w:sz w:val="21"/>
                <w:szCs w:val="21"/>
                <w:highlight w:val="none"/>
              </w:rPr>
              <w:footnoteReference w:id="22"/>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tabs>
                <w:tab w:val="right" w:pos="8639"/>
              </w:tabs>
              <w:spacing w:line="300" w:lineRule="auto"/>
              <w:jc w:val="center"/>
              <w:rPr>
                <w:rFonts w:cs="宋体"/>
                <w:b/>
                <w:bCs/>
                <w:color w:val="auto"/>
                <w:kern w:val="1"/>
                <w:sz w:val="21"/>
                <w:szCs w:val="21"/>
                <w:highlight w:val="none"/>
              </w:rPr>
            </w:pPr>
            <w:r>
              <w:rPr>
                <w:rFonts w:hint="eastAsia" w:cs="宋体"/>
                <w:b/>
                <w:bCs/>
                <w:color w:val="auto"/>
                <w:kern w:val="1"/>
                <w:sz w:val="21"/>
                <w:szCs w:val="21"/>
                <w:highlight w:val="none"/>
              </w:rPr>
              <w:t>1</w:t>
            </w:r>
          </w:p>
        </w:tc>
        <w:tc>
          <w:tcPr>
            <w:tcW w:w="1559" w:type="dxa"/>
            <w:vAlign w:val="center"/>
          </w:tcPr>
          <w:p>
            <w:pPr>
              <w:tabs>
                <w:tab w:val="right" w:pos="8639"/>
              </w:tabs>
              <w:spacing w:line="300" w:lineRule="auto"/>
              <w:jc w:val="center"/>
              <w:rPr>
                <w:rFonts w:cs="宋体"/>
                <w:b/>
                <w:bCs/>
                <w:color w:val="auto"/>
                <w:kern w:val="1"/>
                <w:sz w:val="21"/>
                <w:szCs w:val="21"/>
                <w:highlight w:val="none"/>
              </w:rPr>
            </w:pPr>
            <w:r>
              <w:rPr>
                <w:rFonts w:hint="eastAsia" w:cs="宋体"/>
                <w:color w:val="auto"/>
                <w:kern w:val="1"/>
                <w:sz w:val="21"/>
                <w:szCs w:val="21"/>
                <w:highlight w:val="none"/>
              </w:rPr>
              <w:t>资质条件</w:t>
            </w:r>
          </w:p>
        </w:tc>
        <w:tc>
          <w:tcPr>
            <w:tcW w:w="7088" w:type="dxa"/>
            <w:vAlign w:val="center"/>
          </w:tcPr>
          <w:p>
            <w:pPr>
              <w:tabs>
                <w:tab w:val="right" w:pos="8639"/>
              </w:tabs>
              <w:spacing w:line="300" w:lineRule="auto"/>
              <w:ind w:firstLine="420" w:firstLineChars="200"/>
              <w:rPr>
                <w:rFonts w:cs="宋体"/>
                <w:b/>
                <w:bCs/>
                <w:color w:val="auto"/>
                <w:kern w:val="1"/>
                <w:sz w:val="21"/>
                <w:szCs w:val="21"/>
                <w:highlight w:val="none"/>
              </w:rPr>
            </w:pPr>
            <w:r>
              <w:rPr>
                <w:rFonts w:hint="eastAsia" w:cs="宋体"/>
                <w:color w:val="auto"/>
                <w:sz w:val="21"/>
                <w:szCs w:val="21"/>
                <w:highlight w:val="none"/>
              </w:rPr>
              <w:t>本招标项目要求投标人须具备有效的不低于</w:t>
            </w:r>
            <w:r>
              <w:rPr>
                <w:rFonts w:hint="eastAsia" w:cs="宋体"/>
                <w:color w:val="auto"/>
                <w:sz w:val="21"/>
                <w:szCs w:val="21"/>
                <w:highlight w:val="none"/>
                <w:u w:val="single"/>
              </w:rPr>
              <w:t xml:space="preserve"> </w:t>
            </w:r>
            <w:r>
              <w:rPr>
                <w:rFonts w:hint="eastAsia" w:hAnsi="Times New Roman"/>
                <w:color w:val="3333FF"/>
                <w:sz w:val="21"/>
                <w:szCs w:val="21"/>
                <w:highlight w:val="none"/>
                <w:u w:val="single"/>
                <w:lang w:eastAsia="zh-CN"/>
              </w:rPr>
              <w:t>叁</w:t>
            </w:r>
            <w:r>
              <w:rPr>
                <w:rFonts w:hint="eastAsia" w:hAnsi="Times New Roman"/>
                <w:color w:val="3333FF"/>
                <w:sz w:val="21"/>
                <w:szCs w:val="21"/>
                <w:highlight w:val="none"/>
                <w:u w:val="single"/>
              </w:rPr>
              <w:t>级建筑工程施工总承包</w:t>
            </w:r>
            <w:r>
              <w:rPr>
                <w:rFonts w:hint="eastAsia" w:cs="宋体"/>
                <w:color w:val="auto"/>
                <w:sz w:val="21"/>
                <w:szCs w:val="21"/>
                <w:highlight w:val="none"/>
                <w:u w:val="single"/>
              </w:rPr>
              <w:t xml:space="preserve"> </w:t>
            </w:r>
            <w:r>
              <w:rPr>
                <w:rFonts w:hint="eastAsia" w:cs="宋体"/>
                <w:color w:val="auto"/>
                <w:sz w:val="21"/>
                <w:szCs w:val="21"/>
                <w:highlight w:val="none"/>
              </w:rPr>
              <w:t>资质和《施工企业安全生产许可证》。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tabs>
                <w:tab w:val="right" w:pos="8639"/>
              </w:tabs>
              <w:spacing w:line="300" w:lineRule="auto"/>
              <w:jc w:val="center"/>
              <w:rPr>
                <w:rFonts w:cs="宋体"/>
                <w:b/>
                <w:bCs/>
                <w:color w:val="auto"/>
                <w:kern w:val="1"/>
                <w:sz w:val="21"/>
                <w:szCs w:val="21"/>
                <w:highlight w:val="none"/>
              </w:rPr>
            </w:pPr>
            <w:r>
              <w:rPr>
                <w:rFonts w:hint="eastAsia" w:cs="宋体"/>
                <w:b/>
                <w:bCs/>
                <w:color w:val="auto"/>
                <w:kern w:val="1"/>
                <w:sz w:val="21"/>
                <w:szCs w:val="21"/>
                <w:highlight w:val="none"/>
              </w:rPr>
              <w:t>2</w:t>
            </w:r>
          </w:p>
        </w:tc>
        <w:tc>
          <w:tcPr>
            <w:tcW w:w="1559" w:type="dxa"/>
            <w:vAlign w:val="center"/>
          </w:tcPr>
          <w:p>
            <w:pPr>
              <w:tabs>
                <w:tab w:val="right" w:pos="8639"/>
              </w:tabs>
              <w:spacing w:line="300" w:lineRule="auto"/>
              <w:jc w:val="center"/>
              <w:rPr>
                <w:rFonts w:cs="宋体"/>
                <w:b/>
                <w:bCs/>
                <w:color w:val="auto"/>
                <w:kern w:val="1"/>
                <w:sz w:val="21"/>
                <w:szCs w:val="21"/>
                <w:highlight w:val="none"/>
              </w:rPr>
            </w:pPr>
            <w:r>
              <w:rPr>
                <w:rFonts w:hint="eastAsia" w:cs="宋体"/>
                <w:color w:val="auto"/>
                <w:kern w:val="1"/>
                <w:sz w:val="21"/>
                <w:szCs w:val="21"/>
                <w:highlight w:val="none"/>
              </w:rPr>
              <w:t>类似工程业绩要求</w:t>
            </w:r>
          </w:p>
        </w:tc>
        <w:tc>
          <w:tcPr>
            <w:tcW w:w="7088" w:type="dxa"/>
            <w:vAlign w:val="center"/>
          </w:tcPr>
          <w:p>
            <w:pPr>
              <w:spacing w:line="300" w:lineRule="auto"/>
              <w:ind w:firstLine="420" w:firstLineChars="200"/>
              <w:rPr>
                <w:rFonts w:cs="宋体"/>
                <w:bCs/>
                <w:color w:val="auto"/>
                <w:sz w:val="21"/>
                <w:szCs w:val="21"/>
                <w:highlight w:val="none"/>
                <w:u w:val="single"/>
              </w:rPr>
            </w:pPr>
            <w:r>
              <w:rPr>
                <w:rFonts w:hint="eastAsia" w:cs="宋体"/>
                <w:color w:val="auto"/>
                <w:kern w:val="1"/>
                <w:sz w:val="21"/>
                <w:szCs w:val="21"/>
                <w:highlight w:val="none"/>
              </w:rPr>
              <w:t>投标人</w:t>
            </w:r>
            <w:r>
              <w:rPr>
                <w:rFonts w:hint="eastAsia" w:cs="宋体"/>
                <w:color w:val="auto"/>
                <w:sz w:val="21"/>
                <w:szCs w:val="21"/>
                <w:highlight w:val="none"/>
              </w:rPr>
              <w:t>（按照投标人须知前附表第1.4.2项第1条组成联合体投标的，指投标人须知前附表第1.4.2项第1条规定的联合体牵头人或联合体其余成员；按照投标人须知前附表第1.4.2项第2条组成联合体投标的，指联合体牵头人）</w:t>
            </w:r>
            <w:r>
              <w:rPr>
                <w:rFonts w:hint="eastAsia" w:cs="宋体"/>
                <w:color w:val="auto"/>
                <w:kern w:val="1"/>
                <w:sz w:val="21"/>
                <w:szCs w:val="21"/>
                <w:highlight w:val="none"/>
              </w:rPr>
              <w:t>应当具备的类似工程业绩应符合以下全部要求：</w:t>
            </w:r>
          </w:p>
          <w:p>
            <w:pPr>
              <w:widowControl/>
              <w:numPr>
                <w:ilvl w:val="-1"/>
                <w:numId w:val="0"/>
              </w:numPr>
              <w:spacing w:line="300" w:lineRule="auto"/>
              <w:ind w:firstLine="420" w:firstLineChars="200"/>
              <w:jc w:val="left"/>
              <w:rPr>
                <w:rFonts w:hint="eastAsia" w:cs="宋体"/>
                <w:color w:val="auto"/>
                <w:sz w:val="21"/>
                <w:szCs w:val="21"/>
                <w:highlight w:val="none"/>
                <w:u w:val="single"/>
              </w:rPr>
            </w:pPr>
            <w:r>
              <w:rPr>
                <w:rFonts w:hint="eastAsia" w:cs="宋体"/>
                <w:bCs/>
                <w:iCs/>
                <w:color w:val="auto"/>
                <w:sz w:val="21"/>
                <w:szCs w:val="21"/>
                <w:highlight w:val="none"/>
                <w:lang w:val="en-US" w:eastAsia="zh-CN"/>
              </w:rPr>
              <w:t>1.</w:t>
            </w:r>
            <w:r>
              <w:rPr>
                <w:rFonts w:hint="eastAsia" w:cs="宋体"/>
                <w:bCs/>
                <w:iCs/>
                <w:color w:val="auto"/>
                <w:sz w:val="21"/>
                <w:szCs w:val="21"/>
                <w:highlight w:val="none"/>
              </w:rPr>
              <w:t>投标人“类似工程业绩”要求：</w:t>
            </w:r>
            <w:r>
              <w:rPr>
                <w:rFonts w:hint="eastAsia" w:cs="宋体"/>
                <w:bCs/>
                <w:iCs/>
                <w:color w:val="auto"/>
                <w:sz w:val="21"/>
                <w:szCs w:val="21"/>
                <w:highlight w:val="none"/>
                <w:u w:val="single"/>
              </w:rPr>
              <w:t xml:space="preserve"> </w:t>
            </w:r>
            <w:r>
              <w:rPr>
                <w:rFonts w:hint="eastAsia" w:cs="宋体"/>
                <w:bCs/>
                <w:iCs/>
                <w:color w:val="0000FF"/>
                <w:sz w:val="21"/>
                <w:szCs w:val="21"/>
                <w:highlight w:val="none"/>
                <w:u w:val="single"/>
                <w:lang w:val="en-US" w:eastAsia="zh-CN"/>
              </w:rPr>
              <w:t>/</w:t>
            </w:r>
            <w:r>
              <w:rPr>
                <w:rFonts w:hint="eastAsia" w:cs="宋体"/>
                <w:bCs/>
                <w:iCs/>
                <w:color w:val="auto"/>
                <w:sz w:val="21"/>
                <w:szCs w:val="21"/>
                <w:highlight w:val="none"/>
                <w:u w:val="single"/>
              </w:rPr>
              <w:t>个</w:t>
            </w:r>
            <w:r>
              <w:rPr>
                <w:rFonts w:hint="eastAsia" w:cs="宋体"/>
                <w:bCs/>
                <w:iCs/>
                <w:color w:val="auto"/>
                <w:sz w:val="21"/>
                <w:szCs w:val="21"/>
                <w:highlight w:val="none"/>
              </w:rPr>
              <w:t>；“类似工程业绩”是指：自本招标项目在法定媒介发布招标公告之日的前5年内（含在法定媒介发布招标公告之日）完成的并经竣工验收合格的</w:t>
            </w:r>
            <w:r>
              <w:rPr>
                <w:rStyle w:val="74"/>
                <w:rFonts w:hint="eastAsia" w:cs="宋体"/>
                <w:bCs/>
                <w:iCs/>
                <w:color w:val="auto"/>
                <w:sz w:val="21"/>
                <w:szCs w:val="21"/>
                <w:highlight w:val="none"/>
              </w:rPr>
              <w:footnoteReference w:id="23"/>
            </w:r>
            <w:r>
              <w:rPr>
                <w:rFonts w:hint="eastAsia" w:cs="宋体"/>
                <w:color w:val="auto"/>
                <w:sz w:val="21"/>
                <w:szCs w:val="21"/>
                <w:highlight w:val="none"/>
                <w:u w:val="single"/>
              </w:rPr>
              <w:t xml:space="preserve"> </w:t>
            </w:r>
            <w:r>
              <w:rPr>
                <w:rFonts w:hint="eastAsia" w:cs="宋体"/>
                <w:color w:val="0000FF"/>
                <w:sz w:val="21"/>
                <w:szCs w:val="21"/>
                <w:highlight w:val="none"/>
                <w:u w:val="single"/>
                <w:lang w:val="en-US" w:eastAsia="zh-CN" w:bidi="zh-CN"/>
              </w:rPr>
              <w:t>/</w:t>
            </w:r>
            <w:r>
              <w:rPr>
                <w:rFonts w:hint="eastAsia" w:hAnsi="Calibri"/>
                <w:color w:val="0000FF"/>
                <w:sz w:val="21"/>
                <w:szCs w:val="21"/>
                <w:highlight w:val="none"/>
                <w:u w:val="single"/>
              </w:rPr>
              <w:t>。</w:t>
            </w:r>
            <w:r>
              <w:rPr>
                <w:rFonts w:hint="eastAsia" w:cs="宋体"/>
                <w:color w:val="auto"/>
                <w:sz w:val="21"/>
                <w:szCs w:val="21"/>
                <w:highlight w:val="none"/>
                <w:u w:val="single"/>
              </w:rPr>
              <w:t xml:space="preserve"> </w:t>
            </w:r>
          </w:p>
          <w:p>
            <w:pPr>
              <w:widowControl/>
              <w:spacing w:line="300" w:lineRule="auto"/>
              <w:ind w:firstLine="420" w:firstLineChars="200"/>
              <w:jc w:val="left"/>
              <w:rPr>
                <w:rFonts w:cs="宋体"/>
                <w:bCs/>
                <w:iCs/>
                <w:color w:val="auto"/>
                <w:sz w:val="21"/>
                <w:szCs w:val="21"/>
                <w:highlight w:val="none"/>
              </w:rPr>
            </w:pPr>
            <w:r>
              <w:rPr>
                <w:rFonts w:hint="eastAsia" w:cs="宋体"/>
                <w:bCs/>
                <w:iCs/>
                <w:color w:val="auto"/>
                <w:sz w:val="21"/>
                <w:szCs w:val="21"/>
                <w:highlight w:val="none"/>
              </w:rPr>
              <w:t>2.“类似工程业绩”应附上业绩合同和竣工验收证明等证明材料的扫描件并加盖单位公章，否则，其业绩不计。</w:t>
            </w:r>
          </w:p>
          <w:p>
            <w:pPr>
              <w:widowControl/>
              <w:tabs>
                <w:tab w:val="left" w:pos="100"/>
                <w:tab w:val="left" w:pos="700"/>
              </w:tabs>
              <w:spacing w:line="300" w:lineRule="auto"/>
              <w:ind w:firstLine="457" w:firstLineChars="218"/>
              <w:jc w:val="left"/>
              <w:rPr>
                <w:rFonts w:hint="default" w:eastAsia="宋体" w:cs="宋体"/>
                <w:bCs/>
                <w:iCs/>
                <w:color w:val="0000FF"/>
                <w:sz w:val="21"/>
                <w:szCs w:val="21"/>
                <w:highlight w:val="none"/>
                <w:lang w:val="en-US" w:eastAsia="zh-CN"/>
              </w:rPr>
            </w:pPr>
            <w:r>
              <w:rPr>
                <w:rFonts w:hint="eastAsia" w:cs="宋体"/>
                <w:bCs/>
                <w:iCs/>
                <w:color w:val="auto"/>
                <w:sz w:val="21"/>
                <w:szCs w:val="21"/>
                <w:highlight w:val="none"/>
              </w:rPr>
              <w:t>（1）竣工验收证明材料是指</w:t>
            </w:r>
            <w:r>
              <w:rPr>
                <w:rStyle w:val="74"/>
                <w:rFonts w:hint="eastAsia" w:cs="宋体"/>
                <w:bCs/>
                <w:iCs/>
                <w:color w:val="auto"/>
                <w:sz w:val="21"/>
                <w:szCs w:val="21"/>
                <w:highlight w:val="none"/>
              </w:rPr>
              <w:footnoteReference w:id="24"/>
            </w:r>
            <w:r>
              <w:rPr>
                <w:rFonts w:hint="eastAsia" w:cs="宋体"/>
                <w:bCs/>
                <w:iCs/>
                <w:color w:val="auto"/>
                <w:sz w:val="21"/>
                <w:szCs w:val="21"/>
                <w:highlight w:val="none"/>
              </w:rPr>
              <w:t>：</w:t>
            </w:r>
            <w:r>
              <w:rPr>
                <w:rFonts w:hint="eastAsia" w:cs="宋体"/>
                <w:bCs/>
                <w:iCs/>
                <w:color w:val="auto"/>
                <w:sz w:val="21"/>
                <w:szCs w:val="21"/>
                <w:highlight w:val="none"/>
                <w:u w:val="single"/>
                <w:lang w:val="en-US" w:eastAsia="zh-CN"/>
              </w:rPr>
              <w:t xml:space="preserve"> </w:t>
            </w:r>
            <w:r>
              <w:rPr>
                <w:rFonts w:hint="eastAsia" w:cs="宋体"/>
                <w:color w:val="0000FF"/>
                <w:sz w:val="21"/>
                <w:szCs w:val="21"/>
                <w:highlight w:val="none"/>
                <w:u w:val="single"/>
                <w:lang w:val="en-US" w:eastAsia="zh-CN"/>
              </w:rPr>
              <w:t xml:space="preserve">/ </w:t>
            </w:r>
          </w:p>
          <w:p>
            <w:pPr>
              <w:widowControl/>
              <w:tabs>
                <w:tab w:val="left" w:pos="100"/>
                <w:tab w:val="left" w:pos="700"/>
              </w:tabs>
              <w:spacing w:line="300" w:lineRule="auto"/>
              <w:ind w:firstLine="457" w:firstLineChars="218"/>
              <w:jc w:val="left"/>
              <w:rPr>
                <w:rFonts w:cs="宋体"/>
                <w:bCs/>
                <w:iCs/>
                <w:color w:val="auto"/>
                <w:sz w:val="21"/>
                <w:szCs w:val="21"/>
                <w:highlight w:val="none"/>
              </w:rPr>
            </w:pPr>
            <w:r>
              <w:rPr>
                <w:rFonts w:hint="eastAsia" w:cs="宋体"/>
                <w:bCs/>
                <w:iCs/>
                <w:color w:val="auto"/>
                <w:sz w:val="21"/>
                <w:szCs w:val="21"/>
                <w:highlight w:val="none"/>
              </w:rPr>
              <w:t>（2）“类似工程业绩”时间以竣工验收日期为准，若竣工验收证明材料有多个日期的，则以建设单位或监理单位签署的最后日期为准。</w:t>
            </w:r>
          </w:p>
          <w:p>
            <w:pPr>
              <w:widowControl/>
              <w:tabs>
                <w:tab w:val="left" w:pos="100"/>
                <w:tab w:val="left" w:pos="700"/>
              </w:tabs>
              <w:spacing w:line="300" w:lineRule="auto"/>
              <w:ind w:firstLine="457" w:firstLineChars="218"/>
              <w:jc w:val="left"/>
              <w:rPr>
                <w:rFonts w:cs="宋体"/>
                <w:bCs/>
                <w:iCs/>
                <w:color w:val="auto"/>
                <w:sz w:val="21"/>
                <w:szCs w:val="21"/>
                <w:highlight w:val="none"/>
              </w:rPr>
            </w:pPr>
            <w:r>
              <w:rPr>
                <w:rFonts w:hint="eastAsia" w:cs="宋体"/>
                <w:bCs/>
                <w:iCs/>
                <w:color w:val="auto"/>
                <w:sz w:val="21"/>
                <w:szCs w:val="21"/>
                <w:highlight w:val="none"/>
              </w:rPr>
              <w:t>（3）若业绩合同或竣工验收证明材料中均未标明招标文件中设置的“类似工程业绩”指标，应补充提交能恰当说明上述特征的证明材料，如：工程竣工图，工程造价的结算书或建设单位出具的证明文件等，否则其业绩不计。</w:t>
            </w:r>
          </w:p>
          <w:p>
            <w:pPr>
              <w:tabs>
                <w:tab w:val="left" w:pos="100"/>
                <w:tab w:val="left" w:pos="700"/>
              </w:tabs>
              <w:spacing w:line="300" w:lineRule="auto"/>
              <w:ind w:firstLine="457" w:firstLineChars="218"/>
              <w:rPr>
                <w:rFonts w:cs="宋体"/>
                <w:bCs/>
                <w:iCs/>
                <w:color w:val="auto"/>
                <w:sz w:val="21"/>
                <w:szCs w:val="21"/>
                <w:highlight w:val="none"/>
              </w:rPr>
            </w:pPr>
            <w:r>
              <w:rPr>
                <w:rFonts w:hint="eastAsia" w:cs="宋体"/>
                <w:bCs/>
                <w:iCs/>
                <w:color w:val="auto"/>
                <w:sz w:val="21"/>
                <w:szCs w:val="21"/>
                <w:highlight w:val="none"/>
              </w:rPr>
              <w:t>3.投标人提供的在福建省行政区域外完成的业绩，必须是通过住房和城乡建设部门户网站的全国建筑市场监管公共服务平台查询得到其竣工验收信息；提供的在福建省行政区域内完成的业绩，必须是通过福建住房和城乡建设网的福建省建设行业信息公开平台查询得到其竣工验收信息。且查询到的竣工验收信息数据应能满足本招标工程设置的指标要求，否则，其业绩不计。</w:t>
            </w:r>
          </w:p>
          <w:p>
            <w:pPr>
              <w:shd w:val="clear" w:color="000000" w:fill="FFFFFF"/>
              <w:spacing w:line="300" w:lineRule="auto"/>
              <w:ind w:firstLine="485"/>
              <w:rPr>
                <w:rFonts w:cs="宋体"/>
                <w:color w:val="auto"/>
                <w:sz w:val="21"/>
                <w:szCs w:val="21"/>
                <w:highlight w:val="none"/>
                <w:u w:val="single"/>
              </w:rPr>
            </w:pPr>
            <w:r>
              <w:rPr>
                <w:rFonts w:hint="eastAsia" w:cs="宋体"/>
                <w:bCs/>
                <w:iCs/>
                <w:color w:val="auto"/>
                <w:sz w:val="21"/>
                <w:szCs w:val="21"/>
                <w:highlight w:val="none"/>
              </w:rPr>
              <w:t>4.通过上述平台查询的“类似工程业绩”指标与上述第2款“类似工程业绩”证明材料的同一指标特征不一致的，以最小值为准。通过上述平台查询的“竣工验收日期”与上述第2款竣工验收证明材料上的竣工验收日期不一致的，以较早时间为准。上述平台没有载明竣工验收日期，或上述第2项竣工验收证明没有签署竣工验收日期的，其业绩不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tabs>
                <w:tab w:val="right" w:pos="8639"/>
              </w:tabs>
              <w:spacing w:line="300" w:lineRule="auto"/>
              <w:jc w:val="center"/>
              <w:rPr>
                <w:rFonts w:cs="宋体"/>
                <w:b/>
                <w:bCs/>
                <w:color w:val="auto"/>
                <w:kern w:val="1"/>
                <w:sz w:val="21"/>
                <w:szCs w:val="21"/>
                <w:highlight w:val="none"/>
              </w:rPr>
            </w:pPr>
            <w:r>
              <w:rPr>
                <w:rFonts w:hint="eastAsia" w:cs="宋体"/>
                <w:b/>
                <w:bCs/>
                <w:color w:val="auto"/>
                <w:kern w:val="1"/>
                <w:sz w:val="21"/>
                <w:szCs w:val="21"/>
                <w:highlight w:val="none"/>
              </w:rPr>
              <w:t>3</w:t>
            </w:r>
          </w:p>
        </w:tc>
        <w:tc>
          <w:tcPr>
            <w:tcW w:w="1559" w:type="dxa"/>
            <w:vAlign w:val="center"/>
          </w:tcPr>
          <w:p>
            <w:pPr>
              <w:tabs>
                <w:tab w:val="right" w:pos="8639"/>
              </w:tabs>
              <w:spacing w:line="300" w:lineRule="auto"/>
              <w:jc w:val="center"/>
              <w:rPr>
                <w:rFonts w:cs="宋体"/>
                <w:b/>
                <w:bCs/>
                <w:color w:val="auto"/>
                <w:kern w:val="1"/>
                <w:sz w:val="21"/>
                <w:szCs w:val="21"/>
                <w:highlight w:val="none"/>
              </w:rPr>
            </w:pPr>
            <w:r>
              <w:rPr>
                <w:rFonts w:hint="eastAsia" w:cs="宋体"/>
                <w:color w:val="auto"/>
                <w:kern w:val="1"/>
                <w:sz w:val="21"/>
                <w:szCs w:val="21"/>
                <w:highlight w:val="none"/>
              </w:rPr>
              <w:t>信用要求</w:t>
            </w:r>
          </w:p>
        </w:tc>
        <w:tc>
          <w:tcPr>
            <w:tcW w:w="7088" w:type="dxa"/>
            <w:vAlign w:val="center"/>
          </w:tcPr>
          <w:p>
            <w:pPr>
              <w:pStyle w:val="9"/>
              <w:snapToGrid w:val="0"/>
              <w:spacing w:line="300" w:lineRule="auto"/>
              <w:ind w:firstLine="525" w:firstLineChars="250"/>
              <w:rPr>
                <w:rFonts w:cs="宋体"/>
                <w:color w:val="auto"/>
                <w:sz w:val="21"/>
                <w:szCs w:val="21"/>
                <w:highlight w:val="none"/>
              </w:rPr>
            </w:pPr>
            <w:r>
              <w:rPr>
                <w:rFonts w:hint="eastAsia" w:cs="宋体"/>
                <w:color w:val="auto"/>
                <w:sz w:val="21"/>
                <w:szCs w:val="21"/>
                <w:highlight w:val="none"/>
              </w:rPr>
              <w:t>投标人的厦门市建筑施工企业信用综合评价结果为：</w:t>
            </w:r>
            <w:r>
              <w:rPr>
                <w:rFonts w:hint="eastAsia" w:cs="宋体"/>
                <w:color w:val="auto"/>
                <w:sz w:val="21"/>
                <w:szCs w:val="21"/>
                <w:highlight w:val="none"/>
                <w:u w:val="single" w:color="000000"/>
              </w:rPr>
              <w:t xml:space="preserve"> </w:t>
            </w:r>
            <w:r>
              <w:rPr>
                <w:rFonts w:hint="eastAsia" w:cs="宋体"/>
                <w:color w:val="0000FF"/>
                <w:kern w:val="0"/>
                <w:sz w:val="21"/>
                <w:szCs w:val="21"/>
                <w:highlight w:val="none"/>
                <w:u w:val="single"/>
                <w:lang w:val="en-US" w:eastAsia="zh-CN"/>
              </w:rPr>
              <w:t>/</w:t>
            </w:r>
            <w:r>
              <w:rPr>
                <w:rFonts w:hint="eastAsia" w:cs="宋体"/>
                <w:color w:val="auto"/>
                <w:sz w:val="21"/>
                <w:szCs w:val="21"/>
                <w:highlight w:val="none"/>
                <w:u w:val="single" w:color="000000"/>
              </w:rPr>
              <w:t xml:space="preserve"> </w:t>
            </w:r>
            <w:r>
              <w:rPr>
                <w:rFonts w:hint="eastAsia" w:cs="宋体"/>
                <w:color w:val="auto"/>
                <w:sz w:val="21"/>
                <w:szCs w:val="21"/>
                <w:highlight w:val="none"/>
              </w:rPr>
              <w:t>年度信用综合评价的信用等级为</w:t>
            </w:r>
            <w:r>
              <w:rPr>
                <w:rFonts w:hint="eastAsia" w:cs="宋体"/>
                <w:color w:val="auto"/>
                <w:sz w:val="21"/>
                <w:szCs w:val="21"/>
                <w:highlight w:val="none"/>
                <w:u w:val="single"/>
              </w:rPr>
              <w:t xml:space="preserve"> </w:t>
            </w:r>
            <w:r>
              <w:rPr>
                <w:rFonts w:hint="eastAsia" w:cs="宋体"/>
                <w:color w:val="0000FF"/>
                <w:kern w:val="0"/>
                <w:sz w:val="21"/>
                <w:szCs w:val="21"/>
                <w:highlight w:val="none"/>
                <w:u w:val="single"/>
                <w:lang w:val="en-US" w:eastAsia="zh-CN" w:bidi="ar"/>
              </w:rPr>
              <w:t>/</w:t>
            </w:r>
            <w:r>
              <w:rPr>
                <w:rFonts w:hint="eastAsia" w:cs="宋体"/>
                <w:color w:val="auto"/>
                <w:sz w:val="21"/>
                <w:szCs w:val="21"/>
                <w:highlight w:val="none"/>
              </w:rPr>
              <w:t xml:space="preserve">级别。按照投标人须知前附表第1.4.2项第1条组成联合体投标的，以联合体协议书确定联合体投标人的信用综合评价等级；按照投标人须知前附表第1.4.2项第2条组成联合体投标的，以联合体成员中信用综合评价等级最低的企业确定联合体投标人的信用综合评价等级。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tabs>
                <w:tab w:val="right" w:pos="8639"/>
              </w:tabs>
              <w:spacing w:line="300" w:lineRule="auto"/>
              <w:jc w:val="center"/>
              <w:rPr>
                <w:rFonts w:cs="宋体"/>
                <w:b/>
                <w:bCs/>
                <w:color w:val="auto"/>
                <w:kern w:val="1"/>
                <w:sz w:val="21"/>
                <w:szCs w:val="21"/>
                <w:highlight w:val="none"/>
              </w:rPr>
            </w:pPr>
            <w:r>
              <w:rPr>
                <w:rFonts w:hint="eastAsia" w:cs="宋体"/>
                <w:b/>
                <w:bCs/>
                <w:color w:val="auto"/>
                <w:kern w:val="1"/>
                <w:sz w:val="21"/>
                <w:szCs w:val="21"/>
                <w:highlight w:val="none"/>
              </w:rPr>
              <w:t>4</w:t>
            </w:r>
          </w:p>
        </w:tc>
        <w:tc>
          <w:tcPr>
            <w:tcW w:w="1559" w:type="dxa"/>
            <w:vAlign w:val="center"/>
          </w:tcPr>
          <w:p>
            <w:pPr>
              <w:tabs>
                <w:tab w:val="right" w:pos="8639"/>
              </w:tabs>
              <w:spacing w:line="300" w:lineRule="auto"/>
              <w:jc w:val="center"/>
              <w:rPr>
                <w:rFonts w:cs="宋体"/>
                <w:b/>
                <w:bCs/>
                <w:color w:val="auto"/>
                <w:kern w:val="1"/>
                <w:sz w:val="21"/>
                <w:szCs w:val="21"/>
                <w:highlight w:val="none"/>
              </w:rPr>
            </w:pPr>
            <w:r>
              <w:rPr>
                <w:rFonts w:hint="eastAsia" w:cs="宋体"/>
                <w:color w:val="auto"/>
                <w:kern w:val="1"/>
                <w:sz w:val="21"/>
                <w:szCs w:val="21"/>
                <w:highlight w:val="none"/>
              </w:rPr>
              <w:t>施工现场管理人员要求</w:t>
            </w:r>
          </w:p>
        </w:tc>
        <w:tc>
          <w:tcPr>
            <w:tcW w:w="7088" w:type="dxa"/>
            <w:vAlign w:val="center"/>
          </w:tcPr>
          <w:p>
            <w:pPr>
              <w:adjustRightInd w:val="0"/>
              <w:snapToGrid w:val="0"/>
              <w:spacing w:line="300" w:lineRule="auto"/>
              <w:ind w:firstLine="420" w:firstLineChars="200"/>
              <w:textAlignment w:val="baseline"/>
              <w:rPr>
                <w:rFonts w:cs="宋体"/>
                <w:bCs/>
                <w:iCs/>
                <w:color w:val="auto"/>
                <w:sz w:val="21"/>
                <w:szCs w:val="21"/>
                <w:highlight w:val="none"/>
              </w:rPr>
            </w:pPr>
            <w:r>
              <w:rPr>
                <w:rFonts w:hint="eastAsia" w:cs="宋体"/>
                <w:bCs/>
                <w:iCs/>
                <w:color w:val="auto"/>
                <w:sz w:val="21"/>
                <w:szCs w:val="21"/>
                <w:highlight w:val="none"/>
              </w:rPr>
              <w:t>1.项目负责人</w:t>
            </w:r>
            <w:r>
              <w:rPr>
                <w:rFonts w:hint="eastAsia" w:cs="宋体"/>
                <w:bCs/>
                <w:iCs/>
                <w:color w:val="auto"/>
                <w:sz w:val="21"/>
                <w:szCs w:val="21"/>
                <w:highlight w:val="none"/>
                <w:u w:val="single"/>
              </w:rPr>
              <w:t xml:space="preserve"> 1 </w:t>
            </w:r>
            <w:r>
              <w:rPr>
                <w:rFonts w:hint="eastAsia" w:cs="宋体"/>
                <w:bCs/>
                <w:iCs/>
                <w:color w:val="auto"/>
                <w:sz w:val="21"/>
                <w:szCs w:val="21"/>
                <w:highlight w:val="none"/>
              </w:rPr>
              <w:t>人，注册建造师专业及等级：</w:t>
            </w:r>
            <w:r>
              <w:rPr>
                <w:rFonts w:hint="eastAsia" w:cs="宋体"/>
                <w:color w:val="auto"/>
                <w:sz w:val="21"/>
                <w:szCs w:val="21"/>
                <w:highlight w:val="none"/>
                <w:u w:val="single" w:color="000000"/>
              </w:rPr>
              <w:t xml:space="preserve"> </w:t>
            </w:r>
            <w:r>
              <w:rPr>
                <w:rFonts w:hint="eastAsia" w:cs="宋体"/>
                <w:color w:val="0000FF"/>
                <w:sz w:val="21"/>
                <w:szCs w:val="21"/>
                <w:highlight w:val="none"/>
                <w:u w:val="single"/>
                <w:lang w:bidi="ar"/>
              </w:rPr>
              <w:t>须具备有效的</w:t>
            </w:r>
            <w:r>
              <w:rPr>
                <w:rFonts w:hint="eastAsia" w:cs="宋体"/>
                <w:color w:val="0000FF"/>
                <w:sz w:val="21"/>
                <w:szCs w:val="21"/>
                <w:highlight w:val="none"/>
                <w:u w:val="single"/>
                <w:lang w:eastAsia="zh-CN" w:bidi="ar"/>
              </w:rPr>
              <w:t>壹</w:t>
            </w:r>
            <w:r>
              <w:rPr>
                <w:rFonts w:hint="eastAsia" w:cs="宋体"/>
                <w:color w:val="0000FF"/>
                <w:sz w:val="21"/>
                <w:szCs w:val="21"/>
                <w:highlight w:val="none"/>
                <w:u w:val="single"/>
                <w:lang w:bidi="ar"/>
              </w:rPr>
              <w:t>级建筑工程专业注册建造师执业资格</w:t>
            </w:r>
            <w:r>
              <w:rPr>
                <w:rFonts w:hint="eastAsia" w:cs="宋体"/>
                <w:color w:val="auto"/>
                <w:sz w:val="21"/>
                <w:szCs w:val="21"/>
                <w:highlight w:val="none"/>
                <w:u w:val="single" w:color="000000"/>
              </w:rPr>
              <w:t xml:space="preserve"> </w:t>
            </w:r>
            <w:r>
              <w:rPr>
                <w:rFonts w:hint="eastAsia" w:cs="宋体"/>
                <w:bCs/>
                <w:iCs/>
                <w:color w:val="auto"/>
                <w:sz w:val="21"/>
                <w:szCs w:val="21"/>
                <w:highlight w:val="none"/>
              </w:rPr>
              <w:t>，并持有合格有效的安全生产考核合格证书B证（无需资质的项目，从其规定）。拟派出项目负责人须附上其有效的注册建造师电子注册证书、身份证和住房和城乡建设行政主管部门颁发的有效的安全生产考核合格证书B证的扫描件并加盖投标人单位公章。拟派出项目负责人必须为独立投标人或联合体牵头人（适用于</w:t>
            </w:r>
            <w:r>
              <w:rPr>
                <w:rFonts w:hint="eastAsia" w:cs="宋体"/>
                <w:color w:val="auto"/>
                <w:sz w:val="21"/>
                <w:szCs w:val="21"/>
                <w:highlight w:val="none"/>
              </w:rPr>
              <w:t>按照投标人须知前附表第1.4.2项第2条组成联合体投标的</w:t>
            </w:r>
            <w:r>
              <w:rPr>
                <w:rFonts w:hint="eastAsia" w:cs="宋体"/>
                <w:bCs/>
                <w:iCs/>
                <w:color w:val="auto"/>
                <w:sz w:val="21"/>
                <w:szCs w:val="21"/>
                <w:highlight w:val="none"/>
              </w:rPr>
              <w:t>）或联合体任一成员（适用于</w:t>
            </w:r>
            <w:r>
              <w:rPr>
                <w:rFonts w:hint="eastAsia" w:cs="宋体"/>
                <w:color w:val="auto"/>
                <w:sz w:val="21"/>
                <w:szCs w:val="21"/>
                <w:highlight w:val="none"/>
              </w:rPr>
              <w:t>按照投标人须知前附表第1.4.2项第1条组成联合体投标的</w:t>
            </w:r>
            <w:r>
              <w:rPr>
                <w:rFonts w:hint="eastAsia" w:cs="宋体"/>
                <w:bCs/>
                <w:iCs/>
                <w:color w:val="auto"/>
                <w:sz w:val="21"/>
                <w:szCs w:val="21"/>
                <w:highlight w:val="none"/>
              </w:rPr>
              <w:t>）的本企业在岗人员，以建造师注册证书上的聘用企业为准。</w:t>
            </w:r>
          </w:p>
          <w:p>
            <w:pPr>
              <w:adjustRightInd w:val="0"/>
              <w:snapToGrid w:val="0"/>
              <w:spacing w:line="300" w:lineRule="auto"/>
              <w:ind w:firstLine="420" w:firstLineChars="200"/>
              <w:textAlignment w:val="baseline"/>
              <w:rPr>
                <w:rFonts w:cs="宋体"/>
                <w:bCs/>
                <w:iCs/>
                <w:color w:val="auto"/>
                <w:sz w:val="21"/>
                <w:szCs w:val="21"/>
                <w:highlight w:val="none"/>
              </w:rPr>
            </w:pPr>
            <w:r>
              <w:rPr>
                <w:rFonts w:hint="eastAsia" w:cs="宋体"/>
                <w:bCs/>
                <w:iCs/>
                <w:color w:val="auto"/>
                <w:sz w:val="21"/>
                <w:szCs w:val="21"/>
                <w:highlight w:val="none"/>
              </w:rPr>
              <w:t xml:space="preserve">2.项目技术负责人 </w:t>
            </w:r>
            <w:r>
              <w:rPr>
                <w:rFonts w:hint="eastAsia" w:cs="宋体"/>
                <w:bCs/>
                <w:iCs/>
                <w:color w:val="auto"/>
                <w:sz w:val="21"/>
                <w:szCs w:val="21"/>
                <w:highlight w:val="none"/>
                <w:u w:val="single"/>
              </w:rPr>
              <w:t xml:space="preserve"> </w:t>
            </w:r>
            <w:r>
              <w:rPr>
                <w:rFonts w:hint="eastAsia" w:cs="宋体"/>
                <w:bCs/>
                <w:iCs/>
                <w:color w:val="0000FF"/>
                <w:sz w:val="21"/>
                <w:szCs w:val="21"/>
                <w:highlight w:val="none"/>
                <w:u w:val="single"/>
              </w:rPr>
              <w:t>1</w:t>
            </w:r>
            <w:r>
              <w:rPr>
                <w:rFonts w:hint="eastAsia" w:cs="宋体"/>
                <w:bCs/>
                <w:iCs/>
                <w:color w:val="auto"/>
                <w:sz w:val="21"/>
                <w:szCs w:val="21"/>
                <w:highlight w:val="none"/>
              </w:rPr>
              <w:t>人，职称：</w:t>
            </w:r>
            <w:r>
              <w:rPr>
                <w:rFonts w:hint="eastAsia" w:cs="宋体"/>
                <w:color w:val="auto"/>
                <w:sz w:val="21"/>
                <w:szCs w:val="21"/>
                <w:highlight w:val="none"/>
                <w:u w:val="single"/>
              </w:rPr>
              <w:t xml:space="preserve"> </w:t>
            </w:r>
            <w:r>
              <w:rPr>
                <w:rFonts w:hint="eastAsia" w:cs="宋体"/>
                <w:b/>
                <w:bCs/>
                <w:iCs/>
                <w:color w:val="FF0000"/>
                <w:sz w:val="21"/>
                <w:szCs w:val="21"/>
                <w:highlight w:val="none"/>
                <w:u w:val="single"/>
              </w:rPr>
              <w:t>高级</w:t>
            </w:r>
            <w:r>
              <w:rPr>
                <w:rFonts w:hint="eastAsia" w:cs="宋体"/>
                <w:b/>
                <w:bCs/>
                <w:iCs/>
                <w:color w:val="auto"/>
                <w:sz w:val="21"/>
                <w:szCs w:val="21"/>
                <w:highlight w:val="none"/>
                <w:u w:val="single"/>
              </w:rPr>
              <w:t>及以上工程类职称（只考核工程师职称等级，无需考核职称专业）</w:t>
            </w:r>
            <w:r>
              <w:rPr>
                <w:rFonts w:hint="eastAsia" w:cs="宋体"/>
                <w:bCs/>
                <w:iCs/>
                <w:color w:val="auto"/>
                <w:sz w:val="21"/>
                <w:szCs w:val="21"/>
                <w:highlight w:val="none"/>
              </w:rPr>
              <w:t>。拟派出项目技术负责人须附上其职称证书能够证明其资格符合招标文件要求职称等级的相关证明材料扫描件并加盖投标人单位公章。</w:t>
            </w:r>
          </w:p>
          <w:p>
            <w:pPr>
              <w:adjustRightInd w:val="0"/>
              <w:snapToGrid w:val="0"/>
              <w:spacing w:line="300" w:lineRule="auto"/>
              <w:ind w:firstLine="420" w:firstLineChars="200"/>
              <w:textAlignment w:val="baseline"/>
              <w:rPr>
                <w:rFonts w:cs="宋体"/>
                <w:bCs/>
                <w:iCs/>
                <w:color w:val="auto"/>
                <w:sz w:val="21"/>
                <w:szCs w:val="21"/>
                <w:highlight w:val="none"/>
              </w:rPr>
            </w:pPr>
            <w:r>
              <w:rPr>
                <w:rFonts w:hint="eastAsia" w:cs="宋体"/>
                <w:bCs/>
                <w:iCs/>
                <w:color w:val="auto"/>
                <w:sz w:val="21"/>
                <w:szCs w:val="21"/>
                <w:highlight w:val="none"/>
              </w:rPr>
              <w:t>拟派出项目技术负责人必须为独立投标人或联合体牵头人（适用于</w:t>
            </w:r>
            <w:r>
              <w:rPr>
                <w:rFonts w:hint="eastAsia" w:cs="宋体"/>
                <w:color w:val="auto"/>
                <w:sz w:val="21"/>
                <w:szCs w:val="21"/>
                <w:highlight w:val="none"/>
              </w:rPr>
              <w:t>按照投标人须知前附表第1.4.2项第2条组成联合体投标的</w:t>
            </w:r>
            <w:r>
              <w:rPr>
                <w:rFonts w:hint="eastAsia" w:cs="宋体"/>
                <w:bCs/>
                <w:iCs/>
                <w:color w:val="auto"/>
                <w:sz w:val="21"/>
                <w:szCs w:val="21"/>
                <w:highlight w:val="none"/>
              </w:rPr>
              <w:t>）或联合体任一成员（适用于</w:t>
            </w:r>
            <w:r>
              <w:rPr>
                <w:rFonts w:hint="eastAsia" w:cs="宋体"/>
                <w:color w:val="auto"/>
                <w:sz w:val="21"/>
                <w:szCs w:val="21"/>
                <w:highlight w:val="none"/>
              </w:rPr>
              <w:t>按照投标人须知前附表第1.4.2项第1条组成联合体投标的</w:t>
            </w:r>
            <w:r>
              <w:rPr>
                <w:rFonts w:hint="eastAsia" w:cs="宋体"/>
                <w:bCs/>
                <w:iCs/>
                <w:color w:val="auto"/>
                <w:sz w:val="21"/>
                <w:szCs w:val="21"/>
                <w:highlight w:val="none"/>
              </w:rPr>
              <w:t>）的本企业在岗人员，以住房和城乡建设行政主管部门颁发的有效执业注册证书或社保管理部门出具的社保缴费证明所署单位为准，社保证明应符合以下要求：（1）应提供社保管理部门出具的有效社保证明原件的扫描件；（2）应自招标项目投标截止之日的上一个月起算，往前追溯，在投标企业连续缴费六个月及以上；（3）在上述六个月连续缴费期内，该人员不得存在由其他单位缴交社保的情形，否则视为非该投标企业在岗人员，不符合施工现场管理人员资格要求。新取得资质或新办理资质转移的投标人，拟派项目技术负责人无法满足连续缴交社保费累计六个月及以上要求的，应提供社保管理部门出具的自取得资质证书之日起至投标截止之日的上一个月连续缴交社保的有效证明扫描件，缴费期间存在由其他单位缴交社保费情形的，视为非该投标企业在岗人员，不符合施工现场管理人员资格要求。社保由上级单位统筹缴纳的，还应提供上级单位出具的统筹缴纳证明。</w:t>
            </w:r>
          </w:p>
          <w:p>
            <w:pPr>
              <w:tabs>
                <w:tab w:val="left" w:pos="100"/>
                <w:tab w:val="left" w:pos="700"/>
              </w:tabs>
              <w:spacing w:line="400" w:lineRule="exact"/>
              <w:ind w:firstLine="315" w:firstLineChars="150"/>
              <w:rPr>
                <w:rFonts w:cs="宋体"/>
                <w:color w:val="auto"/>
                <w:kern w:val="2"/>
                <w:sz w:val="21"/>
                <w:szCs w:val="21"/>
                <w:highlight w:val="none"/>
              </w:rPr>
            </w:pPr>
            <w:r>
              <w:rPr>
                <w:rFonts w:hint="eastAsia" w:cs="宋体"/>
                <w:color w:val="auto"/>
                <w:sz w:val="21"/>
                <w:szCs w:val="21"/>
                <w:highlight w:val="none"/>
              </w:rPr>
              <w:t>3.</w:t>
            </w:r>
            <w:r>
              <w:rPr>
                <w:rFonts w:hint="eastAsia" w:cs="宋体"/>
                <w:color w:val="auto"/>
                <w:kern w:val="2"/>
                <w:sz w:val="21"/>
                <w:szCs w:val="21"/>
                <w:highlight w:val="none"/>
              </w:rPr>
              <w:t xml:space="preserve"> 其他施工现场管理人员根据《福建省房建和市政基础设施工程项目部施工管理人员配备标准》（闽建建〔2018〕37号文附件1，文件有修改或更新的，则以修改或更新后的内容为准）的</w:t>
            </w:r>
            <w:r>
              <w:rPr>
                <w:rFonts w:cs="宋体"/>
                <w:color w:val="auto"/>
                <w:kern w:val="2"/>
                <w:sz w:val="21"/>
                <w:szCs w:val="21"/>
                <w:highlight w:val="none"/>
              </w:rPr>
              <w:t>最低</w:t>
            </w:r>
            <w:r>
              <w:rPr>
                <w:rFonts w:hint="eastAsia" w:cs="宋体"/>
                <w:color w:val="auto"/>
                <w:kern w:val="2"/>
                <w:sz w:val="21"/>
                <w:szCs w:val="21"/>
                <w:highlight w:val="none"/>
              </w:rPr>
              <w:t>配备</w:t>
            </w:r>
            <w:r>
              <w:rPr>
                <w:rFonts w:cs="宋体"/>
                <w:color w:val="auto"/>
                <w:kern w:val="2"/>
                <w:sz w:val="21"/>
                <w:szCs w:val="21"/>
                <w:highlight w:val="none"/>
              </w:rPr>
              <w:t>标准以及</w:t>
            </w:r>
            <w:r>
              <w:rPr>
                <w:rFonts w:hint="eastAsia" w:cs="宋体"/>
                <w:color w:val="auto"/>
                <w:kern w:val="2"/>
                <w:sz w:val="21"/>
                <w:szCs w:val="21"/>
                <w:highlight w:val="none"/>
              </w:rPr>
              <w:t>《福建省住房和城乡建设厅关于启用政务服务系统拟派出施工现场管理人员配备功能的通知》（闽建筑函〔2022〕35号），设置相应岗位和数量。要求如下：</w:t>
            </w:r>
          </w:p>
          <w:p>
            <w:pPr>
              <w:tabs>
                <w:tab w:val="left" w:pos="100"/>
                <w:tab w:val="left" w:pos="700"/>
              </w:tabs>
              <w:spacing w:line="400" w:lineRule="exact"/>
              <w:ind w:firstLine="315" w:firstLineChars="150"/>
              <w:rPr>
                <w:rFonts w:cs="宋体"/>
                <w:color w:val="auto"/>
                <w:kern w:val="2"/>
                <w:sz w:val="21"/>
                <w:szCs w:val="21"/>
                <w:highlight w:val="none"/>
              </w:rPr>
            </w:pPr>
            <w:r>
              <w:rPr>
                <w:rFonts w:hint="eastAsia" w:cs="宋体"/>
                <w:color w:val="auto"/>
                <w:kern w:val="2"/>
                <w:sz w:val="21"/>
                <w:szCs w:val="21"/>
                <w:highlight w:val="none"/>
              </w:rPr>
              <w:t>专职安全生产管理人员（安全员）：</w:t>
            </w:r>
            <w:r>
              <w:rPr>
                <w:rFonts w:hint="eastAsia" w:cs="宋体"/>
                <w:color w:val="auto"/>
                <w:kern w:val="2"/>
                <w:sz w:val="21"/>
                <w:szCs w:val="21"/>
                <w:highlight w:val="none"/>
                <w:u w:val="single"/>
              </w:rPr>
              <w:t xml:space="preserve"> </w:t>
            </w:r>
            <w:r>
              <w:rPr>
                <w:rFonts w:hint="eastAsia" w:cs="宋体"/>
                <w:color w:val="0000FF"/>
                <w:kern w:val="2"/>
                <w:sz w:val="21"/>
                <w:szCs w:val="21"/>
                <w:highlight w:val="none"/>
                <w:u w:val="single"/>
                <w:lang w:val="en-US" w:eastAsia="zh-CN"/>
              </w:rPr>
              <w:t>2</w:t>
            </w:r>
            <w:r>
              <w:rPr>
                <w:rFonts w:hint="eastAsia" w:cs="宋体"/>
                <w:color w:val="auto"/>
                <w:kern w:val="2"/>
                <w:sz w:val="21"/>
                <w:szCs w:val="21"/>
                <w:highlight w:val="none"/>
                <w:u w:val="single"/>
              </w:rPr>
              <w:t xml:space="preserve"> </w:t>
            </w:r>
            <w:r>
              <w:rPr>
                <w:rFonts w:hint="eastAsia" w:cs="宋体"/>
                <w:color w:val="auto"/>
                <w:kern w:val="2"/>
                <w:sz w:val="21"/>
                <w:szCs w:val="21"/>
                <w:highlight w:val="none"/>
              </w:rPr>
              <w:t>人；</w:t>
            </w:r>
          </w:p>
          <w:p>
            <w:pPr>
              <w:tabs>
                <w:tab w:val="left" w:pos="100"/>
                <w:tab w:val="left" w:pos="700"/>
              </w:tabs>
              <w:spacing w:line="400" w:lineRule="exact"/>
              <w:ind w:firstLine="315" w:firstLineChars="150"/>
              <w:rPr>
                <w:rFonts w:cs="宋体"/>
                <w:color w:val="auto"/>
                <w:kern w:val="2"/>
                <w:sz w:val="21"/>
                <w:szCs w:val="21"/>
                <w:highlight w:val="none"/>
              </w:rPr>
            </w:pPr>
            <w:r>
              <w:rPr>
                <w:rFonts w:hint="eastAsia" w:cs="宋体"/>
                <w:color w:val="auto"/>
                <w:kern w:val="2"/>
                <w:sz w:val="21"/>
                <w:szCs w:val="21"/>
                <w:highlight w:val="none"/>
              </w:rPr>
              <w:t>施工员：</w:t>
            </w:r>
            <w:r>
              <w:rPr>
                <w:rFonts w:hint="eastAsia" w:cs="宋体"/>
                <w:color w:val="auto"/>
                <w:kern w:val="2"/>
                <w:sz w:val="21"/>
                <w:szCs w:val="21"/>
                <w:highlight w:val="none"/>
                <w:u w:val="single"/>
              </w:rPr>
              <w:t xml:space="preserve"> </w:t>
            </w:r>
            <w:r>
              <w:rPr>
                <w:rFonts w:hint="eastAsia" w:cs="宋体"/>
                <w:color w:val="0000FF"/>
                <w:kern w:val="2"/>
                <w:sz w:val="21"/>
                <w:szCs w:val="21"/>
                <w:highlight w:val="none"/>
                <w:u w:val="single"/>
              </w:rPr>
              <w:t>3（含土建施工员 2 人、设备安装施工员 1 人）</w:t>
            </w:r>
            <w:r>
              <w:rPr>
                <w:rFonts w:hint="eastAsia" w:cs="宋体"/>
                <w:color w:val="auto"/>
                <w:kern w:val="2"/>
                <w:sz w:val="21"/>
                <w:szCs w:val="21"/>
                <w:highlight w:val="none"/>
                <w:u w:val="single"/>
              </w:rPr>
              <w:t xml:space="preserve"> </w:t>
            </w:r>
            <w:r>
              <w:rPr>
                <w:rFonts w:hint="eastAsia" w:cs="宋体"/>
                <w:color w:val="auto"/>
                <w:kern w:val="2"/>
                <w:sz w:val="21"/>
                <w:szCs w:val="21"/>
                <w:highlight w:val="none"/>
              </w:rPr>
              <w:t>人；</w:t>
            </w:r>
          </w:p>
          <w:p>
            <w:pPr>
              <w:tabs>
                <w:tab w:val="left" w:pos="100"/>
                <w:tab w:val="left" w:pos="700"/>
              </w:tabs>
              <w:spacing w:line="400" w:lineRule="exact"/>
              <w:ind w:firstLine="315" w:firstLineChars="150"/>
              <w:rPr>
                <w:rFonts w:cs="宋体"/>
                <w:color w:val="auto"/>
                <w:kern w:val="2"/>
                <w:sz w:val="21"/>
                <w:szCs w:val="21"/>
                <w:highlight w:val="none"/>
              </w:rPr>
            </w:pPr>
            <w:r>
              <w:rPr>
                <w:rFonts w:hint="eastAsia" w:cs="宋体"/>
                <w:color w:val="auto"/>
                <w:kern w:val="2"/>
                <w:sz w:val="21"/>
                <w:szCs w:val="21"/>
                <w:highlight w:val="none"/>
              </w:rPr>
              <w:t>质量员：</w:t>
            </w:r>
            <w:r>
              <w:rPr>
                <w:rFonts w:hint="eastAsia" w:cs="宋体"/>
                <w:color w:val="auto"/>
                <w:kern w:val="2"/>
                <w:sz w:val="21"/>
                <w:szCs w:val="21"/>
                <w:highlight w:val="none"/>
                <w:u w:val="single"/>
              </w:rPr>
              <w:t xml:space="preserve"> </w:t>
            </w:r>
            <w:r>
              <w:rPr>
                <w:rFonts w:hint="eastAsia" w:cs="宋体"/>
                <w:color w:val="0000FF"/>
                <w:kern w:val="2"/>
                <w:sz w:val="21"/>
                <w:szCs w:val="21"/>
                <w:highlight w:val="none"/>
                <w:u w:val="single"/>
              </w:rPr>
              <w:t>1</w:t>
            </w:r>
            <w:r>
              <w:rPr>
                <w:rFonts w:hint="eastAsia" w:cs="宋体"/>
                <w:color w:val="auto"/>
                <w:kern w:val="2"/>
                <w:sz w:val="21"/>
                <w:szCs w:val="21"/>
                <w:highlight w:val="none"/>
                <w:u w:val="single"/>
              </w:rPr>
              <w:t xml:space="preserve">  </w:t>
            </w:r>
            <w:r>
              <w:rPr>
                <w:rFonts w:hint="eastAsia" w:cs="宋体"/>
                <w:color w:val="auto"/>
                <w:kern w:val="2"/>
                <w:sz w:val="21"/>
                <w:szCs w:val="21"/>
                <w:highlight w:val="none"/>
              </w:rPr>
              <w:t>人；</w:t>
            </w:r>
          </w:p>
          <w:p>
            <w:pPr>
              <w:tabs>
                <w:tab w:val="left" w:pos="100"/>
                <w:tab w:val="left" w:pos="700"/>
              </w:tabs>
              <w:spacing w:line="400" w:lineRule="exact"/>
              <w:ind w:firstLine="315" w:firstLineChars="150"/>
              <w:rPr>
                <w:rFonts w:cs="宋体"/>
                <w:color w:val="auto"/>
                <w:kern w:val="2"/>
                <w:sz w:val="21"/>
                <w:szCs w:val="21"/>
                <w:highlight w:val="none"/>
              </w:rPr>
            </w:pPr>
            <w:r>
              <w:rPr>
                <w:rFonts w:hint="eastAsia" w:cs="宋体"/>
                <w:color w:val="auto"/>
                <w:kern w:val="2"/>
                <w:sz w:val="21"/>
                <w:szCs w:val="21"/>
                <w:highlight w:val="none"/>
              </w:rPr>
              <w:t>材料员：</w:t>
            </w:r>
            <w:r>
              <w:rPr>
                <w:rFonts w:hint="eastAsia" w:cs="宋体"/>
                <w:color w:val="auto"/>
                <w:kern w:val="2"/>
                <w:sz w:val="21"/>
                <w:szCs w:val="21"/>
                <w:highlight w:val="none"/>
                <w:u w:val="single"/>
              </w:rPr>
              <w:t xml:space="preserve"> </w:t>
            </w:r>
            <w:r>
              <w:rPr>
                <w:rFonts w:hint="eastAsia" w:cs="宋体"/>
                <w:color w:val="0000FF"/>
                <w:kern w:val="2"/>
                <w:sz w:val="21"/>
                <w:szCs w:val="21"/>
                <w:highlight w:val="none"/>
                <w:u w:val="single"/>
              </w:rPr>
              <w:t>1</w:t>
            </w:r>
            <w:r>
              <w:rPr>
                <w:rFonts w:hint="eastAsia" w:cs="宋体"/>
                <w:color w:val="auto"/>
                <w:kern w:val="2"/>
                <w:sz w:val="21"/>
                <w:szCs w:val="21"/>
                <w:highlight w:val="none"/>
                <w:u w:val="single"/>
              </w:rPr>
              <w:t xml:space="preserve">  </w:t>
            </w:r>
            <w:r>
              <w:rPr>
                <w:rFonts w:hint="eastAsia" w:cs="宋体"/>
                <w:color w:val="auto"/>
                <w:kern w:val="2"/>
                <w:sz w:val="21"/>
                <w:szCs w:val="21"/>
                <w:highlight w:val="none"/>
              </w:rPr>
              <w:t>人；</w:t>
            </w:r>
          </w:p>
          <w:p>
            <w:pPr>
              <w:tabs>
                <w:tab w:val="left" w:pos="100"/>
                <w:tab w:val="left" w:pos="700"/>
              </w:tabs>
              <w:spacing w:line="400" w:lineRule="exact"/>
              <w:ind w:firstLine="315" w:firstLineChars="150"/>
              <w:rPr>
                <w:rFonts w:cs="宋体"/>
                <w:color w:val="auto"/>
                <w:kern w:val="2"/>
                <w:sz w:val="21"/>
                <w:szCs w:val="21"/>
                <w:highlight w:val="none"/>
              </w:rPr>
            </w:pPr>
            <w:r>
              <w:rPr>
                <w:rFonts w:hint="eastAsia" w:cs="宋体"/>
                <w:color w:val="auto"/>
                <w:kern w:val="2"/>
                <w:sz w:val="21"/>
                <w:szCs w:val="21"/>
                <w:highlight w:val="none"/>
              </w:rPr>
              <w:t>机械员：</w:t>
            </w:r>
            <w:r>
              <w:rPr>
                <w:rFonts w:hint="eastAsia" w:cs="宋体"/>
                <w:color w:val="auto"/>
                <w:kern w:val="2"/>
                <w:sz w:val="21"/>
                <w:szCs w:val="21"/>
                <w:highlight w:val="none"/>
                <w:u w:val="single"/>
              </w:rPr>
              <w:t xml:space="preserve"> </w:t>
            </w:r>
            <w:r>
              <w:rPr>
                <w:rFonts w:hint="eastAsia" w:cs="宋体"/>
                <w:color w:val="0000FF"/>
                <w:kern w:val="2"/>
                <w:sz w:val="21"/>
                <w:szCs w:val="21"/>
                <w:highlight w:val="none"/>
                <w:u w:val="single"/>
              </w:rPr>
              <w:t>1</w:t>
            </w:r>
            <w:r>
              <w:rPr>
                <w:rFonts w:hint="eastAsia" w:cs="宋体"/>
                <w:color w:val="auto"/>
                <w:kern w:val="2"/>
                <w:sz w:val="21"/>
                <w:szCs w:val="21"/>
                <w:highlight w:val="none"/>
                <w:u w:val="single"/>
              </w:rPr>
              <w:t xml:space="preserve">  </w:t>
            </w:r>
            <w:r>
              <w:rPr>
                <w:rFonts w:hint="eastAsia" w:cs="宋体"/>
                <w:color w:val="auto"/>
                <w:kern w:val="2"/>
                <w:sz w:val="21"/>
                <w:szCs w:val="21"/>
                <w:highlight w:val="none"/>
              </w:rPr>
              <w:t>人；</w:t>
            </w:r>
          </w:p>
          <w:p>
            <w:pPr>
              <w:tabs>
                <w:tab w:val="left" w:pos="100"/>
                <w:tab w:val="left" w:pos="700"/>
              </w:tabs>
              <w:spacing w:line="400" w:lineRule="exact"/>
              <w:ind w:firstLine="315" w:firstLineChars="150"/>
              <w:rPr>
                <w:rFonts w:cs="宋体"/>
                <w:color w:val="auto"/>
                <w:kern w:val="2"/>
                <w:sz w:val="21"/>
                <w:szCs w:val="21"/>
                <w:highlight w:val="none"/>
              </w:rPr>
            </w:pPr>
            <w:r>
              <w:rPr>
                <w:rFonts w:hint="eastAsia" w:cs="宋体"/>
                <w:color w:val="auto"/>
                <w:kern w:val="2"/>
                <w:sz w:val="21"/>
                <w:szCs w:val="21"/>
                <w:highlight w:val="none"/>
              </w:rPr>
              <w:t>劳务员：</w:t>
            </w:r>
            <w:r>
              <w:rPr>
                <w:rFonts w:hint="eastAsia" w:cs="宋体"/>
                <w:color w:val="auto"/>
                <w:kern w:val="2"/>
                <w:sz w:val="21"/>
                <w:szCs w:val="21"/>
                <w:highlight w:val="none"/>
                <w:u w:val="single"/>
              </w:rPr>
              <w:t xml:space="preserve"> </w:t>
            </w:r>
            <w:r>
              <w:rPr>
                <w:rFonts w:hint="eastAsia" w:cs="宋体"/>
                <w:color w:val="0000FF"/>
                <w:kern w:val="2"/>
                <w:sz w:val="21"/>
                <w:szCs w:val="21"/>
                <w:highlight w:val="none"/>
                <w:u w:val="single"/>
              </w:rPr>
              <w:t>1</w:t>
            </w:r>
            <w:r>
              <w:rPr>
                <w:rFonts w:hint="eastAsia" w:cs="宋体"/>
                <w:color w:val="auto"/>
                <w:kern w:val="2"/>
                <w:sz w:val="21"/>
                <w:szCs w:val="21"/>
                <w:highlight w:val="none"/>
                <w:u w:val="single"/>
              </w:rPr>
              <w:t xml:space="preserve">  </w:t>
            </w:r>
            <w:r>
              <w:rPr>
                <w:rFonts w:hint="eastAsia" w:cs="宋体"/>
                <w:color w:val="auto"/>
                <w:kern w:val="2"/>
                <w:sz w:val="21"/>
                <w:szCs w:val="21"/>
                <w:highlight w:val="none"/>
              </w:rPr>
              <w:t>人；</w:t>
            </w:r>
          </w:p>
          <w:p>
            <w:pPr>
              <w:tabs>
                <w:tab w:val="left" w:pos="100"/>
                <w:tab w:val="left" w:pos="700"/>
              </w:tabs>
              <w:spacing w:line="400" w:lineRule="exact"/>
              <w:ind w:firstLine="315" w:firstLineChars="150"/>
              <w:rPr>
                <w:rFonts w:cs="宋体"/>
                <w:color w:val="auto"/>
                <w:kern w:val="2"/>
                <w:sz w:val="21"/>
                <w:szCs w:val="21"/>
                <w:highlight w:val="none"/>
              </w:rPr>
            </w:pPr>
            <w:r>
              <w:rPr>
                <w:rFonts w:hint="eastAsia" w:cs="宋体"/>
                <w:color w:val="auto"/>
                <w:sz w:val="21"/>
                <w:szCs w:val="21"/>
                <w:highlight w:val="none"/>
              </w:rPr>
              <w:t>其他：</w:t>
            </w:r>
            <w:r>
              <w:rPr>
                <w:rFonts w:hint="eastAsia" w:cs="宋体"/>
                <w:color w:val="auto"/>
                <w:sz w:val="21"/>
                <w:szCs w:val="21"/>
                <w:highlight w:val="none"/>
                <w:u w:val="single"/>
              </w:rPr>
              <w:t xml:space="preserve">  </w:t>
            </w:r>
            <w:r>
              <w:rPr>
                <w:rFonts w:hint="eastAsia" w:cs="宋体"/>
                <w:color w:val="0000FF"/>
                <w:sz w:val="21"/>
                <w:szCs w:val="21"/>
                <w:highlight w:val="none"/>
                <w:u w:val="single"/>
                <w:lang w:val="en-US" w:eastAsia="zh-CN"/>
              </w:rPr>
              <w:t>/</w:t>
            </w:r>
            <w:r>
              <w:rPr>
                <w:rFonts w:hint="eastAsia" w:cs="宋体"/>
                <w:color w:val="auto"/>
                <w:sz w:val="21"/>
                <w:szCs w:val="21"/>
                <w:highlight w:val="none"/>
                <w:u w:val="single"/>
              </w:rPr>
              <w:t xml:space="preserve">    </w:t>
            </w:r>
            <w:r>
              <w:rPr>
                <w:rFonts w:hint="eastAsia" w:cs="宋体"/>
                <w:color w:val="auto"/>
                <w:sz w:val="21"/>
                <w:szCs w:val="21"/>
                <w:highlight w:val="none"/>
              </w:rPr>
              <w:t>。</w:t>
            </w:r>
          </w:p>
          <w:p>
            <w:pPr>
              <w:adjustRightInd w:val="0"/>
              <w:snapToGrid w:val="0"/>
              <w:spacing w:line="300" w:lineRule="auto"/>
              <w:jc w:val="left"/>
              <w:textAlignment w:val="baseline"/>
              <w:rPr>
                <w:rFonts w:cs="宋体"/>
                <w:color w:val="auto"/>
                <w:kern w:val="2"/>
                <w:sz w:val="21"/>
                <w:szCs w:val="21"/>
                <w:highlight w:val="none"/>
              </w:rPr>
            </w:pPr>
            <w:r>
              <w:rPr>
                <w:rFonts w:hint="eastAsia" w:cs="宋体"/>
                <w:color w:val="auto"/>
                <w:kern w:val="2"/>
                <w:sz w:val="21"/>
                <w:szCs w:val="21"/>
                <w:highlight w:val="none"/>
              </w:rPr>
              <w:t>注：</w:t>
            </w:r>
          </w:p>
          <w:p>
            <w:pPr>
              <w:adjustRightInd w:val="0"/>
              <w:snapToGrid w:val="0"/>
              <w:spacing w:line="300" w:lineRule="auto"/>
              <w:ind w:firstLine="210" w:firstLineChars="100"/>
              <w:jc w:val="left"/>
              <w:textAlignment w:val="baseline"/>
              <w:rPr>
                <w:rFonts w:cs="宋体"/>
                <w:b w:val="0"/>
                <w:bCs w:val="0"/>
                <w:iCs/>
                <w:color w:val="auto"/>
                <w:sz w:val="21"/>
                <w:szCs w:val="21"/>
                <w:highlight w:val="none"/>
              </w:rPr>
            </w:pPr>
            <w:r>
              <w:rPr>
                <w:rFonts w:hint="eastAsia" w:cs="宋体"/>
                <w:b w:val="0"/>
                <w:bCs w:val="0"/>
                <w:iCs/>
                <w:color w:val="auto"/>
                <w:sz w:val="21"/>
                <w:szCs w:val="21"/>
                <w:highlight w:val="none"/>
              </w:rPr>
              <w:t>（1）上述拟派出施工现场管理人员须通过福建省住房和城乡建设政务服务系统登记的人员中选取，并在系统上生成《拟派出施工现场管理人员表》后在资格文件中上传。《拟派出施工现场管理人员表》列明的施工现场管理人员，应满足招标文件的人员岗位和数量要求。</w:t>
            </w:r>
          </w:p>
          <w:p>
            <w:pPr>
              <w:adjustRightInd w:val="0"/>
              <w:snapToGrid w:val="0"/>
              <w:spacing w:line="300" w:lineRule="auto"/>
              <w:ind w:firstLine="210" w:firstLineChars="100"/>
              <w:jc w:val="left"/>
              <w:textAlignment w:val="baseline"/>
              <w:rPr>
                <w:rFonts w:cs="宋体"/>
                <w:b w:val="0"/>
                <w:bCs w:val="0"/>
                <w:iCs/>
                <w:color w:val="auto"/>
                <w:sz w:val="21"/>
                <w:szCs w:val="21"/>
                <w:highlight w:val="none"/>
              </w:rPr>
            </w:pPr>
            <w:r>
              <w:rPr>
                <w:rFonts w:hint="eastAsia" w:cs="宋体"/>
                <w:b w:val="0"/>
                <w:bCs w:val="0"/>
                <w:iCs/>
                <w:color w:val="auto"/>
                <w:sz w:val="21"/>
                <w:szCs w:val="21"/>
                <w:highlight w:val="none"/>
              </w:rPr>
              <w:t>（2）上述各类执业注册证书发生变更的，应按有关规定办理完变更手续后方可参加投标，并以发证机关核准的变更为准，否则其投标将被否决。</w:t>
            </w:r>
          </w:p>
          <w:p>
            <w:pPr>
              <w:tabs>
                <w:tab w:val="left" w:pos="100"/>
                <w:tab w:val="left" w:pos="700"/>
              </w:tabs>
              <w:spacing w:line="300" w:lineRule="auto"/>
              <w:ind w:firstLine="210" w:firstLineChars="100"/>
              <w:rPr>
                <w:rFonts w:cs="宋体"/>
                <w:color w:val="auto"/>
                <w:sz w:val="21"/>
                <w:szCs w:val="21"/>
                <w:highlight w:val="none"/>
              </w:rPr>
            </w:pPr>
            <w:r>
              <w:rPr>
                <w:rFonts w:hint="eastAsia" w:cs="宋体"/>
                <w:color w:val="auto"/>
                <w:sz w:val="21"/>
                <w:szCs w:val="21"/>
                <w:highlight w:val="none"/>
              </w:rPr>
              <w:t>（3）</w:t>
            </w:r>
            <w:r>
              <w:rPr>
                <w:rFonts w:hint="eastAsia" w:cs="宋体"/>
                <w:color w:val="auto"/>
                <w:kern w:val="2"/>
                <w:sz w:val="21"/>
                <w:szCs w:val="21"/>
                <w:highlight w:val="none"/>
              </w:rPr>
              <w:t>对除项目负责人、项目技术负责人外的其他施工现场管理人员，资格审查委员会根据《拟派出施工现场管理人员表》仅评审是否满足招标文件规定的人员岗位和数量要求，投标人无需提交其他相关证明材料。</w:t>
            </w:r>
          </w:p>
          <w:p>
            <w:pPr>
              <w:adjustRightInd w:val="0"/>
              <w:spacing w:line="300" w:lineRule="auto"/>
              <w:ind w:firstLine="210" w:firstLineChars="100"/>
              <w:textAlignment w:val="baseline"/>
              <w:rPr>
                <w:rFonts w:cs="宋体"/>
                <w:color w:val="auto"/>
                <w:kern w:val="2"/>
                <w:sz w:val="21"/>
                <w:szCs w:val="21"/>
                <w:highlight w:val="none"/>
              </w:rPr>
            </w:pPr>
            <w:r>
              <w:rPr>
                <w:rFonts w:hint="eastAsia" w:cs="宋体"/>
                <w:color w:val="auto"/>
                <w:kern w:val="2"/>
                <w:sz w:val="21"/>
                <w:szCs w:val="21"/>
                <w:highlight w:val="none"/>
              </w:rPr>
              <w:t>（4）投标人中标后，应按照《拟派出施工现场管理人员表》派出项目部施工现场管理人员，并向招标人提供相应人员证书进行核对。若出现下列情形的，应当无条件地接受招标人作出的以下处理意见：</w:t>
            </w:r>
          </w:p>
          <w:p>
            <w:pPr>
              <w:adjustRightInd w:val="0"/>
              <w:spacing w:line="300" w:lineRule="auto"/>
              <w:ind w:firstLine="420" w:firstLineChars="200"/>
              <w:textAlignment w:val="baseline"/>
              <w:rPr>
                <w:rFonts w:cs="宋体"/>
                <w:color w:val="auto"/>
                <w:kern w:val="2"/>
                <w:sz w:val="21"/>
                <w:szCs w:val="21"/>
                <w:highlight w:val="none"/>
              </w:rPr>
            </w:pPr>
            <w:r>
              <w:rPr>
                <w:rFonts w:hint="eastAsia" w:cs="宋体"/>
                <w:color w:val="auto"/>
                <w:kern w:val="2"/>
                <w:sz w:val="21"/>
                <w:szCs w:val="21"/>
                <w:highlight w:val="none"/>
              </w:rPr>
              <w:t>a.工程开工前，不论是否存在不可抗力原因,项目部施工管理人员无法在合同签订后</w:t>
            </w:r>
            <w:r>
              <w:rPr>
                <w:rFonts w:hint="eastAsia" w:cs="宋体"/>
                <w:color w:val="auto"/>
                <w:kern w:val="2"/>
                <w:sz w:val="21"/>
                <w:szCs w:val="21"/>
                <w:highlight w:val="none"/>
                <w:u w:val="single"/>
              </w:rPr>
              <w:t xml:space="preserve"> </w:t>
            </w:r>
            <w:r>
              <w:rPr>
                <w:rFonts w:hint="eastAsia" w:cs="宋体"/>
                <w:color w:val="0000FF"/>
                <w:kern w:val="2"/>
                <w:sz w:val="21"/>
                <w:szCs w:val="21"/>
                <w:highlight w:val="none"/>
                <w:u w:val="single"/>
                <w:lang w:val="en-US" w:eastAsia="zh-CN"/>
              </w:rPr>
              <w:t>10</w:t>
            </w:r>
            <w:r>
              <w:rPr>
                <w:rFonts w:hint="eastAsia" w:cs="宋体"/>
                <w:color w:val="auto"/>
                <w:kern w:val="2"/>
                <w:sz w:val="21"/>
                <w:szCs w:val="21"/>
                <w:highlight w:val="none"/>
                <w:u w:val="single"/>
              </w:rPr>
              <w:t xml:space="preserve"> </w:t>
            </w:r>
            <w:r>
              <w:rPr>
                <w:rFonts w:hint="eastAsia" w:cs="宋体"/>
                <w:color w:val="auto"/>
                <w:kern w:val="2"/>
                <w:sz w:val="21"/>
                <w:szCs w:val="21"/>
                <w:highlight w:val="none"/>
              </w:rPr>
              <w:t>日内全部通过福建省建设工程监管一体化平台登记的，或无法在合同签订后</w:t>
            </w:r>
            <w:r>
              <w:rPr>
                <w:rFonts w:hint="eastAsia" w:cs="宋体"/>
                <w:color w:val="auto"/>
                <w:kern w:val="2"/>
                <w:sz w:val="21"/>
                <w:szCs w:val="21"/>
                <w:highlight w:val="none"/>
                <w:u w:val="single"/>
              </w:rPr>
              <w:t xml:space="preserve"> </w:t>
            </w:r>
            <w:r>
              <w:rPr>
                <w:rFonts w:hint="eastAsia" w:cs="宋体"/>
                <w:color w:val="0000FF"/>
                <w:kern w:val="2"/>
                <w:sz w:val="21"/>
                <w:szCs w:val="21"/>
                <w:highlight w:val="none"/>
                <w:u w:val="single"/>
                <w:lang w:val="en-US" w:eastAsia="zh-CN"/>
              </w:rPr>
              <w:t>10</w:t>
            </w:r>
            <w:r>
              <w:rPr>
                <w:rFonts w:hint="eastAsia" w:cs="宋体"/>
                <w:color w:val="auto"/>
                <w:kern w:val="2"/>
                <w:sz w:val="21"/>
                <w:szCs w:val="21"/>
                <w:highlight w:val="none"/>
                <w:u w:val="single"/>
              </w:rPr>
              <w:t xml:space="preserve"> </w:t>
            </w:r>
            <w:r>
              <w:rPr>
                <w:rFonts w:hint="eastAsia" w:cs="宋体"/>
                <w:color w:val="auto"/>
                <w:kern w:val="2"/>
                <w:sz w:val="21"/>
                <w:szCs w:val="21"/>
                <w:highlight w:val="none"/>
              </w:rPr>
              <w:t>日内提供《拟派出施工现场管理人员表》登记的人员证书的，或《拟派出施工现场管理人员表》的人员证书信息与实际不一致的，招标人有权解除合同并按违约追究投标人责任；</w:t>
            </w:r>
          </w:p>
          <w:p>
            <w:pPr>
              <w:tabs>
                <w:tab w:val="right" w:pos="8639"/>
              </w:tabs>
              <w:spacing w:line="300" w:lineRule="auto"/>
              <w:ind w:firstLine="420" w:firstLineChars="200"/>
              <w:rPr>
                <w:rFonts w:cs="宋体"/>
                <w:b/>
                <w:bCs/>
                <w:color w:val="auto"/>
                <w:kern w:val="1"/>
                <w:sz w:val="21"/>
                <w:szCs w:val="21"/>
                <w:highlight w:val="none"/>
              </w:rPr>
            </w:pPr>
            <w:r>
              <w:rPr>
                <w:rFonts w:hint="eastAsia" w:cs="宋体"/>
                <w:color w:val="auto"/>
                <w:kern w:val="2"/>
                <w:sz w:val="21"/>
                <w:szCs w:val="21"/>
                <w:highlight w:val="none"/>
              </w:rPr>
              <w:t>b.除不可抗力外, 投标人变更项目负责人或项目技术负责人，每人每次向招标人交纳</w:t>
            </w:r>
            <w:r>
              <w:rPr>
                <w:rFonts w:hint="eastAsia" w:cs="宋体"/>
                <w:color w:val="auto"/>
                <w:kern w:val="2"/>
                <w:sz w:val="21"/>
                <w:szCs w:val="21"/>
                <w:highlight w:val="none"/>
                <w:u w:val="single"/>
              </w:rPr>
              <w:t xml:space="preserve"> </w:t>
            </w:r>
            <w:r>
              <w:rPr>
                <w:rFonts w:hint="eastAsia" w:cs="宋体"/>
                <w:color w:val="0000FF"/>
                <w:kern w:val="2"/>
                <w:sz w:val="21"/>
                <w:szCs w:val="21"/>
                <w:highlight w:val="none"/>
                <w:u w:val="single"/>
                <w:lang w:val="en-US" w:eastAsia="zh-CN"/>
              </w:rPr>
              <w:t xml:space="preserve">50 </w:t>
            </w:r>
            <w:r>
              <w:rPr>
                <w:rFonts w:hint="eastAsia" w:cs="宋体"/>
                <w:color w:val="auto"/>
                <w:kern w:val="2"/>
                <w:sz w:val="21"/>
                <w:szCs w:val="21"/>
                <w:highlight w:val="none"/>
              </w:rPr>
              <w:t>万元违约金；其他管理人员每人每次向招标人交纳</w:t>
            </w:r>
            <w:r>
              <w:rPr>
                <w:rFonts w:hint="eastAsia" w:cs="宋体"/>
                <w:color w:val="0000FF"/>
                <w:kern w:val="2"/>
                <w:sz w:val="21"/>
                <w:szCs w:val="21"/>
                <w:highlight w:val="none"/>
                <w:u w:val="single"/>
                <w:lang w:val="en-US" w:eastAsia="zh-CN"/>
              </w:rPr>
              <w:t>5</w:t>
            </w:r>
            <w:r>
              <w:rPr>
                <w:rFonts w:hint="eastAsia" w:cs="宋体"/>
                <w:color w:val="auto"/>
                <w:kern w:val="2"/>
                <w:sz w:val="21"/>
                <w:szCs w:val="21"/>
                <w:highlight w:val="none"/>
                <w:u w:val="single"/>
              </w:rPr>
              <w:t xml:space="preserve"> </w:t>
            </w:r>
            <w:r>
              <w:rPr>
                <w:rFonts w:hint="eastAsia" w:cs="宋体"/>
                <w:color w:val="auto"/>
                <w:kern w:val="2"/>
                <w:sz w:val="21"/>
                <w:szCs w:val="21"/>
                <w:highlight w:val="none"/>
              </w:rPr>
              <w:t>万元违约金。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tabs>
                <w:tab w:val="right" w:pos="8639"/>
              </w:tabs>
              <w:spacing w:line="300" w:lineRule="auto"/>
              <w:jc w:val="center"/>
              <w:rPr>
                <w:rFonts w:cs="宋体"/>
                <w:b/>
                <w:bCs/>
                <w:color w:val="auto"/>
                <w:kern w:val="1"/>
                <w:sz w:val="21"/>
                <w:szCs w:val="21"/>
                <w:highlight w:val="none"/>
              </w:rPr>
            </w:pPr>
            <w:r>
              <w:rPr>
                <w:rFonts w:hint="eastAsia" w:cs="宋体"/>
                <w:b/>
                <w:bCs/>
                <w:color w:val="auto"/>
                <w:kern w:val="1"/>
                <w:sz w:val="21"/>
                <w:szCs w:val="21"/>
                <w:highlight w:val="none"/>
              </w:rPr>
              <w:t>5</w:t>
            </w:r>
          </w:p>
        </w:tc>
        <w:tc>
          <w:tcPr>
            <w:tcW w:w="1559" w:type="dxa"/>
            <w:vAlign w:val="center"/>
          </w:tcPr>
          <w:p>
            <w:pPr>
              <w:tabs>
                <w:tab w:val="right" w:pos="8639"/>
              </w:tabs>
              <w:spacing w:line="300" w:lineRule="auto"/>
              <w:jc w:val="center"/>
              <w:rPr>
                <w:rFonts w:cs="宋体"/>
                <w:b/>
                <w:bCs/>
                <w:color w:val="auto"/>
                <w:kern w:val="1"/>
                <w:sz w:val="21"/>
                <w:szCs w:val="21"/>
                <w:highlight w:val="none"/>
              </w:rPr>
            </w:pPr>
            <w:r>
              <w:rPr>
                <w:rFonts w:hint="eastAsia" w:cs="宋体"/>
                <w:color w:val="auto"/>
                <w:kern w:val="1"/>
                <w:sz w:val="21"/>
                <w:szCs w:val="21"/>
                <w:highlight w:val="none"/>
              </w:rPr>
              <w:t>其他要求</w:t>
            </w:r>
          </w:p>
        </w:tc>
        <w:tc>
          <w:tcPr>
            <w:tcW w:w="7088" w:type="dxa"/>
            <w:vAlign w:val="center"/>
          </w:tcPr>
          <w:p>
            <w:pPr>
              <w:widowControl/>
              <w:tabs>
                <w:tab w:val="left" w:pos="900"/>
                <w:tab w:val="left" w:pos="1100"/>
              </w:tabs>
              <w:spacing w:line="300" w:lineRule="auto"/>
              <w:ind w:firstLine="436" w:firstLineChars="208"/>
              <w:jc w:val="left"/>
              <w:rPr>
                <w:rFonts w:cs="宋体"/>
                <w:color w:val="auto"/>
                <w:sz w:val="21"/>
                <w:szCs w:val="21"/>
                <w:highlight w:val="none"/>
              </w:rPr>
            </w:pPr>
            <w:r>
              <w:rPr>
                <w:rFonts w:hint="eastAsia" w:cs="宋体"/>
                <w:color w:val="auto"/>
                <w:sz w:val="21"/>
                <w:szCs w:val="21"/>
                <w:highlight w:val="none"/>
              </w:rPr>
              <w:t>1.投标人应具备合格有效的企业法人营业执照。</w:t>
            </w:r>
          </w:p>
          <w:p>
            <w:pPr>
              <w:widowControl/>
              <w:tabs>
                <w:tab w:val="left" w:pos="900"/>
                <w:tab w:val="left" w:pos="1100"/>
              </w:tabs>
              <w:spacing w:line="300" w:lineRule="auto"/>
              <w:ind w:firstLine="436" w:firstLineChars="208"/>
              <w:jc w:val="left"/>
              <w:rPr>
                <w:rFonts w:cs="宋体"/>
                <w:color w:val="auto"/>
                <w:sz w:val="21"/>
                <w:szCs w:val="21"/>
                <w:highlight w:val="none"/>
              </w:rPr>
            </w:pPr>
            <w:r>
              <w:rPr>
                <w:rFonts w:hint="eastAsia" w:cs="宋体"/>
                <w:color w:val="auto"/>
                <w:sz w:val="21"/>
                <w:szCs w:val="21"/>
                <w:highlight w:val="none"/>
              </w:rPr>
              <w:t>2.投标人具备本招标项目规定的施工资质的，投标人的福建省建筑施工企业信用综合评价分值中企业季度信用得分为</w:t>
            </w:r>
            <w:r>
              <w:rPr>
                <w:rFonts w:hint="eastAsia" w:cs="宋体"/>
                <w:color w:val="auto"/>
                <w:sz w:val="21"/>
                <w:szCs w:val="21"/>
                <w:highlight w:val="none"/>
                <w:u w:val="single"/>
              </w:rPr>
              <w:t xml:space="preserve"> </w:t>
            </w:r>
            <w:r>
              <w:rPr>
                <w:rFonts w:hint="eastAsia" w:cs="宋体"/>
                <w:color w:val="0000FF"/>
                <w:sz w:val="21"/>
                <w:szCs w:val="21"/>
                <w:highlight w:val="none"/>
                <w:u w:val="single"/>
              </w:rPr>
              <w:t>房屋建筑</w:t>
            </w:r>
            <w:r>
              <w:rPr>
                <w:rFonts w:hint="eastAsia" w:cs="宋体"/>
                <w:color w:val="auto"/>
                <w:sz w:val="21"/>
                <w:szCs w:val="21"/>
                <w:highlight w:val="none"/>
                <w:u w:val="single"/>
              </w:rPr>
              <w:t xml:space="preserve"> </w:t>
            </w:r>
            <w:r>
              <w:rPr>
                <w:rFonts w:hint="eastAsia" w:cs="宋体"/>
                <w:color w:val="auto"/>
                <w:sz w:val="21"/>
                <w:szCs w:val="21"/>
                <w:highlight w:val="none"/>
              </w:rPr>
              <w:t>类且不得低于60分。按照投标人须知前附表第1.4.2项第1条组成联合体投标的，以联合体协议书确定联合体投标人的企业季度信用得分；按照投标人须知前附表第1.4.2项第2条组成联合体投标的，联合体投标人的企业季度信用得分按具有</w:t>
            </w:r>
            <w:r>
              <w:rPr>
                <w:rFonts w:hint="eastAsia" w:cs="宋体"/>
                <w:color w:val="auto"/>
                <w:sz w:val="21"/>
                <w:szCs w:val="21"/>
                <w:highlight w:val="none"/>
                <w:u w:val="single"/>
                <w:lang w:val="en-US" w:eastAsia="zh-CN"/>
              </w:rPr>
              <w:t xml:space="preserve"> </w:t>
            </w:r>
            <w:r>
              <w:rPr>
                <w:rFonts w:hint="eastAsia" w:cs="宋体"/>
                <w:color w:val="0000FF"/>
                <w:sz w:val="21"/>
                <w:szCs w:val="21"/>
                <w:highlight w:val="none"/>
                <w:u w:val="single"/>
              </w:rPr>
              <w:t>房屋建筑</w:t>
            </w:r>
            <w:r>
              <w:rPr>
                <w:rFonts w:hint="eastAsia" w:cs="宋体"/>
                <w:color w:val="0000FF"/>
                <w:sz w:val="21"/>
                <w:szCs w:val="21"/>
                <w:highlight w:val="none"/>
                <w:u w:val="single"/>
                <w:lang w:val="en-US" w:eastAsia="zh-CN"/>
              </w:rPr>
              <w:t xml:space="preserve"> </w:t>
            </w:r>
            <w:r>
              <w:rPr>
                <w:rFonts w:hint="eastAsia" w:cs="宋体"/>
                <w:color w:val="auto"/>
                <w:sz w:val="21"/>
                <w:szCs w:val="21"/>
                <w:highlight w:val="none"/>
              </w:rPr>
              <w:t>施工总承包资质的联合体成员中的最低企业季度信用得分确定。</w:t>
            </w:r>
          </w:p>
          <w:p>
            <w:pPr>
              <w:widowControl/>
              <w:tabs>
                <w:tab w:val="left" w:pos="900"/>
                <w:tab w:val="left" w:pos="1100"/>
              </w:tabs>
              <w:spacing w:line="300" w:lineRule="auto"/>
              <w:ind w:firstLine="436" w:firstLineChars="208"/>
              <w:jc w:val="left"/>
              <w:rPr>
                <w:rFonts w:cs="宋体"/>
                <w:bCs/>
                <w:iCs/>
                <w:color w:val="auto"/>
                <w:sz w:val="21"/>
                <w:szCs w:val="21"/>
                <w:highlight w:val="none"/>
              </w:rPr>
            </w:pPr>
            <w:r>
              <w:rPr>
                <w:rFonts w:hint="eastAsia" w:cs="宋体"/>
                <w:bCs/>
                <w:iCs/>
                <w:color w:val="auto"/>
                <w:sz w:val="21"/>
                <w:szCs w:val="21"/>
                <w:highlight w:val="none"/>
              </w:rPr>
              <w:t>注：①在每季度首月10日后开标的招标项目，纳入招投标评分的建筑施工企业信用综合评价分值，应为投标人在上季度的企业季度信用得分。而在每季度首月10日前（含10日）开标的，则为投标人在上季度前一个季度的企业季度信用得分。</w:t>
            </w:r>
          </w:p>
          <w:p>
            <w:pPr>
              <w:widowControl/>
              <w:tabs>
                <w:tab w:val="left" w:pos="900"/>
                <w:tab w:val="left" w:pos="1100"/>
              </w:tabs>
              <w:wordWrap w:val="0"/>
              <w:spacing w:line="300" w:lineRule="auto"/>
              <w:ind w:firstLine="436" w:firstLineChars="208"/>
              <w:jc w:val="left"/>
              <w:rPr>
                <w:rFonts w:cs="宋体"/>
                <w:bCs/>
                <w:iCs/>
                <w:color w:val="auto"/>
                <w:sz w:val="21"/>
                <w:szCs w:val="21"/>
                <w:highlight w:val="none"/>
              </w:rPr>
            </w:pPr>
            <w:r>
              <w:rPr>
                <w:rFonts w:hint="eastAsia" w:cs="宋体"/>
                <w:bCs/>
                <w:iCs/>
                <w:color w:val="auto"/>
                <w:sz w:val="21"/>
                <w:szCs w:val="21"/>
                <w:highlight w:val="none"/>
              </w:rPr>
              <w:t>②福建省建筑施工企业信用综合评价系统（网址：http://220.160.52.164:98/zjxypj/zjxypjform/homepage/homepage.aspx，下称“评价系统”）每季度公布投标人的企业季度信用得分（房屋建筑、市政工程）。投标人可以通过评价系统查询本单位的企业季度信用得分。企业季度信用得分以项目截标时在评价系统已发布的数据为准。投标截止时间后不论何种原因变更的信用评价信息，不在变更前已截标的招投标项目中使用。</w:t>
            </w:r>
          </w:p>
          <w:p>
            <w:pPr>
              <w:widowControl/>
              <w:tabs>
                <w:tab w:val="left" w:pos="900"/>
                <w:tab w:val="left" w:pos="1100"/>
              </w:tabs>
              <w:spacing w:line="300" w:lineRule="auto"/>
              <w:ind w:firstLine="436" w:firstLineChars="208"/>
              <w:jc w:val="left"/>
              <w:rPr>
                <w:rFonts w:cs="宋体"/>
                <w:bCs/>
                <w:iCs/>
                <w:color w:val="auto"/>
                <w:sz w:val="21"/>
                <w:szCs w:val="21"/>
                <w:highlight w:val="none"/>
              </w:rPr>
            </w:pPr>
            <w:r>
              <w:rPr>
                <w:rFonts w:hint="eastAsia" w:cs="宋体"/>
                <w:bCs/>
                <w:iCs/>
                <w:color w:val="auto"/>
                <w:sz w:val="21"/>
                <w:szCs w:val="21"/>
                <w:highlight w:val="none"/>
              </w:rPr>
              <w:t>③对评价系统没有公布企业季度信用得分的投标人，其企业季度信用得分以60分确定。</w:t>
            </w:r>
          </w:p>
          <w:p>
            <w:pPr>
              <w:tabs>
                <w:tab w:val="right" w:pos="8639"/>
              </w:tabs>
              <w:spacing w:line="300" w:lineRule="auto"/>
              <w:ind w:firstLine="420" w:firstLineChars="200"/>
              <w:rPr>
                <w:rFonts w:cs="宋体"/>
                <w:bCs/>
                <w:iCs/>
                <w:color w:val="auto"/>
                <w:sz w:val="21"/>
                <w:szCs w:val="21"/>
                <w:highlight w:val="none"/>
              </w:rPr>
            </w:pPr>
            <w:r>
              <w:rPr>
                <w:rFonts w:hint="eastAsia" w:cs="宋体"/>
                <w:bCs/>
                <w:iCs/>
                <w:color w:val="auto"/>
                <w:sz w:val="21"/>
                <w:szCs w:val="21"/>
                <w:highlight w:val="none"/>
              </w:rPr>
              <w:t>④由于投标人名称变更，造成评价系统公布的与变更后的投标人名称不一致的，投标人应当在资格文件中附上名称变更证明材料扫描件。未按规定提交的，资格审查委员会可以按不利于投标人的情形认定。</w:t>
            </w:r>
          </w:p>
          <w:p>
            <w:pPr>
              <w:tabs>
                <w:tab w:val="right" w:pos="8639"/>
              </w:tabs>
              <w:spacing w:line="300" w:lineRule="auto"/>
              <w:ind w:firstLine="420" w:firstLineChars="200"/>
              <w:rPr>
                <w:rFonts w:cs="宋体"/>
                <w:bCs/>
                <w:iCs/>
                <w:color w:val="auto"/>
                <w:sz w:val="21"/>
                <w:szCs w:val="21"/>
                <w:highlight w:val="none"/>
              </w:rPr>
            </w:pPr>
            <w:r>
              <w:rPr>
                <w:rFonts w:hint="eastAsia" w:cs="宋体"/>
                <w:bCs/>
                <w:iCs/>
                <w:color w:val="auto"/>
                <w:sz w:val="21"/>
                <w:szCs w:val="21"/>
                <w:highlight w:val="none"/>
              </w:rPr>
              <w:t>3.至投标截止时间止，在国家企业信用信息公示系统（www.gsxt.gov.cn）中未被工商行政管理机关列入“严重违法失信名单”的（不包括投标人分支机构）。</w:t>
            </w:r>
          </w:p>
          <w:p>
            <w:pPr>
              <w:tabs>
                <w:tab w:val="right" w:pos="8639"/>
              </w:tabs>
              <w:spacing w:line="300" w:lineRule="auto"/>
              <w:ind w:firstLine="420" w:firstLineChars="200"/>
              <w:rPr>
                <w:rFonts w:cs="宋体"/>
                <w:b/>
                <w:bCs/>
                <w:color w:val="auto"/>
                <w:kern w:val="1"/>
                <w:sz w:val="21"/>
                <w:szCs w:val="21"/>
                <w:highlight w:val="none"/>
              </w:rPr>
            </w:pPr>
            <w:r>
              <w:rPr>
                <w:rFonts w:hint="eastAsia" w:cs="宋体"/>
                <w:bCs/>
                <w:iCs/>
                <w:color w:val="auto"/>
                <w:sz w:val="21"/>
                <w:szCs w:val="21"/>
                <w:highlight w:val="none"/>
              </w:rPr>
              <w:t>4.至投标截止时间止，在全国法院失信被执行人名单信息公布与查询平台（网址：zxgk.court.gov.cn/shixin）中未被人民法院列为“失信被执行人”的（不包括投标人分支机构）</w:t>
            </w:r>
            <w:r>
              <w:rPr>
                <w:rFonts w:hint="eastAsia" w:cs="宋体"/>
                <w:color w:val="auto"/>
                <w:sz w:val="21"/>
                <w:szCs w:val="21"/>
                <w:highlight w:val="none"/>
              </w:rPr>
              <w:t>。</w:t>
            </w:r>
          </w:p>
        </w:tc>
      </w:tr>
    </w:tbl>
    <w:p>
      <w:pPr>
        <w:tabs>
          <w:tab w:val="right" w:pos="8639"/>
        </w:tabs>
        <w:spacing w:line="360" w:lineRule="auto"/>
        <w:ind w:left="1" w:leftChars="-41" w:hanging="140" w:hangingChars="67"/>
        <w:rPr>
          <w:rFonts w:cs="宋体"/>
          <w:b/>
          <w:color w:val="auto"/>
          <w:kern w:val="1"/>
          <w:sz w:val="21"/>
          <w:szCs w:val="21"/>
          <w:highlight w:val="none"/>
        </w:rPr>
      </w:pPr>
      <w:r>
        <w:rPr>
          <w:rFonts w:cs="宋体"/>
          <w:color w:val="auto"/>
          <w:kern w:val="1"/>
          <w:sz w:val="21"/>
          <w:szCs w:val="21"/>
          <w:highlight w:val="none"/>
        </w:rPr>
        <w:br w:type="page"/>
      </w:r>
      <w:r>
        <w:rPr>
          <w:rFonts w:hint="eastAsia" w:cs="宋体"/>
          <w:color w:val="auto"/>
          <w:kern w:val="1"/>
          <w:sz w:val="21"/>
          <w:szCs w:val="21"/>
          <w:highlight w:val="none"/>
        </w:rPr>
        <w:t>附录2</w:t>
      </w:r>
      <w:r>
        <w:rPr>
          <w:rFonts w:hint="eastAsia" w:cs="宋体"/>
          <w:b/>
          <w:color w:val="auto"/>
          <w:kern w:val="1"/>
          <w:sz w:val="21"/>
          <w:szCs w:val="21"/>
          <w:highlight w:val="none"/>
        </w:rPr>
        <w:t xml:space="preserve">  </w:t>
      </w:r>
      <w:r>
        <w:rPr>
          <w:rFonts w:hint="eastAsia" w:cs="宋体"/>
          <w:color w:val="auto"/>
          <w:kern w:val="1"/>
          <w:sz w:val="21"/>
          <w:szCs w:val="21"/>
          <w:highlight w:val="none"/>
        </w:rPr>
        <w:t>资格文件其他资料和商务文件其他资料</w:t>
      </w:r>
    </w:p>
    <w:tbl>
      <w:tblPr>
        <w:tblStyle w:val="6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559"/>
        <w:gridCol w:w="72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817" w:type="dxa"/>
            <w:vAlign w:val="center"/>
          </w:tcPr>
          <w:p>
            <w:pPr>
              <w:tabs>
                <w:tab w:val="right" w:pos="8639"/>
              </w:tabs>
              <w:spacing w:line="300" w:lineRule="auto"/>
              <w:jc w:val="center"/>
              <w:rPr>
                <w:rFonts w:cs="宋体"/>
                <w:b/>
                <w:bCs/>
                <w:color w:val="auto"/>
                <w:kern w:val="1"/>
                <w:sz w:val="21"/>
                <w:szCs w:val="21"/>
                <w:highlight w:val="none"/>
              </w:rPr>
            </w:pPr>
            <w:r>
              <w:rPr>
                <w:rFonts w:hint="eastAsia" w:cs="宋体"/>
                <w:b/>
                <w:bCs/>
                <w:color w:val="auto"/>
                <w:kern w:val="1"/>
                <w:sz w:val="21"/>
                <w:szCs w:val="21"/>
                <w:highlight w:val="none"/>
              </w:rPr>
              <w:t>项号</w:t>
            </w:r>
          </w:p>
        </w:tc>
        <w:tc>
          <w:tcPr>
            <w:tcW w:w="1559" w:type="dxa"/>
            <w:vAlign w:val="center"/>
          </w:tcPr>
          <w:p>
            <w:pPr>
              <w:tabs>
                <w:tab w:val="right" w:pos="8639"/>
              </w:tabs>
              <w:spacing w:line="300" w:lineRule="auto"/>
              <w:jc w:val="center"/>
              <w:rPr>
                <w:rFonts w:cs="宋体"/>
                <w:b/>
                <w:bCs/>
                <w:color w:val="auto"/>
                <w:kern w:val="1"/>
                <w:sz w:val="21"/>
                <w:szCs w:val="21"/>
                <w:highlight w:val="none"/>
              </w:rPr>
            </w:pPr>
            <w:r>
              <w:rPr>
                <w:rFonts w:hint="eastAsia" w:cs="宋体"/>
                <w:b/>
                <w:bCs/>
                <w:color w:val="auto"/>
                <w:kern w:val="1"/>
                <w:sz w:val="21"/>
                <w:szCs w:val="21"/>
                <w:highlight w:val="none"/>
              </w:rPr>
              <w:t>名称</w:t>
            </w:r>
          </w:p>
        </w:tc>
        <w:tc>
          <w:tcPr>
            <w:tcW w:w="7251" w:type="dxa"/>
            <w:vAlign w:val="center"/>
          </w:tcPr>
          <w:p>
            <w:pPr>
              <w:tabs>
                <w:tab w:val="right" w:pos="8639"/>
              </w:tabs>
              <w:spacing w:line="300" w:lineRule="auto"/>
              <w:jc w:val="center"/>
              <w:rPr>
                <w:rFonts w:cs="宋体"/>
                <w:b/>
                <w:bCs/>
                <w:color w:val="auto"/>
                <w:kern w:val="1"/>
                <w:sz w:val="21"/>
                <w:szCs w:val="21"/>
                <w:highlight w:val="none"/>
              </w:rPr>
            </w:pPr>
            <w:r>
              <w:rPr>
                <w:rFonts w:hint="eastAsia" w:cs="宋体"/>
                <w:b/>
                <w:bCs/>
                <w:color w:val="auto"/>
                <w:kern w:val="1"/>
                <w:sz w:val="21"/>
                <w:szCs w:val="21"/>
                <w:highlight w:val="none"/>
              </w:rPr>
              <w:t>内容与格式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tabs>
                <w:tab w:val="right" w:pos="8639"/>
              </w:tabs>
              <w:spacing w:line="300" w:lineRule="auto"/>
              <w:jc w:val="center"/>
              <w:rPr>
                <w:rFonts w:cs="宋体"/>
                <w:b/>
                <w:bCs/>
                <w:color w:val="auto"/>
                <w:kern w:val="1"/>
                <w:sz w:val="21"/>
                <w:szCs w:val="21"/>
                <w:highlight w:val="none"/>
              </w:rPr>
            </w:pPr>
            <w:r>
              <w:rPr>
                <w:rFonts w:hint="eastAsia" w:cs="宋体"/>
                <w:b/>
                <w:bCs/>
                <w:color w:val="auto"/>
                <w:kern w:val="1"/>
                <w:sz w:val="21"/>
                <w:szCs w:val="21"/>
                <w:highlight w:val="none"/>
              </w:rPr>
              <w:t>1</w:t>
            </w:r>
          </w:p>
        </w:tc>
        <w:tc>
          <w:tcPr>
            <w:tcW w:w="1559" w:type="dxa"/>
            <w:vAlign w:val="center"/>
          </w:tcPr>
          <w:p>
            <w:pPr>
              <w:tabs>
                <w:tab w:val="right" w:pos="8639"/>
              </w:tabs>
              <w:spacing w:line="300" w:lineRule="auto"/>
              <w:jc w:val="center"/>
              <w:rPr>
                <w:rFonts w:cs="宋体"/>
                <w:b/>
                <w:bCs/>
                <w:color w:val="auto"/>
                <w:kern w:val="1"/>
                <w:sz w:val="21"/>
                <w:szCs w:val="21"/>
                <w:highlight w:val="none"/>
              </w:rPr>
            </w:pPr>
            <w:r>
              <w:rPr>
                <w:rFonts w:hint="eastAsia" w:cs="宋体"/>
                <w:color w:val="auto"/>
                <w:kern w:val="1"/>
                <w:sz w:val="21"/>
                <w:szCs w:val="21"/>
                <w:highlight w:val="none"/>
              </w:rPr>
              <w:t>资格文件其他资料</w:t>
            </w:r>
          </w:p>
        </w:tc>
        <w:tc>
          <w:tcPr>
            <w:tcW w:w="7251" w:type="dxa"/>
            <w:vAlign w:val="center"/>
          </w:tcPr>
          <w:p>
            <w:pPr>
              <w:tabs>
                <w:tab w:val="right" w:pos="8639"/>
              </w:tabs>
              <w:spacing w:line="288" w:lineRule="auto"/>
              <w:ind w:firstLine="455" w:firstLineChars="217"/>
              <w:jc w:val="left"/>
              <w:rPr>
                <w:rFonts w:hint="eastAsia" w:eastAsia="宋体" w:cs="宋体"/>
                <w:b/>
                <w:bCs/>
                <w:color w:val="auto"/>
                <w:kern w:val="1"/>
                <w:sz w:val="21"/>
                <w:szCs w:val="21"/>
                <w:highlight w:val="none"/>
                <w:u w:val="single"/>
                <w:lang w:val="en-US" w:eastAsia="zh-CN"/>
              </w:rPr>
            </w:pPr>
            <w:r>
              <w:rPr>
                <w:rFonts w:hint="eastAsia" w:cs="宋体"/>
                <w:color w:val="0000FF"/>
                <w:sz w:val="21"/>
                <w:szCs w:val="21"/>
                <w:highlight w:val="none"/>
                <w:u w:val="singl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tabs>
                <w:tab w:val="right" w:pos="8639"/>
              </w:tabs>
              <w:spacing w:line="300" w:lineRule="auto"/>
              <w:jc w:val="center"/>
              <w:rPr>
                <w:rFonts w:cs="宋体"/>
                <w:b/>
                <w:bCs/>
                <w:color w:val="auto"/>
                <w:kern w:val="1"/>
                <w:sz w:val="21"/>
                <w:szCs w:val="21"/>
                <w:highlight w:val="none"/>
              </w:rPr>
            </w:pPr>
            <w:r>
              <w:rPr>
                <w:rFonts w:hint="eastAsia" w:cs="宋体"/>
                <w:b/>
                <w:bCs/>
                <w:color w:val="auto"/>
                <w:kern w:val="1"/>
                <w:sz w:val="21"/>
                <w:szCs w:val="21"/>
                <w:highlight w:val="none"/>
              </w:rPr>
              <w:t>2</w:t>
            </w:r>
          </w:p>
        </w:tc>
        <w:tc>
          <w:tcPr>
            <w:tcW w:w="1559" w:type="dxa"/>
            <w:vAlign w:val="center"/>
          </w:tcPr>
          <w:p>
            <w:pPr>
              <w:tabs>
                <w:tab w:val="right" w:pos="8639"/>
              </w:tabs>
              <w:spacing w:line="300" w:lineRule="auto"/>
              <w:jc w:val="center"/>
              <w:rPr>
                <w:rFonts w:cs="宋体"/>
                <w:b/>
                <w:bCs/>
                <w:color w:val="auto"/>
                <w:kern w:val="1"/>
                <w:sz w:val="21"/>
                <w:szCs w:val="21"/>
                <w:highlight w:val="none"/>
              </w:rPr>
            </w:pPr>
            <w:r>
              <w:rPr>
                <w:rFonts w:hint="eastAsia" w:cs="宋体"/>
                <w:color w:val="auto"/>
                <w:kern w:val="1"/>
                <w:sz w:val="21"/>
                <w:szCs w:val="21"/>
                <w:highlight w:val="none"/>
              </w:rPr>
              <w:t>商务文件其他资料</w:t>
            </w:r>
          </w:p>
        </w:tc>
        <w:tc>
          <w:tcPr>
            <w:tcW w:w="7251" w:type="dxa"/>
            <w:vAlign w:val="center"/>
          </w:tcPr>
          <w:p>
            <w:pPr>
              <w:shd w:val="clear" w:color="000000" w:fill="FFFFFF"/>
              <w:spacing w:line="300" w:lineRule="auto"/>
              <w:ind w:firstLine="485"/>
              <w:rPr>
                <w:rFonts w:hint="eastAsia" w:eastAsia="宋体" w:cs="宋体"/>
                <w:color w:val="auto"/>
                <w:sz w:val="21"/>
                <w:szCs w:val="21"/>
                <w:highlight w:val="none"/>
                <w:u w:val="single"/>
                <w:lang w:val="en-US" w:eastAsia="zh-CN"/>
              </w:rPr>
            </w:pPr>
            <w:r>
              <w:rPr>
                <w:rFonts w:hint="eastAsia" w:cs="宋体"/>
                <w:color w:val="0000FF"/>
                <w:sz w:val="21"/>
                <w:szCs w:val="21"/>
                <w:highlight w:val="none"/>
                <w:u w:val="single"/>
                <w:lang w:val="en-US" w:eastAsia="zh-CN"/>
              </w:rPr>
              <w:t>/</w:t>
            </w:r>
          </w:p>
        </w:tc>
      </w:tr>
    </w:tbl>
    <w:p>
      <w:pPr>
        <w:pStyle w:val="4"/>
        <w:spacing w:beforeLines="0" w:afterLines="0"/>
        <w:rPr>
          <w:bCs/>
          <w:color w:val="auto"/>
          <w:highlight w:val="none"/>
        </w:rPr>
      </w:pPr>
      <w:r>
        <w:rPr>
          <w:rFonts w:hint="eastAsia" w:ascii="宋体" w:hAnsi="宋体" w:eastAsia="宋体" w:cs="宋体"/>
          <w:b/>
          <w:bCs/>
          <w:color w:val="auto"/>
          <w:sz w:val="21"/>
          <w:szCs w:val="21"/>
          <w:highlight w:val="none"/>
        </w:rPr>
        <w:br w:type="page"/>
      </w:r>
      <w:bookmarkEnd w:id="249"/>
      <w:bookmarkStart w:id="250" w:name="_Toc15677"/>
      <w:bookmarkStart w:id="251" w:name="_Toc31710"/>
      <w:bookmarkStart w:id="252" w:name="_Toc31972"/>
      <w:bookmarkStart w:id="253" w:name="_Toc52112894"/>
      <w:bookmarkStart w:id="254" w:name="_Toc6825"/>
      <w:bookmarkStart w:id="255" w:name="_Toc61877252"/>
      <w:bookmarkStart w:id="256" w:name="_Toc17930"/>
      <w:bookmarkStart w:id="257" w:name="_Toc106703222"/>
      <w:bookmarkStart w:id="258" w:name="_Toc11626"/>
      <w:bookmarkStart w:id="259" w:name="_Toc30170331"/>
      <w:bookmarkStart w:id="260" w:name="_Toc300038981"/>
      <w:bookmarkStart w:id="261" w:name="_Toc458440236"/>
      <w:r>
        <w:rPr>
          <w:color w:val="auto"/>
          <w:highlight w:val="none"/>
        </w:rPr>
        <w:t>投标人须知正文</w:t>
      </w:r>
      <w:bookmarkEnd w:id="250"/>
      <w:bookmarkEnd w:id="251"/>
      <w:bookmarkEnd w:id="252"/>
      <w:bookmarkEnd w:id="253"/>
      <w:bookmarkEnd w:id="254"/>
      <w:bookmarkEnd w:id="255"/>
      <w:bookmarkEnd w:id="256"/>
      <w:bookmarkEnd w:id="257"/>
      <w:bookmarkEnd w:id="258"/>
    </w:p>
    <w:p>
      <w:pPr>
        <w:pStyle w:val="4"/>
        <w:spacing w:beforeLines="0" w:afterLines="0"/>
        <w:rPr>
          <w:color w:val="auto"/>
          <w:highlight w:val="none"/>
        </w:rPr>
      </w:pPr>
      <w:bookmarkStart w:id="262" w:name="_Toc16171"/>
      <w:bookmarkStart w:id="263" w:name="_Toc27679"/>
      <w:bookmarkStart w:id="264" w:name="_Toc9973"/>
      <w:bookmarkStart w:id="265" w:name="_Toc61877253"/>
      <w:bookmarkStart w:id="266" w:name="_Toc6037"/>
      <w:bookmarkStart w:id="267" w:name="_Toc28102"/>
      <w:bookmarkStart w:id="268" w:name="_Toc106703223"/>
      <w:bookmarkStart w:id="269" w:name="_Toc27124"/>
      <w:bookmarkStart w:id="270" w:name="_Toc52112895"/>
      <w:bookmarkStart w:id="271" w:name="_Toc30858"/>
      <w:bookmarkStart w:id="272" w:name="_Toc17686"/>
      <w:r>
        <w:rPr>
          <w:rFonts w:hint="eastAsia"/>
          <w:color w:val="auto"/>
          <w:highlight w:val="none"/>
        </w:rPr>
        <w:t>1. 总则</w:t>
      </w:r>
      <w:bookmarkEnd w:id="259"/>
      <w:bookmarkEnd w:id="262"/>
      <w:bookmarkEnd w:id="263"/>
      <w:bookmarkEnd w:id="264"/>
      <w:bookmarkEnd w:id="265"/>
      <w:bookmarkEnd w:id="266"/>
      <w:bookmarkEnd w:id="267"/>
      <w:bookmarkEnd w:id="268"/>
      <w:bookmarkEnd w:id="269"/>
      <w:bookmarkEnd w:id="270"/>
      <w:bookmarkEnd w:id="271"/>
      <w:bookmarkEnd w:id="272"/>
    </w:p>
    <w:p>
      <w:pPr>
        <w:pStyle w:val="5"/>
        <w:spacing w:beforeLines="0" w:afterLines="0"/>
        <w:ind w:firstLine="0"/>
        <w:rPr>
          <w:color w:val="auto"/>
          <w:highlight w:val="none"/>
        </w:rPr>
      </w:pPr>
      <w:bookmarkStart w:id="273" w:name="_Toc152042306"/>
      <w:bookmarkEnd w:id="273"/>
      <w:bookmarkStart w:id="274" w:name="_Toc247527554"/>
      <w:bookmarkEnd w:id="274"/>
      <w:bookmarkStart w:id="275" w:name="_Toc430618767"/>
      <w:bookmarkEnd w:id="275"/>
      <w:bookmarkStart w:id="276" w:name="_Toc152045530"/>
      <w:bookmarkEnd w:id="276"/>
      <w:bookmarkStart w:id="277" w:name="_Toc300834950"/>
      <w:bookmarkEnd w:id="277"/>
      <w:bookmarkStart w:id="278" w:name="_Toc247513953"/>
      <w:bookmarkEnd w:id="278"/>
      <w:bookmarkStart w:id="279" w:name="_Toc144974498"/>
      <w:bookmarkEnd w:id="279"/>
      <w:bookmarkStart w:id="280" w:name="_Toc11962"/>
      <w:bookmarkStart w:id="281" w:name="_Toc11520"/>
      <w:bookmarkStart w:id="282" w:name="_Toc30170332"/>
      <w:bookmarkStart w:id="283" w:name="_Toc458439929"/>
      <w:bookmarkStart w:id="284" w:name="_Toc31496"/>
      <w:bookmarkStart w:id="285" w:name="_Toc20027"/>
      <w:bookmarkStart w:id="286" w:name="_Toc22905"/>
      <w:bookmarkStart w:id="287" w:name="_Toc106703224"/>
      <w:bookmarkStart w:id="288" w:name="_Toc52112896"/>
      <w:bookmarkStart w:id="289" w:name="_Toc9157"/>
      <w:bookmarkStart w:id="290" w:name="_Toc5318"/>
      <w:bookmarkStart w:id="291" w:name="_Toc61877254"/>
      <w:bookmarkStart w:id="292" w:name="_Toc32331"/>
      <w:r>
        <w:rPr>
          <w:rFonts w:hint="eastAsia"/>
          <w:color w:val="auto"/>
          <w:highlight w:val="none"/>
        </w:rPr>
        <w:t>1.1 项目概况</w:t>
      </w:r>
      <w:bookmarkEnd w:id="280"/>
      <w:bookmarkEnd w:id="281"/>
      <w:bookmarkEnd w:id="282"/>
      <w:bookmarkEnd w:id="283"/>
      <w:bookmarkEnd w:id="284"/>
      <w:bookmarkEnd w:id="285"/>
      <w:bookmarkEnd w:id="286"/>
      <w:bookmarkEnd w:id="287"/>
      <w:bookmarkEnd w:id="288"/>
      <w:bookmarkEnd w:id="289"/>
      <w:bookmarkEnd w:id="290"/>
      <w:bookmarkEnd w:id="291"/>
      <w:bookmarkEnd w:id="292"/>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1.1.1根据《中华人民共和国招标投标法》、《中华人民共和国电子招标投标办法》等有关法律、规章的规定，本招标项目已具备招标条件，现对该项目进行施工招标。</w:t>
      </w:r>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1.1.2 招标人：见投标人须知前附表。</w:t>
      </w:r>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1.1.3 招标代理机构：见投标人须知前附表。</w:t>
      </w:r>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1.1.4 招标项目名称、报建编号、招标项目编号：见投标人须知前附表。</w:t>
      </w:r>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1.1.5招标项目使用的公共资源电子交易平台：见投标人须知前附表。</w:t>
      </w:r>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1.1.6 项目建设地点：见投标人须知前附表。</w:t>
      </w:r>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1.1.7项目建设规模：见投标人须知前附表。</w:t>
      </w:r>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1.1.8最高投标报价限价：见投标人须知前附表。</w:t>
      </w:r>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1.1.9计划工期：见投标人须知前附表。</w:t>
      </w:r>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1.1.10质量要求：见投标人须知前附表。</w:t>
      </w:r>
    </w:p>
    <w:p>
      <w:pPr>
        <w:pStyle w:val="59"/>
        <w:spacing w:after="0" w:line="360" w:lineRule="auto"/>
        <w:ind w:left="0" w:firstLine="424" w:firstLineChars="202"/>
        <w:rPr>
          <w:rFonts w:ascii="宋体" w:hAnsi="宋体" w:cs="宋体"/>
          <w:color w:val="auto"/>
          <w:szCs w:val="21"/>
          <w:highlight w:val="none"/>
        </w:rPr>
      </w:pPr>
      <w:r>
        <w:rPr>
          <w:rFonts w:hint="eastAsia" w:ascii="宋体" w:hAnsi="宋体" w:cs="宋体"/>
          <w:color w:val="auto"/>
          <w:szCs w:val="21"/>
          <w:highlight w:val="none"/>
        </w:rPr>
        <w:t>1.1.11与招标项目有关的设计或咨询单位：见投标人须知前附表。</w:t>
      </w:r>
    </w:p>
    <w:p>
      <w:pPr>
        <w:pStyle w:val="5"/>
        <w:spacing w:beforeLines="0" w:afterLines="0"/>
        <w:ind w:firstLine="0"/>
        <w:rPr>
          <w:color w:val="auto"/>
          <w:highlight w:val="none"/>
        </w:rPr>
      </w:pPr>
      <w:bookmarkStart w:id="293" w:name="_Toc430618768"/>
      <w:bookmarkEnd w:id="293"/>
      <w:bookmarkStart w:id="294" w:name="_Toc152045534"/>
      <w:bookmarkEnd w:id="294"/>
      <w:bookmarkStart w:id="295" w:name="_Toc144974501"/>
      <w:bookmarkEnd w:id="295"/>
      <w:bookmarkStart w:id="296" w:name="_Toc247513956"/>
      <w:bookmarkEnd w:id="296"/>
      <w:bookmarkStart w:id="297" w:name="_Toc247513954"/>
      <w:bookmarkEnd w:id="297"/>
      <w:bookmarkStart w:id="298" w:name="_Toc300834951"/>
      <w:bookmarkEnd w:id="298"/>
      <w:bookmarkStart w:id="299" w:name="_Toc300834954"/>
      <w:bookmarkEnd w:id="299"/>
      <w:bookmarkStart w:id="300" w:name="_Toc300834953"/>
      <w:bookmarkEnd w:id="300"/>
      <w:bookmarkStart w:id="301" w:name="_Toc152042309"/>
      <w:bookmarkEnd w:id="301"/>
      <w:bookmarkStart w:id="302" w:name="_Toc247527558"/>
      <w:bookmarkEnd w:id="302"/>
      <w:bookmarkStart w:id="303" w:name="_Toc247527555"/>
      <w:bookmarkEnd w:id="303"/>
      <w:bookmarkStart w:id="304" w:name="_Toc247527557"/>
      <w:bookmarkEnd w:id="304"/>
      <w:bookmarkStart w:id="305" w:name="_Toc152045533"/>
      <w:bookmarkEnd w:id="305"/>
      <w:bookmarkStart w:id="306" w:name="_Toc152042307"/>
      <w:bookmarkEnd w:id="306"/>
      <w:bookmarkStart w:id="307" w:name="_Toc430618771"/>
      <w:bookmarkEnd w:id="307"/>
      <w:bookmarkStart w:id="308" w:name="_Toc247513957"/>
      <w:bookmarkEnd w:id="308"/>
      <w:bookmarkStart w:id="309" w:name="_Toc144974502"/>
      <w:bookmarkEnd w:id="309"/>
      <w:bookmarkStart w:id="310" w:name="_Toc430618770"/>
      <w:bookmarkEnd w:id="310"/>
      <w:bookmarkStart w:id="311" w:name="_Toc152042310"/>
      <w:bookmarkEnd w:id="311"/>
      <w:bookmarkStart w:id="312" w:name="_Toc152045531"/>
      <w:bookmarkEnd w:id="312"/>
      <w:bookmarkStart w:id="313" w:name="_Toc144974499"/>
      <w:bookmarkEnd w:id="313"/>
      <w:bookmarkStart w:id="314" w:name="_Toc18765"/>
      <w:bookmarkStart w:id="315" w:name="_Toc14893"/>
      <w:bookmarkStart w:id="316" w:name="_Toc106703225"/>
      <w:bookmarkStart w:id="317" w:name="_Toc30170333"/>
      <w:bookmarkStart w:id="318" w:name="_Toc61877255"/>
      <w:bookmarkStart w:id="319" w:name="_Toc16363"/>
      <w:bookmarkStart w:id="320" w:name="_Toc31219"/>
      <w:bookmarkStart w:id="321" w:name="_Toc458439930"/>
      <w:bookmarkStart w:id="322" w:name="_Toc8952"/>
      <w:bookmarkStart w:id="323" w:name="_Toc29181"/>
      <w:bookmarkStart w:id="324" w:name="_Toc21971"/>
      <w:bookmarkStart w:id="325" w:name="_Toc1857"/>
      <w:bookmarkStart w:id="326" w:name="_Toc52112897"/>
      <w:bookmarkStart w:id="327" w:name="_Toc458439933"/>
      <w:bookmarkStart w:id="328" w:name="_Toc30170336"/>
      <w:bookmarkStart w:id="329" w:name="_Toc8360"/>
      <w:bookmarkStart w:id="330" w:name="_Toc9409"/>
      <w:bookmarkStart w:id="331" w:name="_Toc52112899"/>
      <w:r>
        <w:rPr>
          <w:rFonts w:hint="eastAsia"/>
          <w:color w:val="auto"/>
          <w:highlight w:val="none"/>
        </w:rPr>
        <w:t>1.2 项目的资金来源和落实情况</w:t>
      </w:r>
      <w:bookmarkEnd w:id="314"/>
      <w:bookmarkEnd w:id="315"/>
      <w:bookmarkEnd w:id="316"/>
      <w:bookmarkEnd w:id="317"/>
      <w:bookmarkEnd w:id="318"/>
      <w:bookmarkEnd w:id="319"/>
      <w:bookmarkEnd w:id="320"/>
      <w:bookmarkEnd w:id="321"/>
      <w:bookmarkEnd w:id="322"/>
      <w:bookmarkEnd w:id="323"/>
      <w:bookmarkEnd w:id="324"/>
      <w:bookmarkEnd w:id="325"/>
      <w:bookmarkEnd w:id="326"/>
    </w:p>
    <w:p>
      <w:pPr>
        <w:spacing w:line="360" w:lineRule="auto"/>
        <w:ind w:firstLine="420"/>
        <w:rPr>
          <w:rFonts w:cs="宋体"/>
          <w:color w:val="auto"/>
          <w:kern w:val="1"/>
          <w:sz w:val="21"/>
          <w:szCs w:val="24"/>
          <w:highlight w:val="none"/>
        </w:rPr>
      </w:pPr>
      <w:r>
        <w:rPr>
          <w:rFonts w:hint="eastAsia" w:cs="宋体"/>
          <w:color w:val="auto"/>
          <w:kern w:val="1"/>
          <w:sz w:val="21"/>
          <w:szCs w:val="24"/>
          <w:highlight w:val="none"/>
        </w:rPr>
        <w:t>1.2.1 资金来源及比例：见投标人须知前附表，其中</w:t>
      </w:r>
      <w:r>
        <w:rPr>
          <w:rFonts w:cs="宋体"/>
          <w:color w:val="auto"/>
          <w:kern w:val="1"/>
          <w:sz w:val="21"/>
          <w:szCs w:val="24"/>
          <w:highlight w:val="none"/>
        </w:rPr>
        <w:t>部分资金用于本</w:t>
      </w:r>
      <w:r>
        <w:rPr>
          <w:rFonts w:hint="eastAsia" w:cs="宋体"/>
          <w:color w:val="auto"/>
          <w:kern w:val="1"/>
          <w:sz w:val="21"/>
          <w:szCs w:val="24"/>
          <w:highlight w:val="none"/>
        </w:rPr>
        <w:t>招标项目</w:t>
      </w:r>
      <w:r>
        <w:rPr>
          <w:rFonts w:cs="宋体"/>
          <w:color w:val="auto"/>
          <w:kern w:val="1"/>
          <w:sz w:val="21"/>
          <w:szCs w:val="24"/>
          <w:highlight w:val="none"/>
        </w:rPr>
        <w:t>合同项下的合格支付</w:t>
      </w:r>
      <w:r>
        <w:rPr>
          <w:rFonts w:hint="eastAsia" w:cs="宋体"/>
          <w:color w:val="auto"/>
          <w:kern w:val="1"/>
          <w:sz w:val="21"/>
          <w:szCs w:val="24"/>
          <w:highlight w:val="none"/>
        </w:rPr>
        <w:t>。</w:t>
      </w:r>
    </w:p>
    <w:p>
      <w:pPr>
        <w:spacing w:line="360" w:lineRule="auto"/>
        <w:ind w:firstLine="420"/>
        <w:rPr>
          <w:rFonts w:cs="宋体"/>
          <w:color w:val="auto"/>
          <w:kern w:val="1"/>
          <w:sz w:val="21"/>
          <w:szCs w:val="24"/>
          <w:highlight w:val="none"/>
        </w:rPr>
      </w:pPr>
      <w:r>
        <w:rPr>
          <w:rFonts w:hint="eastAsia" w:cs="宋体"/>
          <w:color w:val="auto"/>
          <w:kern w:val="1"/>
          <w:sz w:val="21"/>
          <w:szCs w:val="24"/>
          <w:highlight w:val="none"/>
        </w:rPr>
        <w:t>1.2.2 资金落实情况：见投标人须知前附表。</w:t>
      </w:r>
    </w:p>
    <w:p>
      <w:pPr>
        <w:pStyle w:val="5"/>
        <w:spacing w:beforeLines="0" w:afterLines="0"/>
        <w:ind w:firstLine="0"/>
        <w:rPr>
          <w:color w:val="auto"/>
          <w:highlight w:val="none"/>
        </w:rPr>
      </w:pPr>
      <w:bookmarkStart w:id="332" w:name="_Toc152045532"/>
      <w:bookmarkEnd w:id="332"/>
      <w:bookmarkStart w:id="333" w:name="_Toc300834952"/>
      <w:bookmarkEnd w:id="333"/>
      <w:bookmarkStart w:id="334" w:name="_Toc152042308"/>
      <w:bookmarkEnd w:id="334"/>
      <w:bookmarkStart w:id="335" w:name="_Toc430618769"/>
      <w:bookmarkEnd w:id="335"/>
      <w:bookmarkStart w:id="336" w:name="_Toc144974500"/>
      <w:bookmarkEnd w:id="336"/>
      <w:bookmarkStart w:id="337" w:name="_Toc247513955"/>
      <w:bookmarkEnd w:id="337"/>
      <w:bookmarkStart w:id="338" w:name="_Toc247527556"/>
      <w:bookmarkEnd w:id="338"/>
      <w:bookmarkStart w:id="339" w:name="_Toc30552"/>
      <w:bookmarkStart w:id="340" w:name="_Toc458439931"/>
      <w:bookmarkStart w:id="341" w:name="_Toc25738"/>
      <w:bookmarkStart w:id="342" w:name="_Toc30170334"/>
      <w:bookmarkStart w:id="343" w:name="_Toc52112898"/>
      <w:bookmarkStart w:id="344" w:name="_Toc16070"/>
      <w:bookmarkStart w:id="345" w:name="_Toc161"/>
      <w:bookmarkStart w:id="346" w:name="_Toc2548"/>
      <w:bookmarkStart w:id="347" w:name="_Toc15805"/>
      <w:bookmarkStart w:id="348" w:name="_Toc61877256"/>
      <w:bookmarkStart w:id="349" w:name="_Toc29708"/>
      <w:bookmarkStart w:id="350" w:name="_Toc10213"/>
      <w:bookmarkStart w:id="351" w:name="_Toc106703226"/>
      <w:r>
        <w:rPr>
          <w:rFonts w:hint="eastAsia"/>
          <w:color w:val="auto"/>
          <w:highlight w:val="none"/>
        </w:rPr>
        <w:t>1.3 招标范围、招标内容</w:t>
      </w:r>
      <w:bookmarkEnd w:id="339"/>
      <w:bookmarkEnd w:id="340"/>
      <w:bookmarkEnd w:id="341"/>
      <w:bookmarkEnd w:id="342"/>
      <w:bookmarkEnd w:id="343"/>
      <w:bookmarkEnd w:id="344"/>
      <w:bookmarkEnd w:id="345"/>
      <w:bookmarkEnd w:id="346"/>
      <w:bookmarkEnd w:id="347"/>
      <w:bookmarkEnd w:id="348"/>
      <w:bookmarkEnd w:id="349"/>
      <w:bookmarkEnd w:id="350"/>
      <w:bookmarkEnd w:id="351"/>
    </w:p>
    <w:p>
      <w:pPr>
        <w:spacing w:line="360" w:lineRule="auto"/>
        <w:ind w:firstLine="420"/>
        <w:rPr>
          <w:rFonts w:cs="宋体"/>
          <w:color w:val="auto"/>
          <w:kern w:val="1"/>
          <w:sz w:val="21"/>
          <w:szCs w:val="24"/>
          <w:highlight w:val="none"/>
        </w:rPr>
      </w:pPr>
      <w:r>
        <w:rPr>
          <w:rFonts w:hint="eastAsia" w:cs="宋体"/>
          <w:color w:val="auto"/>
          <w:kern w:val="1"/>
          <w:sz w:val="21"/>
          <w:szCs w:val="24"/>
          <w:highlight w:val="none"/>
        </w:rPr>
        <w:t>1.3.1 工程类别：见投标人须知前附表。</w:t>
      </w:r>
    </w:p>
    <w:p>
      <w:pPr>
        <w:spacing w:line="360" w:lineRule="auto"/>
        <w:ind w:firstLine="420"/>
        <w:rPr>
          <w:rFonts w:cs="宋体"/>
          <w:color w:val="auto"/>
          <w:kern w:val="1"/>
          <w:sz w:val="21"/>
          <w:szCs w:val="24"/>
          <w:highlight w:val="none"/>
        </w:rPr>
      </w:pPr>
      <w:r>
        <w:rPr>
          <w:rFonts w:hint="eastAsia" w:cs="宋体"/>
          <w:color w:val="auto"/>
          <w:kern w:val="1"/>
          <w:sz w:val="21"/>
          <w:szCs w:val="24"/>
          <w:highlight w:val="none"/>
        </w:rPr>
        <w:t>1.3.2 招标类型：见投标人须知前附表。</w:t>
      </w:r>
    </w:p>
    <w:p>
      <w:pPr>
        <w:spacing w:line="360" w:lineRule="auto"/>
        <w:ind w:firstLine="420"/>
        <w:rPr>
          <w:rFonts w:cs="宋体"/>
          <w:color w:val="auto"/>
          <w:kern w:val="1"/>
          <w:sz w:val="21"/>
          <w:szCs w:val="24"/>
          <w:highlight w:val="none"/>
        </w:rPr>
      </w:pPr>
      <w:r>
        <w:rPr>
          <w:rFonts w:hint="eastAsia" w:cs="宋体"/>
          <w:color w:val="auto"/>
          <w:kern w:val="1"/>
          <w:sz w:val="21"/>
          <w:szCs w:val="24"/>
          <w:highlight w:val="none"/>
        </w:rPr>
        <w:t>1.3.3 招标范围：见投标人须知前附表。</w:t>
      </w:r>
    </w:p>
    <w:p>
      <w:pPr>
        <w:spacing w:line="360" w:lineRule="auto"/>
        <w:ind w:firstLine="420"/>
        <w:rPr>
          <w:rFonts w:cs="宋体"/>
          <w:color w:val="auto"/>
          <w:kern w:val="1"/>
          <w:sz w:val="21"/>
          <w:szCs w:val="24"/>
          <w:highlight w:val="none"/>
        </w:rPr>
      </w:pPr>
      <w:r>
        <w:rPr>
          <w:rFonts w:cs="宋体"/>
          <w:color w:val="auto"/>
          <w:kern w:val="1"/>
          <w:sz w:val="21"/>
          <w:szCs w:val="24"/>
          <w:highlight w:val="none"/>
        </w:rPr>
        <w:t>1.3.</w:t>
      </w:r>
      <w:r>
        <w:rPr>
          <w:rFonts w:hint="eastAsia" w:cs="宋体"/>
          <w:color w:val="auto"/>
          <w:kern w:val="1"/>
          <w:sz w:val="21"/>
          <w:szCs w:val="24"/>
          <w:highlight w:val="none"/>
        </w:rPr>
        <w:t>4</w:t>
      </w:r>
      <w:r>
        <w:rPr>
          <w:rFonts w:cs="宋体"/>
          <w:color w:val="auto"/>
          <w:kern w:val="1"/>
          <w:sz w:val="21"/>
          <w:szCs w:val="24"/>
          <w:highlight w:val="none"/>
        </w:rPr>
        <w:t xml:space="preserve"> </w:t>
      </w:r>
      <w:r>
        <w:rPr>
          <w:rFonts w:hint="eastAsia" w:cs="宋体"/>
          <w:color w:val="auto"/>
          <w:kern w:val="1"/>
          <w:sz w:val="21"/>
          <w:szCs w:val="24"/>
          <w:highlight w:val="none"/>
        </w:rPr>
        <w:t>招标</w:t>
      </w:r>
      <w:r>
        <w:rPr>
          <w:rFonts w:cs="宋体"/>
          <w:color w:val="auto"/>
          <w:kern w:val="1"/>
          <w:sz w:val="21"/>
          <w:szCs w:val="24"/>
          <w:highlight w:val="none"/>
        </w:rPr>
        <w:t>内容</w:t>
      </w:r>
      <w:r>
        <w:rPr>
          <w:rFonts w:hint="eastAsia" w:cs="宋体"/>
          <w:color w:val="auto"/>
          <w:kern w:val="1"/>
          <w:sz w:val="21"/>
          <w:szCs w:val="24"/>
          <w:highlight w:val="none"/>
        </w:rPr>
        <w:t>：见投标人须知前附表。</w:t>
      </w:r>
    </w:p>
    <w:p>
      <w:pPr>
        <w:spacing w:line="360" w:lineRule="auto"/>
        <w:ind w:firstLine="420"/>
        <w:rPr>
          <w:rFonts w:cs="宋体"/>
          <w:color w:val="auto"/>
          <w:kern w:val="1"/>
          <w:sz w:val="21"/>
          <w:szCs w:val="24"/>
          <w:highlight w:val="none"/>
        </w:rPr>
      </w:pPr>
      <w:r>
        <w:rPr>
          <w:rFonts w:hint="eastAsia" w:cs="宋体"/>
          <w:color w:val="auto"/>
          <w:kern w:val="1"/>
          <w:sz w:val="21"/>
          <w:szCs w:val="24"/>
          <w:highlight w:val="none"/>
        </w:rPr>
        <w:t>1.3.5 标段划分：见投标人须知前附表。</w:t>
      </w:r>
    </w:p>
    <w:bookmarkEnd w:id="327"/>
    <w:bookmarkEnd w:id="328"/>
    <w:bookmarkEnd w:id="329"/>
    <w:bookmarkEnd w:id="330"/>
    <w:bookmarkEnd w:id="331"/>
    <w:p>
      <w:pPr>
        <w:pStyle w:val="5"/>
        <w:spacing w:beforeLines="0" w:afterLines="0"/>
        <w:ind w:firstLine="0"/>
        <w:rPr>
          <w:color w:val="auto"/>
          <w:highlight w:val="none"/>
        </w:rPr>
      </w:pPr>
      <w:bookmarkStart w:id="352" w:name="_Toc17350"/>
      <w:bookmarkStart w:id="353" w:name="_Toc106703227"/>
      <w:bookmarkStart w:id="354" w:name="_Toc5674"/>
      <w:bookmarkStart w:id="355" w:name="_Toc61877257"/>
      <w:bookmarkStart w:id="356" w:name="_Toc10038"/>
      <w:bookmarkStart w:id="357" w:name="_Toc13622"/>
      <w:bookmarkStart w:id="358" w:name="_Toc8021"/>
      <w:bookmarkStart w:id="359" w:name="_Toc32718"/>
      <w:r>
        <w:rPr>
          <w:rFonts w:hint="eastAsia"/>
          <w:color w:val="auto"/>
          <w:highlight w:val="none"/>
        </w:rPr>
        <w:t>1.4 投标人资格要求和资格审查方式</w:t>
      </w:r>
      <w:bookmarkEnd w:id="352"/>
      <w:bookmarkEnd w:id="353"/>
      <w:bookmarkEnd w:id="354"/>
      <w:bookmarkEnd w:id="355"/>
      <w:bookmarkEnd w:id="356"/>
      <w:bookmarkEnd w:id="357"/>
      <w:bookmarkEnd w:id="358"/>
      <w:bookmarkEnd w:id="359"/>
    </w:p>
    <w:p>
      <w:pPr>
        <w:spacing w:line="360" w:lineRule="auto"/>
        <w:ind w:firstLine="420"/>
        <w:rPr>
          <w:rFonts w:cs="宋体"/>
          <w:color w:val="auto"/>
          <w:kern w:val="1"/>
          <w:sz w:val="21"/>
          <w:szCs w:val="24"/>
          <w:highlight w:val="none"/>
        </w:rPr>
      </w:pPr>
      <w:r>
        <w:rPr>
          <w:rFonts w:hint="eastAsia" w:cs="宋体"/>
          <w:color w:val="auto"/>
          <w:kern w:val="1"/>
          <w:sz w:val="21"/>
          <w:szCs w:val="24"/>
          <w:highlight w:val="none"/>
        </w:rPr>
        <w:t>1.4.1投标人应具备承担本招标项目施工的资质条件、能力和信用：</w:t>
      </w:r>
    </w:p>
    <w:p>
      <w:pPr>
        <w:spacing w:line="360" w:lineRule="auto"/>
        <w:ind w:firstLine="359"/>
        <w:rPr>
          <w:rFonts w:cs="宋体"/>
          <w:color w:val="auto"/>
          <w:kern w:val="1"/>
          <w:sz w:val="21"/>
          <w:szCs w:val="24"/>
          <w:highlight w:val="none"/>
        </w:rPr>
      </w:pPr>
      <w:r>
        <w:rPr>
          <w:rFonts w:hint="eastAsia" w:cs="宋体"/>
          <w:color w:val="auto"/>
          <w:kern w:val="1"/>
          <w:sz w:val="21"/>
          <w:szCs w:val="24"/>
          <w:highlight w:val="none"/>
        </w:rPr>
        <w:t>（1）资质条件：见投标人须知前附表；</w:t>
      </w:r>
    </w:p>
    <w:p>
      <w:pPr>
        <w:spacing w:line="360" w:lineRule="auto"/>
        <w:ind w:firstLine="359"/>
        <w:rPr>
          <w:rFonts w:cs="宋体"/>
          <w:color w:val="auto"/>
          <w:kern w:val="1"/>
          <w:sz w:val="21"/>
          <w:szCs w:val="24"/>
          <w:highlight w:val="none"/>
        </w:rPr>
      </w:pPr>
      <w:r>
        <w:rPr>
          <w:rFonts w:hint="eastAsia" w:cs="宋体"/>
          <w:color w:val="auto"/>
          <w:kern w:val="1"/>
          <w:sz w:val="21"/>
          <w:szCs w:val="24"/>
          <w:highlight w:val="none"/>
        </w:rPr>
        <w:t>（2）业绩要求：见投标人须知前附表；</w:t>
      </w:r>
    </w:p>
    <w:p>
      <w:pPr>
        <w:spacing w:line="360" w:lineRule="auto"/>
        <w:ind w:firstLine="359"/>
        <w:rPr>
          <w:rFonts w:cs="宋体"/>
          <w:color w:val="auto"/>
          <w:kern w:val="1"/>
          <w:sz w:val="21"/>
          <w:szCs w:val="24"/>
          <w:highlight w:val="none"/>
        </w:rPr>
      </w:pPr>
      <w:r>
        <w:rPr>
          <w:rFonts w:hint="eastAsia" w:cs="宋体"/>
          <w:color w:val="auto"/>
          <w:kern w:val="1"/>
          <w:sz w:val="21"/>
          <w:szCs w:val="24"/>
          <w:highlight w:val="none"/>
        </w:rPr>
        <w:t>（3）信用要求：见投标人须知前附表；</w:t>
      </w:r>
    </w:p>
    <w:p>
      <w:pPr>
        <w:spacing w:line="360" w:lineRule="auto"/>
        <w:ind w:firstLine="359"/>
        <w:rPr>
          <w:rFonts w:cs="宋体"/>
          <w:color w:val="auto"/>
          <w:kern w:val="1"/>
          <w:sz w:val="21"/>
          <w:szCs w:val="24"/>
          <w:highlight w:val="none"/>
        </w:rPr>
      </w:pPr>
      <w:bookmarkStart w:id="360" w:name="_Hlk21722854"/>
      <w:r>
        <w:rPr>
          <w:rFonts w:hint="eastAsia" w:cs="宋体"/>
          <w:color w:val="auto"/>
          <w:kern w:val="1"/>
          <w:sz w:val="21"/>
          <w:szCs w:val="24"/>
          <w:highlight w:val="none"/>
        </w:rPr>
        <w:t>（4）施工现场管理人员：见投标人须知前附表；</w:t>
      </w:r>
    </w:p>
    <w:p>
      <w:pPr>
        <w:spacing w:line="360" w:lineRule="auto"/>
        <w:ind w:firstLine="359"/>
        <w:rPr>
          <w:rFonts w:cs="宋体"/>
          <w:color w:val="auto"/>
          <w:kern w:val="1"/>
          <w:sz w:val="21"/>
          <w:szCs w:val="24"/>
          <w:highlight w:val="none"/>
        </w:rPr>
      </w:pPr>
      <w:r>
        <w:rPr>
          <w:rFonts w:hint="eastAsia" w:cs="宋体"/>
          <w:color w:val="auto"/>
          <w:kern w:val="1"/>
          <w:sz w:val="21"/>
          <w:szCs w:val="24"/>
          <w:highlight w:val="none"/>
        </w:rPr>
        <w:t>（5）其他要求：见投标人须知前附表。</w:t>
      </w:r>
    </w:p>
    <w:bookmarkEnd w:id="360"/>
    <w:p>
      <w:pPr>
        <w:spacing w:line="360" w:lineRule="auto"/>
        <w:ind w:firstLine="359"/>
        <w:rPr>
          <w:rFonts w:cs="宋体"/>
          <w:color w:val="auto"/>
          <w:kern w:val="1"/>
          <w:sz w:val="21"/>
          <w:szCs w:val="24"/>
          <w:highlight w:val="none"/>
        </w:rPr>
      </w:pPr>
      <w:r>
        <w:rPr>
          <w:rFonts w:hint="eastAsia" w:cs="宋体"/>
          <w:color w:val="auto"/>
          <w:kern w:val="1"/>
          <w:sz w:val="21"/>
          <w:szCs w:val="24"/>
          <w:highlight w:val="none"/>
        </w:rPr>
        <w:t xml:space="preserve">1.4.2 投标人须知前附表规定接受联合体投标的，除应符合本章第1.4.1项和投标人须知前附表的要求外，还应遵守以下规定： </w:t>
      </w:r>
    </w:p>
    <w:p>
      <w:pPr>
        <w:spacing w:line="360" w:lineRule="auto"/>
        <w:ind w:firstLine="359"/>
        <w:rPr>
          <w:rFonts w:cs="宋体"/>
          <w:color w:val="auto"/>
          <w:kern w:val="1"/>
          <w:sz w:val="21"/>
          <w:szCs w:val="24"/>
          <w:highlight w:val="none"/>
        </w:rPr>
      </w:pPr>
      <w:r>
        <w:rPr>
          <w:rFonts w:hint="eastAsia" w:cs="宋体"/>
          <w:color w:val="auto"/>
          <w:kern w:val="1"/>
          <w:sz w:val="21"/>
          <w:szCs w:val="24"/>
          <w:highlight w:val="none"/>
        </w:rPr>
        <w:t>（1）联合体</w:t>
      </w:r>
      <w:r>
        <w:rPr>
          <w:rFonts w:cs="宋体"/>
          <w:color w:val="auto"/>
          <w:kern w:val="1"/>
          <w:sz w:val="21"/>
          <w:szCs w:val="24"/>
          <w:highlight w:val="none"/>
        </w:rPr>
        <w:t>投标人的投标文件及中标后签署的</w:t>
      </w:r>
      <w:r>
        <w:rPr>
          <w:rFonts w:hint="eastAsia" w:cs="宋体"/>
          <w:color w:val="auto"/>
          <w:kern w:val="1"/>
          <w:sz w:val="21"/>
          <w:szCs w:val="24"/>
          <w:highlight w:val="none"/>
        </w:rPr>
        <w:t>建设工程施工</w:t>
      </w:r>
      <w:r>
        <w:rPr>
          <w:rFonts w:cs="宋体"/>
          <w:color w:val="auto"/>
          <w:kern w:val="1"/>
          <w:sz w:val="21"/>
          <w:szCs w:val="24"/>
          <w:highlight w:val="none"/>
        </w:rPr>
        <w:t>合同，对</w:t>
      </w:r>
      <w:r>
        <w:rPr>
          <w:rFonts w:hint="eastAsia" w:cs="宋体"/>
          <w:color w:val="auto"/>
          <w:kern w:val="1"/>
          <w:sz w:val="21"/>
          <w:szCs w:val="24"/>
          <w:highlight w:val="none"/>
        </w:rPr>
        <w:t>联合</w:t>
      </w:r>
      <w:r>
        <w:rPr>
          <w:rFonts w:cs="宋体"/>
          <w:color w:val="auto"/>
          <w:kern w:val="1"/>
          <w:sz w:val="21"/>
          <w:szCs w:val="24"/>
          <w:highlight w:val="none"/>
        </w:rPr>
        <w:t>体各方均</w:t>
      </w:r>
      <w:r>
        <w:rPr>
          <w:rFonts w:hint="eastAsia" w:cs="宋体"/>
          <w:color w:val="auto"/>
          <w:kern w:val="1"/>
          <w:sz w:val="21"/>
          <w:szCs w:val="24"/>
          <w:highlight w:val="none"/>
        </w:rPr>
        <w:t>有</w:t>
      </w:r>
      <w:r>
        <w:rPr>
          <w:rFonts w:cs="宋体"/>
          <w:color w:val="auto"/>
          <w:kern w:val="1"/>
          <w:sz w:val="21"/>
          <w:szCs w:val="24"/>
          <w:highlight w:val="none"/>
        </w:rPr>
        <w:t>约束</w:t>
      </w:r>
      <w:r>
        <w:rPr>
          <w:rFonts w:hint="eastAsia" w:cs="宋体"/>
          <w:color w:val="auto"/>
          <w:kern w:val="1"/>
          <w:sz w:val="21"/>
          <w:szCs w:val="24"/>
          <w:highlight w:val="none"/>
        </w:rPr>
        <w:t>力</w:t>
      </w:r>
      <w:r>
        <w:rPr>
          <w:rFonts w:cs="宋体"/>
          <w:color w:val="auto"/>
          <w:kern w:val="1"/>
          <w:sz w:val="21"/>
          <w:szCs w:val="24"/>
          <w:highlight w:val="none"/>
        </w:rPr>
        <w:t>。</w:t>
      </w:r>
    </w:p>
    <w:p>
      <w:pPr>
        <w:spacing w:line="360" w:lineRule="auto"/>
        <w:ind w:firstLine="359"/>
        <w:rPr>
          <w:rFonts w:cs="宋体"/>
          <w:color w:val="auto"/>
          <w:kern w:val="1"/>
          <w:sz w:val="21"/>
          <w:szCs w:val="24"/>
          <w:highlight w:val="none"/>
        </w:rPr>
      </w:pPr>
      <w:r>
        <w:rPr>
          <w:rFonts w:hint="eastAsia" w:cs="宋体"/>
          <w:color w:val="auto"/>
          <w:kern w:val="1"/>
          <w:sz w:val="21"/>
          <w:szCs w:val="24"/>
          <w:highlight w:val="none"/>
        </w:rPr>
        <w:t>（2）联合体各方应按照招标文件提供的格式签订联合体协议书，</w:t>
      </w:r>
      <w:r>
        <w:rPr>
          <w:rFonts w:cs="宋体"/>
          <w:color w:val="auto"/>
          <w:kern w:val="1"/>
          <w:sz w:val="21"/>
          <w:szCs w:val="24"/>
          <w:highlight w:val="none"/>
        </w:rPr>
        <w:t>联合体各方</w:t>
      </w:r>
      <w:r>
        <w:rPr>
          <w:rFonts w:hint="eastAsia" w:cs="宋体"/>
          <w:color w:val="auto"/>
          <w:kern w:val="1"/>
          <w:sz w:val="21"/>
          <w:szCs w:val="24"/>
          <w:highlight w:val="none"/>
        </w:rPr>
        <w:t>应指定一家</w:t>
      </w:r>
      <w:r>
        <w:rPr>
          <w:rFonts w:cs="宋体"/>
          <w:color w:val="auto"/>
          <w:kern w:val="1"/>
          <w:sz w:val="21"/>
          <w:szCs w:val="24"/>
          <w:highlight w:val="none"/>
        </w:rPr>
        <w:t>作为牵头人，</w:t>
      </w:r>
      <w:r>
        <w:rPr>
          <w:rFonts w:hint="eastAsia" w:cs="宋体"/>
          <w:color w:val="auto"/>
          <w:kern w:val="1"/>
          <w:sz w:val="21"/>
          <w:szCs w:val="24"/>
          <w:highlight w:val="none"/>
        </w:rPr>
        <w:t>明确联合体牵头人和各方权利</w:t>
      </w:r>
      <w:r>
        <w:rPr>
          <w:rFonts w:cs="宋体"/>
          <w:color w:val="auto"/>
          <w:kern w:val="1"/>
          <w:sz w:val="21"/>
          <w:szCs w:val="24"/>
          <w:highlight w:val="none"/>
        </w:rPr>
        <w:t>及</w:t>
      </w:r>
      <w:r>
        <w:rPr>
          <w:rFonts w:hint="eastAsia" w:cs="宋体"/>
          <w:color w:val="auto"/>
          <w:kern w:val="1"/>
          <w:sz w:val="21"/>
          <w:szCs w:val="24"/>
          <w:highlight w:val="none"/>
        </w:rPr>
        <w:t>义务，</w:t>
      </w:r>
      <w:r>
        <w:rPr>
          <w:rFonts w:cs="宋体"/>
          <w:color w:val="auto"/>
          <w:kern w:val="1"/>
          <w:sz w:val="21"/>
          <w:szCs w:val="24"/>
          <w:highlight w:val="none"/>
        </w:rPr>
        <w:t>并且由联合体牵头人负责整个合同的全面实施，</w:t>
      </w:r>
      <w:r>
        <w:rPr>
          <w:rFonts w:hint="eastAsia" w:cs="宋体"/>
          <w:color w:val="auto"/>
          <w:kern w:val="1"/>
          <w:sz w:val="21"/>
          <w:szCs w:val="24"/>
          <w:highlight w:val="none"/>
        </w:rPr>
        <w:t>包括只有牵头人可以支付费用等。</w:t>
      </w:r>
    </w:p>
    <w:p>
      <w:pPr>
        <w:spacing w:line="360" w:lineRule="auto"/>
        <w:ind w:firstLine="359"/>
        <w:rPr>
          <w:rFonts w:cs="宋体"/>
          <w:color w:val="auto"/>
          <w:kern w:val="1"/>
          <w:sz w:val="21"/>
          <w:szCs w:val="24"/>
          <w:highlight w:val="none"/>
        </w:rPr>
      </w:pPr>
      <w:r>
        <w:rPr>
          <w:rFonts w:hint="eastAsia" w:cs="宋体"/>
          <w:color w:val="auto"/>
          <w:kern w:val="1"/>
          <w:sz w:val="21"/>
          <w:szCs w:val="24"/>
          <w:highlight w:val="none"/>
        </w:rPr>
        <w:t>（3）</w:t>
      </w:r>
      <w:r>
        <w:rPr>
          <w:rFonts w:cs="宋体"/>
          <w:color w:val="auto"/>
          <w:kern w:val="1"/>
          <w:sz w:val="21"/>
          <w:szCs w:val="24"/>
          <w:highlight w:val="none"/>
        </w:rPr>
        <w:t>联合体各</w:t>
      </w:r>
      <w:r>
        <w:rPr>
          <w:rFonts w:hint="eastAsia" w:cs="宋体"/>
          <w:color w:val="auto"/>
          <w:kern w:val="1"/>
          <w:sz w:val="21"/>
          <w:szCs w:val="24"/>
          <w:highlight w:val="none"/>
        </w:rPr>
        <w:t>方</w:t>
      </w:r>
      <w:r>
        <w:rPr>
          <w:rFonts w:cs="宋体"/>
          <w:color w:val="auto"/>
          <w:kern w:val="1"/>
          <w:sz w:val="21"/>
          <w:szCs w:val="24"/>
          <w:highlight w:val="none"/>
        </w:rPr>
        <w:t>之间签订的联合体协议书应</w:t>
      </w:r>
      <w:r>
        <w:rPr>
          <w:rFonts w:hint="eastAsia" w:cs="宋体"/>
          <w:color w:val="auto"/>
          <w:kern w:val="1"/>
          <w:sz w:val="21"/>
          <w:szCs w:val="24"/>
          <w:highlight w:val="none"/>
        </w:rPr>
        <w:t>随</w:t>
      </w:r>
      <w:r>
        <w:rPr>
          <w:rFonts w:cs="宋体"/>
          <w:color w:val="auto"/>
          <w:kern w:val="1"/>
          <w:sz w:val="21"/>
          <w:szCs w:val="24"/>
          <w:highlight w:val="none"/>
        </w:rPr>
        <w:t>投标文件一起递交。</w:t>
      </w:r>
    </w:p>
    <w:p>
      <w:pPr>
        <w:spacing w:line="360" w:lineRule="auto"/>
        <w:ind w:firstLine="359"/>
        <w:rPr>
          <w:rFonts w:cs="宋体"/>
          <w:color w:val="auto"/>
          <w:kern w:val="1"/>
          <w:sz w:val="21"/>
          <w:szCs w:val="24"/>
          <w:highlight w:val="none"/>
        </w:rPr>
      </w:pPr>
      <w:r>
        <w:rPr>
          <w:rFonts w:hint="eastAsia" w:cs="宋体"/>
          <w:color w:val="auto"/>
          <w:kern w:val="1"/>
          <w:sz w:val="21"/>
          <w:szCs w:val="24"/>
          <w:highlight w:val="none"/>
        </w:rPr>
        <w:t>（4）联合体各方应具备其所承担招标项目承包内容的相应资质条件；承担相同承包内容的单位组成联合体的，按照资质等级较低的单位确定资质等级。</w:t>
      </w:r>
    </w:p>
    <w:p>
      <w:pPr>
        <w:spacing w:line="360" w:lineRule="auto"/>
        <w:ind w:firstLine="359"/>
        <w:rPr>
          <w:rFonts w:cs="宋体"/>
          <w:color w:val="auto"/>
          <w:kern w:val="1"/>
          <w:sz w:val="21"/>
          <w:szCs w:val="24"/>
          <w:highlight w:val="none"/>
        </w:rPr>
      </w:pPr>
      <w:r>
        <w:rPr>
          <w:rFonts w:hint="eastAsia" w:cs="宋体"/>
          <w:color w:val="auto"/>
          <w:kern w:val="1"/>
          <w:sz w:val="21"/>
          <w:szCs w:val="24"/>
          <w:highlight w:val="none"/>
        </w:rPr>
        <w:t>（5）联合体各方不得再以自己名义单独或参加其他联合体在本招标项目中投标，否则相关投标均无效。</w:t>
      </w:r>
    </w:p>
    <w:p>
      <w:pPr>
        <w:spacing w:line="360" w:lineRule="auto"/>
        <w:ind w:firstLine="359"/>
        <w:rPr>
          <w:rFonts w:cs="宋体"/>
          <w:color w:val="auto"/>
          <w:kern w:val="1"/>
          <w:sz w:val="21"/>
          <w:szCs w:val="24"/>
          <w:highlight w:val="none"/>
        </w:rPr>
      </w:pPr>
      <w:r>
        <w:rPr>
          <w:rFonts w:hint="eastAsia" w:cs="宋体"/>
          <w:color w:val="auto"/>
          <w:kern w:val="1"/>
          <w:sz w:val="21"/>
          <w:szCs w:val="24"/>
          <w:highlight w:val="none"/>
        </w:rPr>
        <w:t>1.4.3 投标人不得存在下列情形之一：</w:t>
      </w:r>
    </w:p>
    <w:p>
      <w:pPr>
        <w:spacing w:line="360" w:lineRule="auto"/>
        <w:ind w:firstLine="359"/>
        <w:rPr>
          <w:rFonts w:cs="宋体"/>
          <w:color w:val="auto"/>
          <w:kern w:val="1"/>
          <w:sz w:val="21"/>
          <w:szCs w:val="24"/>
          <w:highlight w:val="none"/>
        </w:rPr>
      </w:pPr>
      <w:r>
        <w:rPr>
          <w:rFonts w:hint="eastAsia" w:cs="宋体"/>
          <w:color w:val="auto"/>
          <w:kern w:val="1"/>
          <w:sz w:val="21"/>
          <w:szCs w:val="24"/>
          <w:highlight w:val="none"/>
        </w:rPr>
        <w:t xml:space="preserve">（1）为招标人不具有独立法人资格的附属机构（单位）； </w:t>
      </w:r>
    </w:p>
    <w:p>
      <w:pPr>
        <w:spacing w:line="360" w:lineRule="auto"/>
        <w:ind w:firstLine="359"/>
        <w:rPr>
          <w:rFonts w:cs="宋体"/>
          <w:color w:val="auto"/>
          <w:kern w:val="1"/>
          <w:sz w:val="21"/>
          <w:szCs w:val="24"/>
          <w:highlight w:val="none"/>
        </w:rPr>
      </w:pPr>
      <w:r>
        <w:rPr>
          <w:rFonts w:hint="eastAsia" w:cs="宋体"/>
          <w:color w:val="auto"/>
          <w:kern w:val="1"/>
          <w:sz w:val="21"/>
          <w:szCs w:val="24"/>
          <w:highlight w:val="none"/>
        </w:rPr>
        <w:t>（2）为招标项目前期准备或者监理工作提供设计、咨询服务的任何法人及其任何附属机构（单位）；</w:t>
      </w:r>
    </w:p>
    <w:p>
      <w:pPr>
        <w:spacing w:line="360" w:lineRule="auto"/>
        <w:ind w:firstLine="359"/>
        <w:rPr>
          <w:rFonts w:cs="宋体"/>
          <w:color w:val="auto"/>
          <w:kern w:val="1"/>
          <w:sz w:val="21"/>
          <w:szCs w:val="24"/>
          <w:highlight w:val="none"/>
        </w:rPr>
      </w:pPr>
      <w:r>
        <w:rPr>
          <w:rFonts w:hint="eastAsia" w:cs="宋体"/>
          <w:color w:val="auto"/>
          <w:kern w:val="1"/>
          <w:sz w:val="21"/>
          <w:szCs w:val="24"/>
          <w:highlight w:val="none"/>
        </w:rPr>
        <w:t>（3）为本招标项目的咨询单位；</w:t>
      </w:r>
    </w:p>
    <w:p>
      <w:pPr>
        <w:spacing w:line="360" w:lineRule="auto"/>
        <w:ind w:firstLine="359"/>
        <w:rPr>
          <w:rFonts w:cs="宋体"/>
          <w:color w:val="auto"/>
          <w:kern w:val="1"/>
          <w:sz w:val="21"/>
          <w:szCs w:val="24"/>
          <w:highlight w:val="none"/>
        </w:rPr>
      </w:pPr>
      <w:r>
        <w:rPr>
          <w:rFonts w:hint="eastAsia" w:cs="宋体"/>
          <w:color w:val="auto"/>
          <w:kern w:val="1"/>
          <w:sz w:val="21"/>
          <w:szCs w:val="24"/>
          <w:highlight w:val="none"/>
        </w:rPr>
        <w:t xml:space="preserve">（4）为本招标项目提供招标代理服务； </w:t>
      </w:r>
    </w:p>
    <w:p>
      <w:pPr>
        <w:spacing w:line="360" w:lineRule="auto"/>
        <w:ind w:firstLine="359"/>
        <w:rPr>
          <w:rFonts w:cs="宋体"/>
          <w:color w:val="auto"/>
          <w:kern w:val="1"/>
          <w:sz w:val="21"/>
          <w:szCs w:val="24"/>
          <w:highlight w:val="none"/>
        </w:rPr>
      </w:pPr>
      <w:r>
        <w:rPr>
          <w:rFonts w:hint="eastAsia" w:cs="宋体"/>
          <w:color w:val="auto"/>
          <w:kern w:val="1"/>
          <w:sz w:val="21"/>
          <w:szCs w:val="24"/>
          <w:highlight w:val="none"/>
        </w:rPr>
        <w:t>（5）与本招标项目的咨询单位或招标代理机构或其他投标人同为一个法定代表人；</w:t>
      </w:r>
    </w:p>
    <w:p>
      <w:pPr>
        <w:spacing w:line="360" w:lineRule="auto"/>
        <w:ind w:firstLine="359"/>
        <w:rPr>
          <w:rFonts w:cs="宋体"/>
          <w:color w:val="auto"/>
          <w:kern w:val="1"/>
          <w:sz w:val="21"/>
          <w:szCs w:val="24"/>
          <w:highlight w:val="none"/>
        </w:rPr>
      </w:pPr>
      <w:r>
        <w:rPr>
          <w:rFonts w:hint="eastAsia" w:cs="宋体"/>
          <w:color w:val="auto"/>
          <w:kern w:val="1"/>
          <w:sz w:val="21"/>
          <w:szCs w:val="24"/>
          <w:highlight w:val="none"/>
        </w:rPr>
        <w:t>（6）与本招标项目的咨询单位或招标代理机构相互控股或参股或有隶属关系；</w:t>
      </w:r>
    </w:p>
    <w:p>
      <w:pPr>
        <w:spacing w:line="360" w:lineRule="auto"/>
        <w:ind w:firstLine="359"/>
        <w:rPr>
          <w:rFonts w:cs="宋体"/>
          <w:color w:val="auto"/>
          <w:kern w:val="1"/>
          <w:sz w:val="21"/>
          <w:szCs w:val="24"/>
          <w:highlight w:val="none"/>
        </w:rPr>
      </w:pPr>
      <w:r>
        <w:rPr>
          <w:rFonts w:hint="eastAsia" w:cs="宋体"/>
          <w:color w:val="auto"/>
          <w:kern w:val="1"/>
          <w:sz w:val="21"/>
          <w:szCs w:val="24"/>
          <w:highlight w:val="none"/>
        </w:rPr>
        <w:t xml:space="preserve">（7）被有关行政主管部门责令停业； </w:t>
      </w:r>
    </w:p>
    <w:p>
      <w:pPr>
        <w:spacing w:line="360" w:lineRule="auto"/>
        <w:ind w:firstLine="359"/>
        <w:rPr>
          <w:rFonts w:cs="宋体"/>
          <w:color w:val="auto"/>
          <w:kern w:val="1"/>
          <w:sz w:val="21"/>
          <w:szCs w:val="24"/>
          <w:highlight w:val="none"/>
        </w:rPr>
      </w:pPr>
      <w:r>
        <w:rPr>
          <w:rFonts w:hint="eastAsia" w:cs="宋体"/>
          <w:color w:val="auto"/>
          <w:kern w:val="1"/>
          <w:sz w:val="21"/>
          <w:szCs w:val="24"/>
          <w:highlight w:val="none"/>
        </w:rPr>
        <w:t>（8）本招标项目投标截止时仍处于被县级及以上住房城乡建设主管部门、司法机关暂停或者取消在本招标项目所在地的投标资格状态；</w:t>
      </w:r>
    </w:p>
    <w:p>
      <w:pPr>
        <w:spacing w:line="360" w:lineRule="auto"/>
        <w:ind w:firstLine="359"/>
        <w:rPr>
          <w:rFonts w:cs="宋体"/>
          <w:color w:val="auto"/>
          <w:kern w:val="1"/>
          <w:sz w:val="21"/>
          <w:szCs w:val="21"/>
          <w:highlight w:val="none"/>
        </w:rPr>
      </w:pPr>
      <w:r>
        <w:rPr>
          <w:rFonts w:hint="eastAsia" w:cs="宋体"/>
          <w:color w:val="auto"/>
          <w:kern w:val="1"/>
          <w:sz w:val="21"/>
          <w:szCs w:val="21"/>
          <w:highlight w:val="none"/>
        </w:rPr>
        <w:t>（9）财产被司法机</w:t>
      </w:r>
      <w:r>
        <w:rPr>
          <w:rFonts w:hint="eastAsia" w:cs="宋体"/>
          <w:color w:val="auto"/>
          <w:kern w:val="1"/>
          <w:sz w:val="21"/>
          <w:szCs w:val="24"/>
          <w:highlight w:val="none"/>
        </w:rPr>
        <w:t>关查封、扣押或冻结</w:t>
      </w:r>
      <w:r>
        <w:rPr>
          <w:rFonts w:hint="eastAsia" w:cs="宋体"/>
          <w:color w:val="auto"/>
          <w:kern w:val="1"/>
          <w:sz w:val="21"/>
          <w:szCs w:val="21"/>
          <w:highlight w:val="none"/>
        </w:rPr>
        <w:t>且导致中标后合同无法履行；</w:t>
      </w:r>
    </w:p>
    <w:p>
      <w:pPr>
        <w:spacing w:line="360" w:lineRule="auto"/>
        <w:ind w:firstLine="359"/>
        <w:rPr>
          <w:rFonts w:cs="宋体"/>
          <w:color w:val="auto"/>
          <w:kern w:val="1"/>
          <w:sz w:val="21"/>
          <w:szCs w:val="21"/>
          <w:highlight w:val="none"/>
        </w:rPr>
      </w:pPr>
      <w:r>
        <w:rPr>
          <w:rFonts w:hint="eastAsia" w:cs="宋体"/>
          <w:color w:val="auto"/>
          <w:kern w:val="1"/>
          <w:sz w:val="21"/>
          <w:szCs w:val="21"/>
          <w:highlight w:val="none"/>
        </w:rPr>
        <w:t>（10）本</w:t>
      </w:r>
      <w:r>
        <w:rPr>
          <w:rFonts w:hint="eastAsia" w:cs="宋体"/>
          <w:color w:val="auto"/>
          <w:kern w:val="1"/>
          <w:sz w:val="21"/>
          <w:szCs w:val="24"/>
          <w:highlight w:val="none"/>
        </w:rPr>
        <w:t>招标项目</w:t>
      </w:r>
      <w:r>
        <w:rPr>
          <w:rFonts w:hint="eastAsia" w:cs="宋体"/>
          <w:color w:val="auto"/>
          <w:kern w:val="1"/>
          <w:sz w:val="21"/>
          <w:szCs w:val="21"/>
          <w:highlight w:val="none"/>
        </w:rPr>
        <w:t>投标截止时企业法人仍处于被住房和城乡建设部或福建省住房和城乡建设厅认定的建筑市场主体黑名单管理期限内；</w:t>
      </w:r>
    </w:p>
    <w:p>
      <w:pPr>
        <w:spacing w:line="360" w:lineRule="auto"/>
        <w:ind w:firstLine="359"/>
        <w:rPr>
          <w:rFonts w:cs="宋体"/>
          <w:color w:val="auto"/>
          <w:kern w:val="1"/>
          <w:sz w:val="21"/>
          <w:szCs w:val="21"/>
          <w:highlight w:val="none"/>
        </w:rPr>
      </w:pPr>
      <w:r>
        <w:rPr>
          <w:rFonts w:hint="eastAsia" w:cs="宋体"/>
          <w:color w:val="auto"/>
          <w:kern w:val="1"/>
          <w:sz w:val="21"/>
          <w:szCs w:val="21"/>
          <w:highlight w:val="none"/>
        </w:rPr>
        <w:t>（11）与招标人存在利害关系可能影响招标公正性；</w:t>
      </w:r>
    </w:p>
    <w:p>
      <w:pPr>
        <w:spacing w:line="360" w:lineRule="auto"/>
        <w:ind w:firstLine="359"/>
        <w:rPr>
          <w:rFonts w:cs="宋体"/>
          <w:color w:val="auto"/>
          <w:kern w:val="1"/>
          <w:sz w:val="21"/>
          <w:szCs w:val="21"/>
          <w:highlight w:val="none"/>
        </w:rPr>
      </w:pPr>
      <w:r>
        <w:rPr>
          <w:rFonts w:hint="eastAsia" w:cs="宋体"/>
          <w:color w:val="auto"/>
          <w:kern w:val="1"/>
          <w:sz w:val="21"/>
          <w:szCs w:val="21"/>
          <w:highlight w:val="none"/>
        </w:rPr>
        <w:t>（12）单位负责人为同一人或者存在控股、管理关系的不同单位，参加同一标段投标或者未划分标段的同一招标项目投标；</w:t>
      </w:r>
    </w:p>
    <w:p>
      <w:pPr>
        <w:spacing w:line="360" w:lineRule="auto"/>
        <w:ind w:firstLine="359"/>
        <w:rPr>
          <w:rFonts w:cs="宋体"/>
          <w:color w:val="auto"/>
          <w:kern w:val="1"/>
          <w:sz w:val="21"/>
          <w:szCs w:val="21"/>
          <w:highlight w:val="none"/>
        </w:rPr>
      </w:pPr>
      <w:r>
        <w:rPr>
          <w:rFonts w:hint="eastAsia" w:cs="宋体"/>
          <w:color w:val="auto"/>
          <w:kern w:val="1"/>
          <w:sz w:val="21"/>
          <w:szCs w:val="21"/>
          <w:highlight w:val="none"/>
        </w:rPr>
        <w:t>（13）在</w:t>
      </w:r>
      <w:r>
        <w:rPr>
          <w:rFonts w:hint="eastAsia" w:cs="宋体"/>
          <w:color w:val="auto"/>
          <w:kern w:val="1"/>
          <w:sz w:val="21"/>
          <w:szCs w:val="24"/>
          <w:highlight w:val="none"/>
        </w:rPr>
        <w:t>招标项目</w:t>
      </w:r>
      <w:r>
        <w:rPr>
          <w:rFonts w:hint="eastAsia" w:cs="宋体"/>
          <w:color w:val="auto"/>
          <w:kern w:val="1"/>
          <w:sz w:val="21"/>
          <w:szCs w:val="21"/>
          <w:highlight w:val="none"/>
        </w:rPr>
        <w:t>投标中，以他人的名义投标、串通投标、以行贿手段谋取中标或者以其他弄虚作假方式投标；</w:t>
      </w:r>
    </w:p>
    <w:p>
      <w:pPr>
        <w:spacing w:line="360" w:lineRule="auto"/>
        <w:ind w:firstLine="359"/>
        <w:rPr>
          <w:rFonts w:cs="宋体"/>
          <w:color w:val="auto"/>
          <w:kern w:val="1"/>
          <w:sz w:val="21"/>
          <w:szCs w:val="21"/>
          <w:highlight w:val="none"/>
        </w:rPr>
      </w:pPr>
      <w:r>
        <w:rPr>
          <w:rFonts w:hint="eastAsia" w:cs="宋体"/>
          <w:color w:val="auto"/>
          <w:kern w:val="1"/>
          <w:sz w:val="21"/>
          <w:szCs w:val="21"/>
          <w:highlight w:val="none"/>
        </w:rPr>
        <w:t>（14）采取挂靠等非法手段，以多个投标人名义进行围标的；</w:t>
      </w:r>
    </w:p>
    <w:p>
      <w:pPr>
        <w:spacing w:line="360" w:lineRule="auto"/>
        <w:ind w:firstLine="359"/>
        <w:rPr>
          <w:rFonts w:cs="宋体"/>
          <w:color w:val="auto"/>
          <w:kern w:val="1"/>
          <w:sz w:val="21"/>
          <w:szCs w:val="21"/>
          <w:highlight w:val="none"/>
        </w:rPr>
      </w:pPr>
      <w:r>
        <w:rPr>
          <w:rFonts w:hint="eastAsia" w:cs="宋体"/>
          <w:color w:val="auto"/>
          <w:kern w:val="1"/>
          <w:sz w:val="21"/>
          <w:szCs w:val="21"/>
          <w:highlight w:val="none"/>
        </w:rPr>
        <w:t xml:space="preserve">（15）采取借用多家企业资质参与投标的手段进行围标的； </w:t>
      </w:r>
    </w:p>
    <w:p>
      <w:pPr>
        <w:spacing w:line="360" w:lineRule="auto"/>
        <w:ind w:firstLine="359"/>
        <w:rPr>
          <w:rFonts w:cs="宋体"/>
          <w:color w:val="auto"/>
          <w:kern w:val="1"/>
          <w:sz w:val="21"/>
          <w:szCs w:val="21"/>
          <w:highlight w:val="none"/>
        </w:rPr>
      </w:pPr>
      <w:r>
        <w:rPr>
          <w:rFonts w:hint="eastAsia" w:cs="宋体"/>
          <w:color w:val="auto"/>
          <w:kern w:val="1"/>
          <w:sz w:val="21"/>
          <w:szCs w:val="21"/>
          <w:highlight w:val="none"/>
        </w:rPr>
        <w:t>（16）投标人之间约定中标人或者约定部分投标人放弃投标的；</w:t>
      </w:r>
    </w:p>
    <w:p>
      <w:pPr>
        <w:spacing w:line="360" w:lineRule="auto"/>
        <w:ind w:firstLine="359"/>
        <w:rPr>
          <w:rFonts w:cs="宋体"/>
          <w:color w:val="auto"/>
          <w:kern w:val="1"/>
          <w:sz w:val="21"/>
          <w:szCs w:val="21"/>
          <w:highlight w:val="none"/>
        </w:rPr>
      </w:pPr>
      <w:r>
        <w:rPr>
          <w:rFonts w:hint="eastAsia" w:cs="宋体"/>
          <w:color w:val="auto"/>
          <w:kern w:val="1"/>
          <w:sz w:val="21"/>
          <w:szCs w:val="21"/>
          <w:highlight w:val="none"/>
        </w:rPr>
        <w:t>（17）投标人之间相互约定给予未中标的投标人费用补偿的；</w:t>
      </w:r>
    </w:p>
    <w:p>
      <w:pPr>
        <w:spacing w:line="360" w:lineRule="auto"/>
        <w:ind w:firstLine="359"/>
        <w:rPr>
          <w:rFonts w:cs="宋体"/>
          <w:color w:val="auto"/>
          <w:kern w:val="1"/>
          <w:sz w:val="21"/>
          <w:szCs w:val="21"/>
          <w:highlight w:val="none"/>
        </w:rPr>
      </w:pPr>
      <w:r>
        <w:rPr>
          <w:rFonts w:hint="eastAsia" w:cs="宋体"/>
          <w:color w:val="auto"/>
          <w:kern w:val="1"/>
          <w:sz w:val="21"/>
          <w:szCs w:val="21"/>
          <w:highlight w:val="none"/>
        </w:rPr>
        <w:t>（18）不同投标人的投标文件存在异常一致；</w:t>
      </w:r>
    </w:p>
    <w:p>
      <w:pPr>
        <w:spacing w:line="360" w:lineRule="auto"/>
        <w:ind w:firstLine="359"/>
        <w:rPr>
          <w:rFonts w:cs="宋体"/>
          <w:color w:val="auto"/>
          <w:kern w:val="1"/>
          <w:sz w:val="21"/>
          <w:szCs w:val="21"/>
          <w:highlight w:val="none"/>
        </w:rPr>
      </w:pPr>
      <w:r>
        <w:rPr>
          <w:rFonts w:hint="eastAsia" w:cs="宋体"/>
          <w:color w:val="auto"/>
          <w:kern w:val="1"/>
          <w:sz w:val="21"/>
          <w:szCs w:val="21"/>
          <w:highlight w:val="none"/>
        </w:rPr>
        <w:t>（19）不同投标人的投标文件由同一单位或者同一个人编制的；</w:t>
      </w:r>
    </w:p>
    <w:p>
      <w:pPr>
        <w:spacing w:line="360" w:lineRule="auto"/>
        <w:ind w:firstLine="359"/>
        <w:rPr>
          <w:rFonts w:cs="宋体"/>
          <w:color w:val="auto"/>
          <w:kern w:val="1"/>
          <w:sz w:val="21"/>
          <w:szCs w:val="21"/>
          <w:highlight w:val="none"/>
        </w:rPr>
      </w:pPr>
      <w:r>
        <w:rPr>
          <w:rFonts w:hint="eastAsia" w:cs="宋体"/>
          <w:color w:val="auto"/>
          <w:kern w:val="1"/>
          <w:sz w:val="21"/>
          <w:szCs w:val="21"/>
          <w:highlight w:val="none"/>
        </w:rPr>
        <w:t>（20）在资格审查或开标时，不同投标人的投标资料（包括电子资料）相互混装的；</w:t>
      </w:r>
    </w:p>
    <w:p>
      <w:pPr>
        <w:spacing w:line="360" w:lineRule="auto"/>
        <w:ind w:firstLine="359"/>
        <w:rPr>
          <w:rFonts w:cs="宋体"/>
          <w:color w:val="auto"/>
          <w:kern w:val="1"/>
          <w:sz w:val="21"/>
          <w:szCs w:val="21"/>
          <w:highlight w:val="none"/>
        </w:rPr>
      </w:pPr>
      <w:r>
        <w:rPr>
          <w:rFonts w:hint="eastAsia" w:cs="宋体"/>
          <w:color w:val="auto"/>
          <w:kern w:val="1"/>
          <w:sz w:val="21"/>
          <w:szCs w:val="21"/>
          <w:highlight w:val="none"/>
        </w:rPr>
        <w:t>（21）不同投标人的投标保证金来自于同一企业或个人账户；或不同投标人的投标保函由同一单位或个人办理的；</w:t>
      </w:r>
    </w:p>
    <w:p>
      <w:pPr>
        <w:spacing w:line="360" w:lineRule="auto"/>
        <w:ind w:firstLine="359"/>
        <w:rPr>
          <w:rFonts w:cs="宋体"/>
          <w:color w:val="auto"/>
          <w:kern w:val="1"/>
          <w:sz w:val="21"/>
          <w:szCs w:val="21"/>
          <w:highlight w:val="none"/>
        </w:rPr>
      </w:pPr>
      <w:r>
        <w:rPr>
          <w:rFonts w:hint="eastAsia"/>
          <w:color w:val="auto"/>
          <w:kern w:val="1"/>
          <w:sz w:val="21"/>
          <w:szCs w:val="21"/>
          <w:highlight w:val="none"/>
        </w:rPr>
        <w:t>（22）</w:t>
      </w:r>
      <w:r>
        <w:rPr>
          <w:rFonts w:hint="eastAsia" w:cs="宋体"/>
          <w:color w:val="auto"/>
          <w:kern w:val="1"/>
          <w:sz w:val="21"/>
          <w:szCs w:val="21"/>
          <w:highlight w:val="none"/>
        </w:rPr>
        <w:t>投标人须知前附表规定的其他情形。</w:t>
      </w:r>
    </w:p>
    <w:p>
      <w:pPr>
        <w:spacing w:line="360" w:lineRule="auto"/>
        <w:ind w:firstLine="359"/>
        <w:rPr>
          <w:rFonts w:cs="宋体"/>
          <w:color w:val="auto"/>
          <w:kern w:val="1"/>
          <w:sz w:val="21"/>
          <w:szCs w:val="21"/>
          <w:highlight w:val="none"/>
        </w:rPr>
      </w:pPr>
      <w:r>
        <w:rPr>
          <w:rFonts w:hint="eastAsia" w:cs="宋体"/>
          <w:color w:val="auto"/>
          <w:kern w:val="1"/>
          <w:sz w:val="21"/>
          <w:szCs w:val="21"/>
          <w:highlight w:val="none"/>
        </w:rPr>
        <w:t>1.4.4对投标人的资格审查采用的方式见投标人须知。资格审查的程序与标准见第三章“评标办法”。</w:t>
      </w:r>
    </w:p>
    <w:p>
      <w:pPr>
        <w:pStyle w:val="5"/>
        <w:widowControl/>
        <w:spacing w:beforeLines="0" w:afterLines="0"/>
        <w:ind w:firstLine="0"/>
        <w:rPr>
          <w:rFonts w:hAnsi="宋体" w:cs="黑体"/>
          <w:color w:val="auto"/>
          <w:highlight w:val="none"/>
        </w:rPr>
      </w:pPr>
      <w:bookmarkStart w:id="361" w:name="_Toc106703228"/>
      <w:bookmarkStart w:id="362" w:name="_Toc61877258"/>
      <w:bookmarkStart w:id="363" w:name="_Toc3172"/>
      <w:bookmarkStart w:id="364" w:name="_Toc26380"/>
      <w:bookmarkStart w:id="365" w:name="_Toc22493"/>
      <w:bookmarkStart w:id="366" w:name="_Toc22200"/>
      <w:bookmarkStart w:id="367" w:name="_Toc26449"/>
      <w:bookmarkStart w:id="368" w:name="_Toc29709"/>
      <w:r>
        <w:rPr>
          <w:rFonts w:hint="eastAsia" w:hAnsi="宋体" w:cs="黑体"/>
          <w:color w:val="auto"/>
          <w:highlight w:val="none"/>
        </w:rPr>
        <w:t>1.5 费用承担</w:t>
      </w:r>
      <w:bookmarkEnd w:id="361"/>
      <w:bookmarkEnd w:id="362"/>
      <w:bookmarkEnd w:id="363"/>
      <w:bookmarkEnd w:id="364"/>
      <w:bookmarkEnd w:id="365"/>
      <w:bookmarkEnd w:id="366"/>
      <w:bookmarkEnd w:id="367"/>
      <w:bookmarkEnd w:id="368"/>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投标人准备和参加投标活动发生的费用自理。</w:t>
      </w:r>
    </w:p>
    <w:p>
      <w:pPr>
        <w:pStyle w:val="5"/>
        <w:widowControl/>
        <w:spacing w:beforeLines="0" w:afterLines="0"/>
        <w:ind w:firstLine="0"/>
        <w:rPr>
          <w:rFonts w:hAnsi="宋体" w:cs="黑体"/>
          <w:color w:val="auto"/>
          <w:highlight w:val="none"/>
        </w:rPr>
      </w:pPr>
      <w:bookmarkStart w:id="369" w:name="_Toc6374"/>
      <w:bookmarkStart w:id="370" w:name="_Toc27239"/>
      <w:bookmarkStart w:id="371" w:name="_Toc6202"/>
      <w:bookmarkStart w:id="372" w:name="_Toc106703229"/>
      <w:bookmarkStart w:id="373" w:name="_Toc21394"/>
      <w:bookmarkStart w:id="374" w:name="_Toc61877259"/>
      <w:bookmarkStart w:id="375" w:name="_Toc8945"/>
      <w:bookmarkStart w:id="376" w:name="_Toc4570"/>
      <w:r>
        <w:rPr>
          <w:rFonts w:hint="eastAsia" w:hAnsi="宋体" w:cs="黑体"/>
          <w:color w:val="auto"/>
          <w:highlight w:val="none"/>
        </w:rPr>
        <w:t>1.6 保密</w:t>
      </w:r>
      <w:bookmarkEnd w:id="369"/>
      <w:bookmarkEnd w:id="370"/>
      <w:bookmarkEnd w:id="371"/>
      <w:bookmarkEnd w:id="372"/>
      <w:bookmarkEnd w:id="373"/>
      <w:bookmarkEnd w:id="374"/>
      <w:bookmarkEnd w:id="375"/>
      <w:bookmarkEnd w:id="376"/>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 xml:space="preserve">参与招标投标活动的各方应对招标文件和投标文件中的商业和技术等秘密保密，否则应承担相应的法律责任。 </w:t>
      </w:r>
    </w:p>
    <w:p>
      <w:pPr>
        <w:pStyle w:val="5"/>
        <w:widowControl/>
        <w:spacing w:beforeLines="0" w:afterLines="0"/>
        <w:ind w:firstLine="0"/>
        <w:rPr>
          <w:rFonts w:hAnsi="宋体" w:cs="黑体"/>
          <w:color w:val="auto"/>
          <w:highlight w:val="none"/>
        </w:rPr>
      </w:pPr>
      <w:bookmarkStart w:id="377" w:name="_Toc2161"/>
      <w:bookmarkStart w:id="378" w:name="_Toc106703230"/>
      <w:bookmarkStart w:id="379" w:name="_Toc61877260"/>
      <w:bookmarkStart w:id="380" w:name="_Toc20771"/>
      <w:bookmarkStart w:id="381" w:name="_Toc26160"/>
      <w:bookmarkStart w:id="382" w:name="_Toc26212"/>
      <w:bookmarkStart w:id="383" w:name="_Toc1689"/>
      <w:bookmarkStart w:id="384" w:name="_Toc8331"/>
      <w:r>
        <w:rPr>
          <w:rFonts w:hint="eastAsia" w:hAnsi="宋体" w:cs="黑体"/>
          <w:color w:val="auto"/>
          <w:highlight w:val="none"/>
        </w:rPr>
        <w:t>1.7 语言文字</w:t>
      </w:r>
      <w:bookmarkEnd w:id="377"/>
      <w:bookmarkEnd w:id="378"/>
      <w:bookmarkEnd w:id="379"/>
      <w:bookmarkEnd w:id="380"/>
      <w:bookmarkEnd w:id="381"/>
      <w:bookmarkEnd w:id="382"/>
      <w:bookmarkEnd w:id="383"/>
      <w:bookmarkEnd w:id="384"/>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除专用术语外，与招标投标有关的语言均使用中文。必要时专用术语应附有中文注释。</w:t>
      </w:r>
    </w:p>
    <w:p>
      <w:pPr>
        <w:pStyle w:val="5"/>
        <w:widowControl/>
        <w:spacing w:beforeLines="0" w:afterLines="0"/>
        <w:ind w:firstLine="0"/>
        <w:rPr>
          <w:rFonts w:hAnsi="宋体" w:cs="黑体"/>
          <w:color w:val="auto"/>
          <w:highlight w:val="none"/>
        </w:rPr>
      </w:pPr>
      <w:bookmarkStart w:id="385" w:name="_Toc27800"/>
      <w:bookmarkStart w:id="386" w:name="_Toc11872"/>
      <w:bookmarkStart w:id="387" w:name="_Toc28933"/>
      <w:bookmarkStart w:id="388" w:name="_Toc11538"/>
      <w:bookmarkStart w:id="389" w:name="_Toc106703231"/>
      <w:bookmarkStart w:id="390" w:name="_Toc17577"/>
      <w:bookmarkStart w:id="391" w:name="_Toc61877261"/>
      <w:bookmarkStart w:id="392" w:name="_Toc9901"/>
      <w:r>
        <w:rPr>
          <w:rFonts w:hint="eastAsia" w:hAnsi="宋体" w:cs="黑体"/>
          <w:color w:val="auto"/>
          <w:highlight w:val="none"/>
        </w:rPr>
        <w:t>1.8 计量单位</w:t>
      </w:r>
      <w:bookmarkEnd w:id="385"/>
      <w:bookmarkEnd w:id="386"/>
      <w:bookmarkEnd w:id="387"/>
      <w:bookmarkEnd w:id="388"/>
      <w:bookmarkEnd w:id="389"/>
      <w:bookmarkEnd w:id="390"/>
      <w:bookmarkEnd w:id="391"/>
      <w:bookmarkEnd w:id="392"/>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所有计量均采用中华人民共和国法定计量单位。</w:t>
      </w:r>
    </w:p>
    <w:p>
      <w:pPr>
        <w:pStyle w:val="5"/>
        <w:widowControl/>
        <w:spacing w:beforeLines="0" w:afterLines="0"/>
        <w:ind w:firstLine="0"/>
        <w:rPr>
          <w:rFonts w:hAnsi="宋体" w:cs="黑体"/>
          <w:color w:val="auto"/>
          <w:highlight w:val="none"/>
        </w:rPr>
      </w:pPr>
      <w:bookmarkStart w:id="393" w:name="_Toc61877262"/>
      <w:bookmarkStart w:id="394" w:name="_Toc22595"/>
      <w:bookmarkStart w:id="395" w:name="_Toc29077"/>
      <w:bookmarkStart w:id="396" w:name="_Toc14036"/>
      <w:bookmarkStart w:id="397" w:name="_Toc106703232"/>
      <w:bookmarkStart w:id="398" w:name="_Toc32646"/>
      <w:bookmarkStart w:id="399" w:name="_Toc17880"/>
      <w:bookmarkStart w:id="400" w:name="_Toc26690"/>
      <w:r>
        <w:rPr>
          <w:rFonts w:hint="eastAsia" w:hAnsi="宋体" w:cs="黑体"/>
          <w:color w:val="auto"/>
          <w:highlight w:val="none"/>
        </w:rPr>
        <w:t>1.9 踏勘现场</w:t>
      </w:r>
      <w:bookmarkEnd w:id="393"/>
      <w:bookmarkEnd w:id="394"/>
      <w:bookmarkEnd w:id="395"/>
      <w:bookmarkEnd w:id="396"/>
      <w:bookmarkEnd w:id="397"/>
      <w:bookmarkEnd w:id="398"/>
      <w:bookmarkEnd w:id="399"/>
      <w:bookmarkEnd w:id="400"/>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1.9.1招标人不组织踏勘项目现场。潜在投标人可自行前往工程施工场地对工程现场和其周围环境进行踏勘。潜在投标人没有对现场进行踏勘的，视同对招标项目现场已经了解。</w:t>
      </w:r>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1.9.2潜在投标人在踏勘现场中了解的工程场地和相关的周边环境情况，供投标人在编制投标文件时参考，招标人不对投标人据此作出的判断和决策负责。</w:t>
      </w:r>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1.9.3 潜在投标人踏勘现场发生的费用自理。</w:t>
      </w:r>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1.9.4 潜在投标人自行负责在踏勘现场中所发生的人员伤亡和财产损失。</w:t>
      </w:r>
    </w:p>
    <w:p>
      <w:pPr>
        <w:pStyle w:val="5"/>
        <w:widowControl/>
        <w:spacing w:beforeLines="0" w:afterLines="0"/>
        <w:ind w:firstLine="0"/>
        <w:rPr>
          <w:rFonts w:hAnsi="宋体" w:cs="黑体"/>
          <w:color w:val="auto"/>
          <w:highlight w:val="none"/>
        </w:rPr>
      </w:pPr>
      <w:bookmarkStart w:id="401" w:name="_Toc3083"/>
      <w:bookmarkStart w:id="402" w:name="_Toc16152"/>
      <w:bookmarkStart w:id="403" w:name="_Toc5678"/>
      <w:bookmarkStart w:id="404" w:name="_Toc106703233"/>
      <w:bookmarkStart w:id="405" w:name="_Toc22666"/>
      <w:bookmarkStart w:id="406" w:name="_Toc21455"/>
      <w:bookmarkStart w:id="407" w:name="_Toc14842"/>
      <w:bookmarkStart w:id="408" w:name="_Toc61877263"/>
      <w:r>
        <w:rPr>
          <w:rFonts w:hint="eastAsia" w:hAnsi="宋体" w:cs="黑体"/>
          <w:color w:val="auto"/>
          <w:highlight w:val="none"/>
        </w:rPr>
        <w:t>1.10 疑问</w:t>
      </w:r>
      <w:bookmarkEnd w:id="401"/>
      <w:bookmarkEnd w:id="402"/>
      <w:bookmarkEnd w:id="403"/>
      <w:bookmarkEnd w:id="404"/>
      <w:bookmarkEnd w:id="405"/>
      <w:bookmarkEnd w:id="406"/>
      <w:bookmarkEnd w:id="407"/>
      <w:bookmarkEnd w:id="408"/>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潜在投标人对招标事项、招标文件有疑问的，应在投标人须知前附表规定的截止时间前，以不署名、不盖章的形式通过电子交易平台发送给招标人，招标人应当及时通过电子交易平台接收疑问、答复或者发布招标文件的澄清、修改。</w:t>
      </w:r>
    </w:p>
    <w:p>
      <w:pPr>
        <w:pStyle w:val="5"/>
        <w:widowControl/>
        <w:spacing w:beforeLines="0" w:afterLines="0"/>
        <w:ind w:firstLine="0"/>
        <w:rPr>
          <w:rFonts w:hAnsi="宋体" w:cs="黑体"/>
          <w:color w:val="auto"/>
          <w:highlight w:val="none"/>
        </w:rPr>
      </w:pPr>
      <w:bookmarkStart w:id="409" w:name="_Toc9501"/>
      <w:bookmarkStart w:id="410" w:name="_Toc8804"/>
      <w:bookmarkStart w:id="411" w:name="_Toc15651"/>
      <w:bookmarkStart w:id="412" w:name="_Toc3551"/>
      <w:bookmarkStart w:id="413" w:name="_Toc106703234"/>
      <w:bookmarkStart w:id="414" w:name="_Toc61877264"/>
      <w:bookmarkStart w:id="415" w:name="_Toc20658"/>
      <w:bookmarkStart w:id="416" w:name="_Toc17755"/>
      <w:r>
        <w:rPr>
          <w:rFonts w:hint="eastAsia" w:hAnsi="宋体" w:cs="黑体"/>
          <w:color w:val="auto"/>
          <w:highlight w:val="none"/>
        </w:rPr>
        <w:t>1.11 分包</w:t>
      </w:r>
      <w:bookmarkEnd w:id="409"/>
      <w:bookmarkEnd w:id="410"/>
      <w:bookmarkEnd w:id="411"/>
      <w:bookmarkEnd w:id="412"/>
      <w:bookmarkEnd w:id="413"/>
      <w:bookmarkEnd w:id="414"/>
      <w:bookmarkEnd w:id="415"/>
      <w:bookmarkEnd w:id="416"/>
    </w:p>
    <w:p>
      <w:pPr>
        <w:spacing w:line="360" w:lineRule="auto"/>
        <w:ind w:firstLine="420" w:firstLineChars="200"/>
        <w:rPr>
          <w:rFonts w:cs="宋体"/>
          <w:color w:val="auto"/>
          <w:kern w:val="1"/>
          <w:sz w:val="21"/>
          <w:szCs w:val="21"/>
          <w:highlight w:val="none"/>
        </w:rPr>
      </w:pPr>
      <w:r>
        <w:rPr>
          <w:rFonts w:hint="eastAsia" w:cs="宋体"/>
          <w:color w:val="auto"/>
          <w:kern w:val="1"/>
          <w:sz w:val="21"/>
          <w:szCs w:val="21"/>
          <w:highlight w:val="none"/>
        </w:rPr>
        <w:t>投标人拟在中标后将中标项目的部分非主体、非关键性工作进行分包的，应符合投标人须知前附表规定的分包内容和接受分包的第三人资格、资质要求等限制性条件。选择分包企业时，优先选择项目所在地具有相应经验的分包企业</w:t>
      </w:r>
      <w:r>
        <w:rPr>
          <w:rFonts w:hint="eastAsia" w:cs="宋体"/>
          <w:color w:val="auto"/>
          <w:sz w:val="24"/>
          <w:szCs w:val="24"/>
          <w:highlight w:val="none"/>
        </w:rPr>
        <w:t>。</w:t>
      </w:r>
    </w:p>
    <w:p>
      <w:pPr>
        <w:pStyle w:val="5"/>
        <w:widowControl/>
        <w:spacing w:beforeLines="0" w:afterLines="0"/>
        <w:ind w:firstLine="0"/>
        <w:rPr>
          <w:rFonts w:hAnsi="宋体" w:cs="黑体"/>
          <w:color w:val="auto"/>
          <w:highlight w:val="none"/>
        </w:rPr>
      </w:pPr>
      <w:bookmarkStart w:id="417" w:name="_Toc61877265"/>
      <w:bookmarkStart w:id="418" w:name="_Toc27171"/>
      <w:bookmarkStart w:id="419" w:name="_Toc26032"/>
      <w:bookmarkStart w:id="420" w:name="_Toc15345"/>
      <w:bookmarkStart w:id="421" w:name="_Toc106703235"/>
      <w:bookmarkStart w:id="422" w:name="_Toc4514"/>
      <w:bookmarkStart w:id="423" w:name="_Toc22577"/>
      <w:bookmarkStart w:id="424" w:name="_Toc16625"/>
      <w:r>
        <w:rPr>
          <w:rFonts w:hint="eastAsia" w:hAnsi="宋体" w:cs="黑体"/>
          <w:color w:val="auto"/>
          <w:highlight w:val="none"/>
        </w:rPr>
        <w:t>1.12 偏离</w:t>
      </w:r>
      <w:bookmarkEnd w:id="417"/>
      <w:bookmarkEnd w:id="418"/>
      <w:bookmarkEnd w:id="419"/>
      <w:bookmarkEnd w:id="420"/>
      <w:bookmarkEnd w:id="421"/>
      <w:bookmarkEnd w:id="422"/>
      <w:bookmarkEnd w:id="423"/>
      <w:bookmarkEnd w:id="424"/>
    </w:p>
    <w:p>
      <w:pPr>
        <w:spacing w:line="360" w:lineRule="auto"/>
        <w:ind w:firstLine="359"/>
        <w:rPr>
          <w:rFonts w:cs="宋体"/>
          <w:color w:val="auto"/>
          <w:kern w:val="1"/>
          <w:sz w:val="21"/>
          <w:szCs w:val="21"/>
          <w:highlight w:val="none"/>
        </w:rPr>
      </w:pPr>
      <w:r>
        <w:rPr>
          <w:rFonts w:hint="eastAsia" w:cs="宋体"/>
          <w:color w:val="auto"/>
          <w:kern w:val="1"/>
          <w:sz w:val="21"/>
          <w:szCs w:val="21"/>
          <w:highlight w:val="none"/>
        </w:rPr>
        <w:t>投标人须知前附表允许投标文件偏离招标文件某些要求的，偏离应当符合招标文件规定的偏离范围和幅度。</w:t>
      </w:r>
    </w:p>
    <w:p>
      <w:pPr>
        <w:pStyle w:val="5"/>
        <w:widowControl/>
        <w:spacing w:beforeLines="0" w:afterLines="0"/>
        <w:rPr>
          <w:rFonts w:hAnsi="宋体" w:cs="宋体"/>
          <w:color w:val="auto"/>
          <w:sz w:val="32"/>
          <w:szCs w:val="32"/>
          <w:highlight w:val="none"/>
        </w:rPr>
      </w:pPr>
      <w:bookmarkStart w:id="425" w:name="_Toc61877266"/>
      <w:bookmarkStart w:id="426" w:name="_Toc32635"/>
      <w:bookmarkStart w:id="427" w:name="_Toc4470"/>
      <w:bookmarkStart w:id="428" w:name="_Toc9526"/>
      <w:bookmarkStart w:id="429" w:name="_Toc4150"/>
      <w:bookmarkStart w:id="430" w:name="_Toc4852"/>
      <w:bookmarkStart w:id="431" w:name="_Toc106703236"/>
      <w:bookmarkStart w:id="432" w:name="_Toc11078"/>
      <w:r>
        <w:rPr>
          <w:rFonts w:hint="eastAsia" w:hAnsi="宋体" w:cs="黑体"/>
          <w:color w:val="auto"/>
          <w:highlight w:val="none"/>
        </w:rPr>
        <w:t>2. 招标文件</w:t>
      </w:r>
      <w:bookmarkEnd w:id="425"/>
      <w:bookmarkEnd w:id="426"/>
      <w:bookmarkEnd w:id="427"/>
      <w:bookmarkEnd w:id="428"/>
      <w:bookmarkEnd w:id="429"/>
      <w:bookmarkEnd w:id="430"/>
      <w:bookmarkEnd w:id="431"/>
      <w:bookmarkEnd w:id="432"/>
    </w:p>
    <w:p>
      <w:pPr>
        <w:pStyle w:val="5"/>
        <w:widowControl/>
        <w:spacing w:beforeLines="0" w:afterLines="0"/>
        <w:ind w:firstLine="140" w:firstLineChars="50"/>
        <w:rPr>
          <w:rFonts w:hAnsi="宋体" w:cs="黑体"/>
          <w:color w:val="auto"/>
          <w:highlight w:val="none"/>
        </w:rPr>
      </w:pPr>
      <w:bookmarkStart w:id="433" w:name="_Toc106703237"/>
      <w:bookmarkStart w:id="434" w:name="_Toc13974"/>
      <w:bookmarkStart w:id="435" w:name="_Toc5302"/>
      <w:bookmarkStart w:id="436" w:name="_Toc61877267"/>
      <w:bookmarkStart w:id="437" w:name="_Toc3400"/>
      <w:bookmarkStart w:id="438" w:name="_Toc26442"/>
      <w:bookmarkStart w:id="439" w:name="_Toc21659"/>
      <w:bookmarkStart w:id="440" w:name="_Toc32427"/>
      <w:r>
        <w:rPr>
          <w:rFonts w:hint="eastAsia" w:hAnsi="宋体" w:cs="黑体"/>
          <w:color w:val="auto"/>
          <w:highlight w:val="none"/>
        </w:rPr>
        <w:t>2.1 招标文件的组成</w:t>
      </w:r>
      <w:bookmarkEnd w:id="433"/>
      <w:bookmarkEnd w:id="434"/>
      <w:bookmarkEnd w:id="435"/>
      <w:bookmarkEnd w:id="436"/>
      <w:bookmarkEnd w:id="437"/>
      <w:bookmarkEnd w:id="438"/>
      <w:bookmarkEnd w:id="439"/>
      <w:bookmarkEnd w:id="440"/>
    </w:p>
    <w:p>
      <w:pPr>
        <w:spacing w:line="360" w:lineRule="auto"/>
        <w:rPr>
          <w:rFonts w:cs="宋体"/>
          <w:color w:val="auto"/>
          <w:kern w:val="1"/>
          <w:sz w:val="21"/>
          <w:szCs w:val="21"/>
          <w:highlight w:val="none"/>
        </w:rPr>
      </w:pPr>
      <w:r>
        <w:rPr>
          <w:rFonts w:hint="eastAsia" w:cs="宋体"/>
          <w:color w:val="auto"/>
          <w:kern w:val="1"/>
          <w:sz w:val="21"/>
          <w:szCs w:val="21"/>
          <w:highlight w:val="none"/>
        </w:rPr>
        <w:t xml:space="preserve">  本招标文件包括：</w:t>
      </w:r>
    </w:p>
    <w:p>
      <w:pPr>
        <w:spacing w:line="360" w:lineRule="auto"/>
        <w:ind w:firstLine="359"/>
        <w:rPr>
          <w:rFonts w:cs="宋体"/>
          <w:color w:val="auto"/>
          <w:kern w:val="1"/>
          <w:sz w:val="21"/>
          <w:szCs w:val="21"/>
          <w:highlight w:val="none"/>
        </w:rPr>
      </w:pPr>
      <w:r>
        <w:rPr>
          <w:rFonts w:hint="eastAsia" w:cs="宋体"/>
          <w:color w:val="auto"/>
          <w:kern w:val="1"/>
          <w:sz w:val="21"/>
          <w:szCs w:val="21"/>
          <w:highlight w:val="none"/>
        </w:rPr>
        <w:t>（1）招标公告（或投标邀请书）；</w:t>
      </w:r>
    </w:p>
    <w:p>
      <w:pPr>
        <w:spacing w:line="360" w:lineRule="auto"/>
        <w:ind w:firstLine="359"/>
        <w:rPr>
          <w:rFonts w:cs="宋体"/>
          <w:color w:val="auto"/>
          <w:kern w:val="1"/>
          <w:sz w:val="21"/>
          <w:szCs w:val="21"/>
          <w:highlight w:val="none"/>
        </w:rPr>
      </w:pPr>
      <w:r>
        <w:rPr>
          <w:rFonts w:hint="eastAsia" w:cs="宋体"/>
          <w:color w:val="auto"/>
          <w:kern w:val="1"/>
          <w:sz w:val="21"/>
          <w:szCs w:val="21"/>
          <w:highlight w:val="none"/>
        </w:rPr>
        <w:t>（2）投标人须知；</w:t>
      </w:r>
    </w:p>
    <w:p>
      <w:pPr>
        <w:spacing w:line="360" w:lineRule="auto"/>
        <w:ind w:firstLine="359"/>
        <w:rPr>
          <w:rFonts w:cs="宋体"/>
          <w:color w:val="auto"/>
          <w:kern w:val="1"/>
          <w:sz w:val="21"/>
          <w:szCs w:val="21"/>
          <w:highlight w:val="none"/>
        </w:rPr>
      </w:pPr>
      <w:r>
        <w:rPr>
          <w:rFonts w:hint="eastAsia" w:cs="宋体"/>
          <w:color w:val="auto"/>
          <w:kern w:val="1"/>
          <w:sz w:val="21"/>
          <w:szCs w:val="21"/>
          <w:highlight w:val="none"/>
        </w:rPr>
        <w:t>（3）评标办法；</w:t>
      </w:r>
    </w:p>
    <w:p>
      <w:pPr>
        <w:spacing w:line="360" w:lineRule="auto"/>
        <w:ind w:firstLine="359"/>
        <w:rPr>
          <w:rFonts w:cs="宋体"/>
          <w:color w:val="auto"/>
          <w:kern w:val="1"/>
          <w:sz w:val="21"/>
          <w:szCs w:val="21"/>
          <w:highlight w:val="none"/>
        </w:rPr>
      </w:pPr>
      <w:r>
        <w:rPr>
          <w:rFonts w:hint="eastAsia" w:cs="宋体"/>
          <w:color w:val="auto"/>
          <w:kern w:val="1"/>
          <w:sz w:val="21"/>
          <w:szCs w:val="21"/>
          <w:highlight w:val="none"/>
        </w:rPr>
        <w:t>（4）定标办法；</w:t>
      </w:r>
    </w:p>
    <w:p>
      <w:pPr>
        <w:spacing w:line="360" w:lineRule="auto"/>
        <w:ind w:firstLine="359"/>
        <w:rPr>
          <w:rFonts w:cs="宋体"/>
          <w:color w:val="auto"/>
          <w:kern w:val="1"/>
          <w:sz w:val="21"/>
          <w:szCs w:val="21"/>
          <w:highlight w:val="none"/>
        </w:rPr>
      </w:pPr>
      <w:r>
        <w:rPr>
          <w:rFonts w:hint="eastAsia" w:cs="宋体"/>
          <w:color w:val="auto"/>
          <w:kern w:val="1"/>
          <w:sz w:val="21"/>
          <w:szCs w:val="21"/>
          <w:highlight w:val="none"/>
        </w:rPr>
        <w:t>（5）合同条款及格式；</w:t>
      </w:r>
    </w:p>
    <w:p>
      <w:pPr>
        <w:spacing w:line="360" w:lineRule="auto"/>
        <w:ind w:firstLine="359"/>
        <w:rPr>
          <w:rFonts w:cs="宋体"/>
          <w:color w:val="auto"/>
          <w:kern w:val="1"/>
          <w:sz w:val="21"/>
          <w:szCs w:val="21"/>
          <w:highlight w:val="none"/>
        </w:rPr>
      </w:pPr>
      <w:r>
        <w:rPr>
          <w:rFonts w:hint="eastAsia" w:cs="宋体"/>
          <w:color w:val="auto"/>
          <w:kern w:val="1"/>
          <w:sz w:val="21"/>
          <w:szCs w:val="21"/>
          <w:highlight w:val="none"/>
        </w:rPr>
        <w:t>（6）工程量清单与计价；</w:t>
      </w:r>
    </w:p>
    <w:p>
      <w:pPr>
        <w:spacing w:line="360" w:lineRule="auto"/>
        <w:ind w:firstLine="359"/>
        <w:rPr>
          <w:rFonts w:cs="宋体"/>
          <w:color w:val="auto"/>
          <w:kern w:val="1"/>
          <w:sz w:val="21"/>
          <w:szCs w:val="21"/>
          <w:highlight w:val="none"/>
        </w:rPr>
      </w:pPr>
      <w:r>
        <w:rPr>
          <w:rFonts w:hint="eastAsia" w:cs="宋体"/>
          <w:color w:val="auto"/>
          <w:kern w:val="1"/>
          <w:sz w:val="21"/>
          <w:szCs w:val="21"/>
          <w:highlight w:val="none"/>
        </w:rPr>
        <w:t>（7）招标图纸；</w:t>
      </w:r>
    </w:p>
    <w:p>
      <w:pPr>
        <w:spacing w:line="360" w:lineRule="auto"/>
        <w:ind w:firstLine="359"/>
        <w:rPr>
          <w:rFonts w:cs="宋体"/>
          <w:color w:val="auto"/>
          <w:kern w:val="1"/>
          <w:sz w:val="21"/>
          <w:szCs w:val="21"/>
          <w:highlight w:val="none"/>
        </w:rPr>
      </w:pPr>
      <w:r>
        <w:rPr>
          <w:rFonts w:hint="eastAsia" w:cs="宋体"/>
          <w:color w:val="auto"/>
          <w:kern w:val="1"/>
          <w:sz w:val="21"/>
          <w:szCs w:val="21"/>
          <w:highlight w:val="none"/>
        </w:rPr>
        <w:t>（8）技术标准和要求；</w:t>
      </w:r>
    </w:p>
    <w:p>
      <w:pPr>
        <w:spacing w:line="360" w:lineRule="auto"/>
        <w:ind w:firstLine="359"/>
        <w:rPr>
          <w:rFonts w:cs="宋体"/>
          <w:color w:val="auto"/>
          <w:kern w:val="1"/>
          <w:sz w:val="21"/>
          <w:szCs w:val="21"/>
          <w:highlight w:val="none"/>
        </w:rPr>
      </w:pPr>
      <w:r>
        <w:rPr>
          <w:rFonts w:hint="eastAsia" w:cs="宋体"/>
          <w:color w:val="auto"/>
          <w:kern w:val="1"/>
          <w:sz w:val="21"/>
          <w:szCs w:val="21"/>
          <w:highlight w:val="none"/>
        </w:rPr>
        <w:t>（9）投标文件格式。</w:t>
      </w:r>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根据本章第1.10项、第2.2项对招标文件所作的澄清、修改，均构成招标文件的组成部分，对招标人和投标人起约束作用。当招标文件与澄清、修改对同一内容的表述不一致时，以最后发出的内容为准。</w:t>
      </w:r>
    </w:p>
    <w:p>
      <w:pPr>
        <w:pStyle w:val="5"/>
        <w:widowControl/>
        <w:spacing w:beforeLines="0" w:afterLines="0"/>
        <w:rPr>
          <w:rFonts w:hAnsi="宋体" w:cs="黑体"/>
          <w:color w:val="auto"/>
          <w:highlight w:val="none"/>
        </w:rPr>
      </w:pPr>
      <w:bookmarkStart w:id="441" w:name="_Toc1418"/>
      <w:bookmarkStart w:id="442" w:name="_Toc2200"/>
      <w:bookmarkStart w:id="443" w:name="_Toc25272"/>
      <w:bookmarkStart w:id="444" w:name="_Toc10459"/>
      <w:bookmarkStart w:id="445" w:name="_Toc106703238"/>
      <w:bookmarkStart w:id="446" w:name="_Toc17173"/>
      <w:bookmarkStart w:id="447" w:name="_Toc31479"/>
      <w:bookmarkStart w:id="448" w:name="_Toc61877268"/>
      <w:r>
        <w:rPr>
          <w:rFonts w:hint="eastAsia" w:hAnsi="宋体" w:cs="黑体"/>
          <w:color w:val="auto"/>
          <w:highlight w:val="none"/>
        </w:rPr>
        <w:t>2.2 招标文件的澄清、修改</w:t>
      </w:r>
      <w:bookmarkEnd w:id="441"/>
      <w:bookmarkEnd w:id="442"/>
      <w:bookmarkEnd w:id="443"/>
      <w:bookmarkEnd w:id="444"/>
      <w:bookmarkEnd w:id="445"/>
      <w:bookmarkEnd w:id="446"/>
      <w:bookmarkEnd w:id="447"/>
      <w:bookmarkEnd w:id="448"/>
    </w:p>
    <w:p>
      <w:pPr>
        <w:adjustRightInd w:val="0"/>
        <w:snapToGrid w:val="0"/>
        <w:spacing w:line="360" w:lineRule="auto"/>
        <w:ind w:firstLine="420" w:firstLineChars="200"/>
        <w:jc w:val="left"/>
        <w:textAlignment w:val="baseline"/>
        <w:rPr>
          <w:rFonts w:cs="宋体"/>
          <w:color w:val="auto"/>
          <w:kern w:val="1"/>
          <w:sz w:val="21"/>
          <w:szCs w:val="21"/>
          <w:highlight w:val="none"/>
        </w:rPr>
      </w:pPr>
      <w:r>
        <w:rPr>
          <w:rFonts w:hint="eastAsia" w:cs="宋体"/>
          <w:color w:val="auto"/>
          <w:kern w:val="1"/>
          <w:sz w:val="21"/>
          <w:szCs w:val="21"/>
          <w:highlight w:val="none"/>
        </w:rPr>
        <w:t>2.2.1招标人可以对已发出的招标文件进行必要的澄清、修改，并通过电子交易平台发布。澄清、修改的内容可能影响投标文件编制的，将在投标人须知前附表规定的投标截止时间前至少15日（采用简易招标法的招标项目为5日，下同）前通过电子交易平台发布；不足15 日（5日）的，将相应延长投标截止时间。</w:t>
      </w:r>
    </w:p>
    <w:p>
      <w:pPr>
        <w:adjustRightInd w:val="0"/>
        <w:snapToGrid w:val="0"/>
        <w:spacing w:line="360" w:lineRule="auto"/>
        <w:ind w:firstLine="420" w:firstLineChars="200"/>
        <w:jc w:val="left"/>
        <w:textAlignment w:val="baseline"/>
        <w:rPr>
          <w:rFonts w:cs="宋体"/>
          <w:color w:val="auto"/>
          <w:kern w:val="1"/>
          <w:sz w:val="21"/>
          <w:szCs w:val="21"/>
          <w:highlight w:val="none"/>
        </w:rPr>
      </w:pPr>
      <w:r>
        <w:rPr>
          <w:rFonts w:hint="eastAsia" w:cs="宋体"/>
          <w:color w:val="auto"/>
          <w:kern w:val="1"/>
          <w:sz w:val="21"/>
          <w:szCs w:val="21"/>
          <w:highlight w:val="none"/>
        </w:rPr>
        <w:t>2.2.2潜在投标人应自行留意招标人发布的招标文件的澄清、修改。</w:t>
      </w:r>
    </w:p>
    <w:p>
      <w:pPr>
        <w:pStyle w:val="5"/>
        <w:widowControl/>
        <w:spacing w:beforeLines="0" w:afterLines="0"/>
        <w:rPr>
          <w:rFonts w:hAnsi="宋体" w:cs="宋体"/>
          <w:color w:val="auto"/>
          <w:sz w:val="32"/>
          <w:szCs w:val="32"/>
          <w:highlight w:val="none"/>
        </w:rPr>
      </w:pPr>
      <w:bookmarkStart w:id="449" w:name="_Toc26397"/>
      <w:bookmarkStart w:id="450" w:name="_Toc106703239"/>
      <w:bookmarkStart w:id="451" w:name="_Toc29945"/>
      <w:bookmarkStart w:id="452" w:name="_Toc61877269"/>
      <w:bookmarkStart w:id="453" w:name="_Toc3561"/>
      <w:bookmarkStart w:id="454" w:name="_Toc17858"/>
      <w:bookmarkStart w:id="455" w:name="_Toc13816"/>
      <w:bookmarkStart w:id="456" w:name="_Toc7604"/>
      <w:r>
        <w:rPr>
          <w:rFonts w:hint="eastAsia" w:hAnsi="宋体" w:cs="黑体"/>
          <w:color w:val="auto"/>
          <w:highlight w:val="none"/>
        </w:rPr>
        <w:t>3. 投标文件</w:t>
      </w:r>
      <w:bookmarkEnd w:id="449"/>
      <w:bookmarkEnd w:id="450"/>
      <w:bookmarkEnd w:id="451"/>
      <w:bookmarkEnd w:id="452"/>
      <w:bookmarkEnd w:id="453"/>
      <w:bookmarkEnd w:id="454"/>
      <w:bookmarkEnd w:id="455"/>
      <w:bookmarkEnd w:id="456"/>
    </w:p>
    <w:p>
      <w:pPr>
        <w:pStyle w:val="5"/>
        <w:widowControl/>
        <w:spacing w:beforeLines="0" w:afterLines="0"/>
        <w:rPr>
          <w:rFonts w:hAnsi="宋体" w:cs="黑体"/>
          <w:color w:val="auto"/>
          <w:highlight w:val="none"/>
        </w:rPr>
      </w:pPr>
      <w:bookmarkStart w:id="457" w:name="_Toc28063"/>
      <w:bookmarkStart w:id="458" w:name="_Toc24739"/>
      <w:bookmarkStart w:id="459" w:name="_Toc25569"/>
      <w:bookmarkStart w:id="460" w:name="_Toc61877270"/>
      <w:bookmarkStart w:id="461" w:name="_Toc14476"/>
      <w:bookmarkStart w:id="462" w:name="_Toc11385"/>
      <w:bookmarkStart w:id="463" w:name="_Toc106703240"/>
      <w:bookmarkStart w:id="464" w:name="_Toc10644"/>
      <w:r>
        <w:rPr>
          <w:rFonts w:hint="eastAsia" w:hAnsi="宋体" w:cs="黑体"/>
          <w:color w:val="auto"/>
          <w:highlight w:val="none"/>
        </w:rPr>
        <w:t>3.1 投标文件的组成</w:t>
      </w:r>
      <w:bookmarkEnd w:id="457"/>
      <w:bookmarkEnd w:id="458"/>
      <w:bookmarkEnd w:id="459"/>
      <w:bookmarkEnd w:id="460"/>
      <w:bookmarkEnd w:id="461"/>
      <w:bookmarkEnd w:id="462"/>
      <w:bookmarkEnd w:id="463"/>
      <w:bookmarkEnd w:id="464"/>
    </w:p>
    <w:p>
      <w:pPr>
        <w:spacing w:line="360" w:lineRule="auto"/>
        <w:rPr>
          <w:rFonts w:cs="宋体"/>
          <w:color w:val="auto"/>
          <w:kern w:val="1"/>
          <w:sz w:val="21"/>
          <w:szCs w:val="21"/>
          <w:highlight w:val="none"/>
        </w:rPr>
      </w:pPr>
      <w:r>
        <w:rPr>
          <w:rFonts w:hint="eastAsia" w:cs="宋体"/>
          <w:color w:val="auto"/>
          <w:kern w:val="1"/>
          <w:sz w:val="21"/>
          <w:szCs w:val="21"/>
          <w:highlight w:val="none"/>
        </w:rPr>
        <w:t xml:space="preserve">    3.1.1 投标文件一般包括下列内容，投标人编制和提交的投标文件具体内容见投标人须知前附表，具体格式见第九章“投标文件格式”（包括有关脚注或说明），其中资格文件其他资料和商务文件其他资料的格式见投标人须知前附表：</w:t>
      </w:r>
    </w:p>
    <w:p>
      <w:pPr>
        <w:adjustRightInd w:val="0"/>
        <w:snapToGrid w:val="0"/>
        <w:spacing w:line="360" w:lineRule="auto"/>
        <w:textAlignment w:val="baseline"/>
        <w:rPr>
          <w:rFonts w:cs="宋体"/>
          <w:color w:val="auto"/>
          <w:sz w:val="21"/>
          <w:szCs w:val="21"/>
          <w:highlight w:val="none"/>
        </w:rPr>
      </w:pPr>
      <w:r>
        <w:rPr>
          <w:rFonts w:hint="eastAsia" w:cs="宋体"/>
          <w:color w:val="auto"/>
          <w:sz w:val="21"/>
          <w:szCs w:val="21"/>
          <w:highlight w:val="none"/>
        </w:rPr>
        <w:t xml:space="preserve">    一、资格文件</w:t>
      </w:r>
    </w:p>
    <w:p>
      <w:pPr>
        <w:numPr>
          <w:ilvl w:val="0"/>
          <w:numId w:val="16"/>
        </w:numPr>
        <w:adjustRightInd w:val="0"/>
        <w:snapToGrid w:val="0"/>
        <w:spacing w:line="360" w:lineRule="auto"/>
        <w:ind w:left="1145"/>
        <w:textAlignment w:val="baseline"/>
        <w:rPr>
          <w:rFonts w:cs="宋体"/>
          <w:color w:val="auto"/>
          <w:sz w:val="21"/>
          <w:szCs w:val="21"/>
          <w:highlight w:val="none"/>
        </w:rPr>
      </w:pPr>
      <w:r>
        <w:rPr>
          <w:rFonts w:hint="eastAsia" w:cs="宋体"/>
          <w:color w:val="auto"/>
          <w:sz w:val="21"/>
          <w:szCs w:val="21"/>
          <w:highlight w:val="none"/>
        </w:rPr>
        <w:t>投标人基本情况表</w:t>
      </w:r>
    </w:p>
    <w:p>
      <w:pPr>
        <w:numPr>
          <w:ilvl w:val="0"/>
          <w:numId w:val="16"/>
        </w:numPr>
        <w:adjustRightInd w:val="0"/>
        <w:snapToGrid w:val="0"/>
        <w:spacing w:line="360" w:lineRule="auto"/>
        <w:ind w:left="1145"/>
        <w:textAlignment w:val="baseline"/>
        <w:rPr>
          <w:rFonts w:cs="宋体"/>
          <w:color w:val="auto"/>
          <w:kern w:val="2"/>
          <w:sz w:val="21"/>
          <w:szCs w:val="21"/>
          <w:highlight w:val="none"/>
        </w:rPr>
      </w:pPr>
      <w:r>
        <w:rPr>
          <w:rFonts w:hint="eastAsia" w:cs="宋体"/>
          <w:color w:val="auto"/>
          <w:kern w:val="2"/>
          <w:sz w:val="21"/>
          <w:szCs w:val="21"/>
          <w:highlight w:val="none"/>
        </w:rPr>
        <w:t>联合体协议书</w:t>
      </w:r>
      <w:r>
        <w:rPr>
          <w:rFonts w:hint="eastAsia" w:cs="宋体"/>
          <w:color w:val="auto"/>
          <w:sz w:val="21"/>
          <w:szCs w:val="21"/>
          <w:highlight w:val="none"/>
        </w:rPr>
        <w:t>（如有时）</w:t>
      </w:r>
    </w:p>
    <w:p>
      <w:pPr>
        <w:numPr>
          <w:ilvl w:val="0"/>
          <w:numId w:val="16"/>
        </w:numPr>
        <w:adjustRightInd w:val="0"/>
        <w:snapToGrid w:val="0"/>
        <w:spacing w:line="360" w:lineRule="auto"/>
        <w:ind w:left="1145"/>
        <w:textAlignment w:val="baseline"/>
        <w:rPr>
          <w:rFonts w:cs="宋体"/>
          <w:color w:val="auto"/>
          <w:kern w:val="2"/>
          <w:sz w:val="21"/>
          <w:szCs w:val="21"/>
          <w:highlight w:val="none"/>
        </w:rPr>
      </w:pPr>
      <w:r>
        <w:rPr>
          <w:rFonts w:hint="eastAsia" w:cs="宋体"/>
          <w:color w:val="auto"/>
          <w:kern w:val="2"/>
          <w:sz w:val="21"/>
          <w:szCs w:val="21"/>
          <w:highlight w:val="none"/>
        </w:rPr>
        <w:t>法定代表人资格证明书</w:t>
      </w:r>
    </w:p>
    <w:p>
      <w:pPr>
        <w:numPr>
          <w:ilvl w:val="0"/>
          <w:numId w:val="16"/>
        </w:numPr>
        <w:adjustRightInd w:val="0"/>
        <w:snapToGrid w:val="0"/>
        <w:spacing w:line="360" w:lineRule="auto"/>
        <w:ind w:left="1145"/>
        <w:textAlignment w:val="baseline"/>
        <w:rPr>
          <w:rFonts w:cs="宋体"/>
          <w:color w:val="auto"/>
          <w:kern w:val="2"/>
          <w:sz w:val="21"/>
          <w:szCs w:val="21"/>
          <w:highlight w:val="none"/>
        </w:rPr>
      </w:pPr>
      <w:r>
        <w:rPr>
          <w:rFonts w:hint="eastAsia" w:cs="宋体"/>
          <w:color w:val="auto"/>
          <w:kern w:val="2"/>
          <w:sz w:val="21"/>
          <w:szCs w:val="21"/>
          <w:highlight w:val="none"/>
        </w:rPr>
        <w:t>投标人诚信承诺函</w:t>
      </w:r>
    </w:p>
    <w:p>
      <w:pPr>
        <w:numPr>
          <w:ilvl w:val="0"/>
          <w:numId w:val="16"/>
        </w:numPr>
        <w:adjustRightInd w:val="0"/>
        <w:snapToGrid w:val="0"/>
        <w:spacing w:line="360" w:lineRule="auto"/>
        <w:ind w:left="1145"/>
        <w:textAlignment w:val="baseline"/>
        <w:rPr>
          <w:rFonts w:cs="宋体"/>
          <w:color w:val="auto"/>
          <w:sz w:val="21"/>
          <w:szCs w:val="21"/>
          <w:highlight w:val="none"/>
        </w:rPr>
      </w:pPr>
      <w:r>
        <w:rPr>
          <w:rFonts w:hint="eastAsia" w:cs="宋体"/>
          <w:color w:val="auto"/>
          <w:sz w:val="21"/>
          <w:szCs w:val="21"/>
          <w:highlight w:val="none"/>
        </w:rPr>
        <w:t>授权委托书（如有时）</w:t>
      </w:r>
    </w:p>
    <w:p>
      <w:pPr>
        <w:numPr>
          <w:ilvl w:val="0"/>
          <w:numId w:val="16"/>
        </w:numPr>
        <w:adjustRightInd w:val="0"/>
        <w:snapToGrid w:val="0"/>
        <w:spacing w:line="360" w:lineRule="auto"/>
        <w:ind w:left="1145"/>
        <w:textAlignment w:val="baseline"/>
        <w:rPr>
          <w:rFonts w:cs="宋体"/>
          <w:color w:val="auto"/>
          <w:sz w:val="21"/>
          <w:szCs w:val="21"/>
          <w:highlight w:val="none"/>
        </w:rPr>
      </w:pPr>
      <w:r>
        <w:rPr>
          <w:rFonts w:hint="eastAsia" w:cs="宋体"/>
          <w:color w:val="auto"/>
          <w:sz w:val="21"/>
          <w:szCs w:val="21"/>
          <w:highlight w:val="none"/>
        </w:rPr>
        <w:t>投标保证金</w:t>
      </w:r>
    </w:p>
    <w:p>
      <w:pPr>
        <w:numPr>
          <w:ilvl w:val="0"/>
          <w:numId w:val="16"/>
        </w:numPr>
        <w:adjustRightInd w:val="0"/>
        <w:snapToGrid w:val="0"/>
        <w:spacing w:line="360" w:lineRule="auto"/>
        <w:ind w:left="1145"/>
        <w:textAlignment w:val="baseline"/>
        <w:rPr>
          <w:rFonts w:cs="宋体"/>
          <w:color w:val="auto"/>
          <w:sz w:val="21"/>
          <w:szCs w:val="21"/>
          <w:highlight w:val="none"/>
        </w:rPr>
      </w:pPr>
      <w:r>
        <w:rPr>
          <w:rFonts w:hint="eastAsia" w:cs="宋体"/>
          <w:color w:val="auto"/>
          <w:sz w:val="21"/>
          <w:szCs w:val="21"/>
          <w:highlight w:val="none"/>
        </w:rPr>
        <w:t>拟分包企业情况表（如有时）</w:t>
      </w:r>
    </w:p>
    <w:p>
      <w:pPr>
        <w:numPr>
          <w:ilvl w:val="0"/>
          <w:numId w:val="16"/>
        </w:numPr>
        <w:adjustRightInd w:val="0"/>
        <w:snapToGrid w:val="0"/>
        <w:spacing w:line="360" w:lineRule="auto"/>
        <w:ind w:left="1145"/>
        <w:textAlignment w:val="baseline"/>
        <w:rPr>
          <w:rFonts w:cs="宋体"/>
          <w:color w:val="auto"/>
          <w:sz w:val="21"/>
          <w:szCs w:val="21"/>
          <w:highlight w:val="none"/>
        </w:rPr>
      </w:pPr>
      <w:r>
        <w:rPr>
          <w:rFonts w:hint="eastAsia" w:cs="宋体"/>
          <w:color w:val="auto"/>
          <w:sz w:val="21"/>
          <w:szCs w:val="21"/>
          <w:highlight w:val="none"/>
        </w:rPr>
        <w:t>定标要素情况表</w:t>
      </w:r>
    </w:p>
    <w:p>
      <w:pPr>
        <w:numPr>
          <w:ilvl w:val="0"/>
          <w:numId w:val="16"/>
        </w:numPr>
        <w:adjustRightInd w:val="0"/>
        <w:snapToGrid w:val="0"/>
        <w:spacing w:line="360" w:lineRule="auto"/>
        <w:ind w:left="1145"/>
        <w:textAlignment w:val="baseline"/>
        <w:rPr>
          <w:rFonts w:cs="宋体"/>
          <w:color w:val="auto"/>
          <w:sz w:val="21"/>
          <w:szCs w:val="21"/>
          <w:highlight w:val="none"/>
        </w:rPr>
      </w:pPr>
      <w:r>
        <w:rPr>
          <w:rFonts w:hint="eastAsia" w:cs="宋体"/>
          <w:color w:val="auto"/>
          <w:sz w:val="21"/>
          <w:szCs w:val="21"/>
          <w:highlight w:val="none"/>
        </w:rPr>
        <w:t>其他资料</w:t>
      </w:r>
    </w:p>
    <w:p>
      <w:pPr>
        <w:adjustRightInd w:val="0"/>
        <w:snapToGrid w:val="0"/>
        <w:spacing w:line="360" w:lineRule="auto"/>
        <w:ind w:firstLine="424" w:firstLineChars="202"/>
        <w:textAlignment w:val="baseline"/>
        <w:rPr>
          <w:rFonts w:cs="宋体"/>
          <w:color w:val="auto"/>
          <w:sz w:val="21"/>
          <w:szCs w:val="21"/>
          <w:highlight w:val="none"/>
        </w:rPr>
      </w:pPr>
      <w:r>
        <w:rPr>
          <w:rFonts w:hint="eastAsia" w:cs="宋体"/>
          <w:color w:val="auto"/>
          <w:sz w:val="21"/>
          <w:szCs w:val="21"/>
          <w:highlight w:val="none"/>
        </w:rPr>
        <w:t>二、商务文件</w:t>
      </w:r>
    </w:p>
    <w:p>
      <w:pPr>
        <w:numPr>
          <w:ilvl w:val="0"/>
          <w:numId w:val="0"/>
        </w:numPr>
        <w:adjustRightInd w:val="0"/>
        <w:snapToGrid w:val="0"/>
        <w:spacing w:line="360" w:lineRule="auto"/>
        <w:ind w:left="1144" w:leftChars="0" w:hanging="720" w:firstLineChars="0"/>
        <w:textAlignment w:val="baseline"/>
        <w:rPr>
          <w:rFonts w:cs="宋体"/>
          <w:color w:val="auto"/>
          <w:sz w:val="21"/>
          <w:szCs w:val="21"/>
          <w:highlight w:val="none"/>
        </w:rPr>
      </w:pPr>
      <w:r>
        <w:rPr>
          <w:rFonts w:hint="default" w:ascii="宋体" w:hAnsi="宋体" w:eastAsia="宋体" w:cs="宋体"/>
          <w:color w:val="auto"/>
          <w:sz w:val="21"/>
          <w:szCs w:val="21"/>
          <w:highlight w:val="none"/>
          <w:lang w:val="en-US" w:eastAsia="zh-CN" w:bidi="ar-SA"/>
        </w:rPr>
        <w:t>（1）</w:t>
      </w:r>
      <w:r>
        <w:rPr>
          <w:rFonts w:hint="eastAsia" w:cs="宋体"/>
          <w:color w:val="auto"/>
          <w:sz w:val="21"/>
          <w:szCs w:val="21"/>
          <w:highlight w:val="none"/>
        </w:rPr>
        <w:t>投标函</w:t>
      </w:r>
    </w:p>
    <w:p>
      <w:pPr>
        <w:numPr>
          <w:ilvl w:val="0"/>
          <w:numId w:val="0"/>
        </w:numPr>
        <w:adjustRightInd w:val="0"/>
        <w:snapToGrid w:val="0"/>
        <w:spacing w:line="360" w:lineRule="auto"/>
        <w:ind w:left="1144" w:leftChars="0" w:hanging="720" w:firstLineChars="0"/>
        <w:textAlignment w:val="baseline"/>
        <w:rPr>
          <w:rFonts w:cs="宋体"/>
          <w:color w:val="auto"/>
          <w:sz w:val="21"/>
          <w:szCs w:val="21"/>
          <w:highlight w:val="none"/>
        </w:rPr>
      </w:pPr>
      <w:r>
        <w:rPr>
          <w:rFonts w:hint="default" w:ascii="宋体" w:hAnsi="宋体" w:eastAsia="宋体" w:cs="宋体"/>
          <w:color w:val="auto"/>
          <w:sz w:val="21"/>
          <w:szCs w:val="21"/>
          <w:highlight w:val="none"/>
          <w:lang w:val="en-US" w:eastAsia="zh-CN" w:bidi="ar-SA"/>
        </w:rPr>
        <w:t>（2）</w:t>
      </w:r>
      <w:r>
        <w:rPr>
          <w:rFonts w:hint="eastAsia" w:cs="宋体"/>
          <w:color w:val="auto"/>
          <w:sz w:val="21"/>
          <w:szCs w:val="21"/>
          <w:highlight w:val="none"/>
        </w:rPr>
        <w:t>投标函附录</w:t>
      </w:r>
    </w:p>
    <w:p>
      <w:pPr>
        <w:numPr>
          <w:ilvl w:val="0"/>
          <w:numId w:val="0"/>
        </w:numPr>
        <w:adjustRightInd w:val="0"/>
        <w:snapToGrid w:val="0"/>
        <w:spacing w:line="360" w:lineRule="auto"/>
        <w:ind w:left="0" w:leftChars="0" w:firstLine="424" w:firstLineChars="0"/>
        <w:textAlignment w:val="baseline"/>
        <w:rPr>
          <w:rFonts w:cs="宋体"/>
          <w:color w:val="auto"/>
          <w:sz w:val="21"/>
          <w:szCs w:val="21"/>
          <w:highlight w:val="none"/>
        </w:rPr>
      </w:pPr>
      <w:r>
        <w:rPr>
          <w:rFonts w:hint="default" w:ascii="宋体" w:hAnsi="宋体" w:eastAsia="宋体" w:cs="宋体"/>
          <w:color w:val="auto"/>
          <w:sz w:val="21"/>
          <w:szCs w:val="21"/>
          <w:highlight w:val="none"/>
          <w:lang w:val="en-US" w:eastAsia="zh-CN" w:bidi="ar-SA"/>
        </w:rPr>
        <w:t>（3）</w:t>
      </w:r>
      <w:r>
        <w:rPr>
          <w:rFonts w:hint="eastAsia" w:cs="宋体"/>
          <w:color w:val="auto"/>
          <w:sz w:val="21"/>
          <w:szCs w:val="21"/>
          <w:highlight w:val="none"/>
        </w:rPr>
        <w:t>已标价工程量清单有关编制人员情况表</w:t>
      </w:r>
    </w:p>
    <w:p>
      <w:pPr>
        <w:numPr>
          <w:ilvl w:val="0"/>
          <w:numId w:val="0"/>
        </w:numPr>
        <w:adjustRightInd w:val="0"/>
        <w:snapToGrid w:val="0"/>
        <w:spacing w:line="360" w:lineRule="auto"/>
        <w:ind w:left="1144" w:leftChars="0" w:hanging="720" w:firstLineChars="0"/>
        <w:textAlignment w:val="baseline"/>
        <w:rPr>
          <w:rFonts w:cs="宋体"/>
          <w:color w:val="auto"/>
          <w:sz w:val="21"/>
          <w:szCs w:val="21"/>
          <w:highlight w:val="none"/>
        </w:rPr>
      </w:pPr>
      <w:r>
        <w:rPr>
          <w:rFonts w:hint="default" w:ascii="宋体" w:hAnsi="宋体" w:eastAsia="宋体" w:cs="宋体"/>
          <w:color w:val="auto"/>
          <w:sz w:val="21"/>
          <w:szCs w:val="21"/>
          <w:highlight w:val="none"/>
          <w:lang w:val="en-US" w:eastAsia="zh-CN" w:bidi="ar-SA"/>
        </w:rPr>
        <w:t>（4）</w:t>
      </w:r>
      <w:r>
        <w:rPr>
          <w:rFonts w:hint="eastAsia" w:cs="宋体"/>
          <w:color w:val="auto"/>
          <w:sz w:val="21"/>
          <w:szCs w:val="21"/>
          <w:highlight w:val="none"/>
        </w:rPr>
        <w:t>已标价工程量清单（是否需要另外提交XML电子文档，见投标人须知前附表）</w:t>
      </w:r>
    </w:p>
    <w:p>
      <w:pPr>
        <w:numPr>
          <w:ilvl w:val="0"/>
          <w:numId w:val="0"/>
        </w:numPr>
        <w:adjustRightInd w:val="0"/>
        <w:snapToGrid w:val="0"/>
        <w:spacing w:line="360" w:lineRule="auto"/>
        <w:ind w:left="1144" w:leftChars="0" w:hanging="720" w:firstLineChars="0"/>
        <w:textAlignment w:val="baseline"/>
        <w:rPr>
          <w:rFonts w:cs="宋体"/>
          <w:color w:val="auto"/>
          <w:sz w:val="21"/>
          <w:szCs w:val="21"/>
          <w:highlight w:val="none"/>
        </w:rPr>
      </w:pPr>
      <w:r>
        <w:rPr>
          <w:rFonts w:hint="default" w:ascii="宋体" w:hAnsi="宋体" w:eastAsia="宋体" w:cs="宋体"/>
          <w:color w:val="auto"/>
          <w:sz w:val="21"/>
          <w:szCs w:val="21"/>
          <w:highlight w:val="none"/>
          <w:lang w:val="en-US" w:eastAsia="zh-CN" w:bidi="ar-SA"/>
        </w:rPr>
        <w:t>（5）</w:t>
      </w:r>
      <w:r>
        <w:rPr>
          <w:rFonts w:hint="eastAsia" w:cs="宋体"/>
          <w:color w:val="auto"/>
          <w:sz w:val="21"/>
          <w:szCs w:val="21"/>
          <w:highlight w:val="none"/>
        </w:rPr>
        <w:t>其他资料</w:t>
      </w:r>
    </w:p>
    <w:p>
      <w:pPr>
        <w:adjustRightInd w:val="0"/>
        <w:snapToGrid w:val="0"/>
        <w:spacing w:line="360" w:lineRule="auto"/>
        <w:ind w:firstLine="424" w:firstLineChars="202"/>
        <w:textAlignment w:val="baseline"/>
        <w:rPr>
          <w:rFonts w:cs="宋体"/>
          <w:color w:val="auto"/>
          <w:sz w:val="21"/>
          <w:szCs w:val="21"/>
          <w:highlight w:val="none"/>
        </w:rPr>
      </w:pPr>
      <w:r>
        <w:rPr>
          <w:rFonts w:hint="eastAsia" w:cs="宋体"/>
          <w:color w:val="auto"/>
          <w:sz w:val="21"/>
          <w:szCs w:val="21"/>
          <w:highlight w:val="none"/>
        </w:rPr>
        <w:t>三、技术文件</w:t>
      </w:r>
    </w:p>
    <w:p>
      <w:pPr>
        <w:spacing w:line="360" w:lineRule="auto"/>
        <w:ind w:firstLine="359"/>
        <w:rPr>
          <w:rFonts w:cs="宋体"/>
          <w:color w:val="auto"/>
          <w:kern w:val="1"/>
          <w:sz w:val="21"/>
          <w:szCs w:val="21"/>
          <w:highlight w:val="none"/>
        </w:rPr>
      </w:pPr>
      <w:r>
        <w:rPr>
          <w:rFonts w:hint="eastAsia" w:cs="宋体"/>
          <w:color w:val="auto"/>
          <w:kern w:val="1"/>
          <w:sz w:val="21"/>
          <w:szCs w:val="21"/>
          <w:highlight w:val="none"/>
        </w:rPr>
        <w:t xml:space="preserve">3.1.2 投标人须知前附表规定不接受联合体投标的，或投标人没有组成联合体的，投标文件不包括本章第3.1.1项中的联合体协议书。 </w:t>
      </w:r>
    </w:p>
    <w:p>
      <w:pPr>
        <w:pStyle w:val="5"/>
        <w:widowControl/>
        <w:spacing w:beforeLines="0" w:afterLines="0"/>
        <w:rPr>
          <w:rFonts w:hAnsi="宋体" w:cs="黑体"/>
          <w:color w:val="auto"/>
          <w:highlight w:val="none"/>
        </w:rPr>
      </w:pPr>
      <w:bookmarkStart w:id="465" w:name="_Toc106703241"/>
      <w:bookmarkStart w:id="466" w:name="_Toc8160"/>
      <w:bookmarkStart w:id="467" w:name="_Toc2300"/>
      <w:bookmarkStart w:id="468" w:name="_Toc61877271"/>
      <w:bookmarkStart w:id="469" w:name="_Toc27866"/>
      <w:bookmarkStart w:id="470" w:name="_Toc16954"/>
      <w:bookmarkStart w:id="471" w:name="_Toc1026"/>
      <w:bookmarkStart w:id="472" w:name="_Toc25933"/>
      <w:r>
        <w:rPr>
          <w:rFonts w:hint="eastAsia" w:hAnsi="宋体" w:cs="黑体"/>
          <w:color w:val="auto"/>
          <w:highlight w:val="none"/>
        </w:rPr>
        <w:t>3.2 投标报价</w:t>
      </w:r>
      <w:bookmarkEnd w:id="465"/>
      <w:bookmarkEnd w:id="466"/>
      <w:bookmarkEnd w:id="467"/>
      <w:bookmarkEnd w:id="468"/>
      <w:bookmarkEnd w:id="469"/>
      <w:bookmarkEnd w:id="470"/>
      <w:bookmarkEnd w:id="471"/>
      <w:bookmarkEnd w:id="472"/>
      <w:r>
        <w:rPr>
          <w:rFonts w:hint="eastAsia" w:hAnsi="宋体" w:cs="黑体"/>
          <w:color w:val="auto"/>
          <w:highlight w:val="none"/>
        </w:rPr>
        <w:t xml:space="preserve"> </w:t>
      </w:r>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3.2.1 投标人应按第六章“工程量清单与计价”和第九章“投标文件格式”的要求进行投标报价。</w:t>
      </w:r>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3.2.2 投标人应充分了解施工场地的位置、周边环境、道路、装卸、保管、安装限制以及影响投标报价的其他要素，结合市场情况进行投标报价。</w:t>
      </w:r>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3.2.3招标人设有最高投标报价限价的，投标人的投标报价不得超过最高投标报价限价。最高投标报价限价的发布详见投标人须知前附表，最高投标报价限价的编制要求与组成内容详见第六章“工程量清单与计价”。</w:t>
      </w:r>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3.2.4 投标应以人民币报价，合同实施时亦以人民币支付。</w:t>
      </w:r>
    </w:p>
    <w:p>
      <w:pPr>
        <w:pStyle w:val="5"/>
        <w:widowControl/>
        <w:spacing w:beforeLines="0" w:afterLines="0"/>
        <w:rPr>
          <w:rFonts w:hAnsi="宋体" w:cs="黑体"/>
          <w:color w:val="auto"/>
          <w:highlight w:val="none"/>
        </w:rPr>
      </w:pPr>
      <w:bookmarkStart w:id="473" w:name="_Toc25200"/>
      <w:bookmarkStart w:id="474" w:name="_Toc30017"/>
      <w:bookmarkStart w:id="475" w:name="_Toc15458"/>
      <w:bookmarkStart w:id="476" w:name="_Toc12473"/>
      <w:bookmarkStart w:id="477" w:name="_Toc106703242"/>
      <w:bookmarkStart w:id="478" w:name="_Toc16944"/>
      <w:bookmarkStart w:id="479" w:name="_Toc61877272"/>
      <w:bookmarkStart w:id="480" w:name="_Toc9022"/>
      <w:r>
        <w:rPr>
          <w:rFonts w:hint="eastAsia" w:hAnsi="宋体" w:cs="黑体"/>
          <w:color w:val="auto"/>
          <w:highlight w:val="none"/>
        </w:rPr>
        <w:t>3.3 投标有效期</w:t>
      </w:r>
      <w:bookmarkEnd w:id="473"/>
      <w:bookmarkEnd w:id="474"/>
      <w:bookmarkEnd w:id="475"/>
      <w:bookmarkEnd w:id="476"/>
      <w:bookmarkEnd w:id="477"/>
      <w:bookmarkEnd w:id="478"/>
      <w:bookmarkEnd w:id="479"/>
      <w:bookmarkEnd w:id="480"/>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3.3.1本招标项目的投标有效期见投标人须知前附表。投标有效期从投标截止之日起计算。</w:t>
      </w:r>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3.3.2 在投标有效期内，投标人撤销或修改其投标文件的，应承担招标文件和法律规定的责任。</w:t>
      </w:r>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3.3.3在投标有效期结束前，出现特殊情况的，招标人应当通过省公共服务平台和电子交易平台通知所有投标人延长投标有效期。投标人应当在规定的时间内通过电子交易平台进行确认，逾期未确认的，视为不同意延长投标有效期。投标人同意延长的，不得修改其投标文件的实质性内容，但应相应延长其投标保证金的有效期；投标人拒绝延长的，其投标失效，但投标人有权收回其投标保证金。因延长投标有效期造成投标人损失的，招标人应当给予补偿，但因不可抗力延长投标有效期的除外。在延长的投标有效期内，本投标人须知中关于投标保证金的退还与没收的规定仍然适用。</w:t>
      </w:r>
    </w:p>
    <w:p>
      <w:pPr>
        <w:pStyle w:val="5"/>
        <w:widowControl/>
        <w:spacing w:beforeLines="0" w:afterLines="0"/>
        <w:rPr>
          <w:rFonts w:hAnsi="宋体" w:cs="黑体"/>
          <w:color w:val="auto"/>
          <w:highlight w:val="none"/>
        </w:rPr>
      </w:pPr>
      <w:bookmarkStart w:id="481" w:name="_Toc61877273"/>
      <w:bookmarkStart w:id="482" w:name="_Toc13589"/>
      <w:bookmarkStart w:id="483" w:name="_Toc9234"/>
      <w:bookmarkStart w:id="484" w:name="_Toc11976"/>
      <w:bookmarkStart w:id="485" w:name="_Toc17414"/>
      <w:bookmarkStart w:id="486" w:name="_Toc17343"/>
      <w:bookmarkStart w:id="487" w:name="_Toc106703243"/>
      <w:bookmarkStart w:id="488" w:name="_Toc25704"/>
      <w:r>
        <w:rPr>
          <w:rFonts w:hint="eastAsia" w:hAnsi="宋体" w:cs="黑体"/>
          <w:color w:val="auto"/>
          <w:highlight w:val="none"/>
        </w:rPr>
        <w:t>3.4 投标保证金</w:t>
      </w:r>
      <w:bookmarkEnd w:id="481"/>
      <w:bookmarkEnd w:id="482"/>
      <w:bookmarkEnd w:id="483"/>
      <w:bookmarkEnd w:id="484"/>
      <w:bookmarkEnd w:id="485"/>
      <w:bookmarkEnd w:id="486"/>
      <w:bookmarkEnd w:id="487"/>
      <w:bookmarkEnd w:id="488"/>
    </w:p>
    <w:p>
      <w:pPr>
        <w:spacing w:line="360" w:lineRule="auto"/>
        <w:ind w:firstLine="420"/>
        <w:rPr>
          <w:rFonts w:cs="宋体"/>
          <w:color w:val="auto"/>
          <w:kern w:val="1"/>
          <w:sz w:val="21"/>
          <w:szCs w:val="24"/>
          <w:highlight w:val="none"/>
        </w:rPr>
      </w:pPr>
      <w:r>
        <w:rPr>
          <w:rFonts w:hint="eastAsia" w:cs="宋体"/>
          <w:color w:val="auto"/>
          <w:kern w:val="1"/>
          <w:sz w:val="21"/>
          <w:szCs w:val="24"/>
          <w:highlight w:val="none"/>
        </w:rPr>
        <w:t>3.4.1 投标人在递交投标文件的同时，应按投标人须知前附表规定的金额、形式、证明材料要求、有效期以及第九章“投标文件格式”规定的投标保证金格式递交投标保证金，并作为其投标文件的组成部分。投标保证金有效期应当不少于投标有效期。联合体投标的，其投标保证金由牵头人递交，并应符合投标人须知前附表的规定。</w:t>
      </w:r>
    </w:p>
    <w:p>
      <w:pPr>
        <w:spacing w:line="360" w:lineRule="auto"/>
        <w:ind w:firstLine="420"/>
        <w:rPr>
          <w:color w:val="auto"/>
          <w:sz w:val="21"/>
          <w:szCs w:val="24"/>
          <w:highlight w:val="none"/>
        </w:rPr>
      </w:pPr>
      <w:r>
        <w:rPr>
          <w:rFonts w:hint="eastAsia" w:cs="宋体"/>
          <w:color w:val="auto"/>
          <w:kern w:val="1"/>
          <w:sz w:val="21"/>
          <w:szCs w:val="24"/>
          <w:highlight w:val="none"/>
        </w:rPr>
        <w:t>3.4.2</w:t>
      </w:r>
      <w:r>
        <w:rPr>
          <w:rFonts w:hint="eastAsia"/>
          <w:color w:val="auto"/>
          <w:sz w:val="21"/>
          <w:szCs w:val="24"/>
          <w:highlight w:val="none"/>
        </w:rPr>
        <w:t>招标人在定标候选人公示期结束后的5日内（因投标人异议或投诉可能造成重新评标的，在异议或投诉处理完后5日内），应通知定标候选人以外的投标人到投标保证金的收款单位或投标保函（包括银行保函、担保保函、投标保证保险等</w:t>
      </w:r>
      <w:r>
        <w:rPr>
          <w:color w:val="auto"/>
          <w:sz w:val="21"/>
          <w:szCs w:val="24"/>
          <w:highlight w:val="none"/>
        </w:rPr>
        <w:t>，下同</w:t>
      </w:r>
      <w:r>
        <w:rPr>
          <w:rFonts w:hint="eastAsia"/>
          <w:color w:val="auto"/>
          <w:sz w:val="21"/>
          <w:szCs w:val="24"/>
          <w:highlight w:val="none"/>
        </w:rPr>
        <w:t>）的收取单位办理投标保证金</w:t>
      </w:r>
      <w:r>
        <w:rPr>
          <w:color w:val="auto"/>
          <w:sz w:val="21"/>
          <w:szCs w:val="24"/>
          <w:highlight w:val="none"/>
        </w:rPr>
        <w:t>退还手续，</w:t>
      </w:r>
      <w:r>
        <w:rPr>
          <w:rFonts w:hint="eastAsia"/>
          <w:color w:val="auto"/>
          <w:sz w:val="21"/>
          <w:szCs w:val="24"/>
          <w:highlight w:val="none"/>
        </w:rPr>
        <w:t>同时通知投标保证金的收款单位或投标保函的收取单位开始退还投标保证金或投标保函的日期、退还金额、退还的投标人名称</w:t>
      </w:r>
      <w:r>
        <w:rPr>
          <w:color w:val="auto"/>
          <w:sz w:val="21"/>
          <w:szCs w:val="24"/>
          <w:highlight w:val="none"/>
        </w:rPr>
        <w:t>，</w:t>
      </w:r>
      <w:r>
        <w:rPr>
          <w:rFonts w:hint="eastAsia"/>
          <w:color w:val="auto"/>
          <w:sz w:val="21"/>
          <w:szCs w:val="24"/>
          <w:highlight w:val="none"/>
        </w:rPr>
        <w:t>并退还</w:t>
      </w:r>
      <w:r>
        <w:rPr>
          <w:color w:val="auto"/>
          <w:sz w:val="21"/>
          <w:szCs w:val="24"/>
          <w:highlight w:val="none"/>
        </w:rPr>
        <w:t>现金</w:t>
      </w:r>
      <w:r>
        <w:rPr>
          <w:rFonts w:hint="eastAsia"/>
          <w:color w:val="auto"/>
          <w:sz w:val="21"/>
          <w:szCs w:val="24"/>
          <w:highlight w:val="none"/>
        </w:rPr>
        <w:t>投标保证金及银行同期存款利息（银行存款利率类型及利息部分应出具发票的类型见投标人须知前附表的规定，下同）。</w:t>
      </w:r>
    </w:p>
    <w:p>
      <w:pPr>
        <w:spacing w:line="360" w:lineRule="auto"/>
        <w:ind w:firstLine="420"/>
        <w:rPr>
          <w:color w:val="auto"/>
          <w:sz w:val="21"/>
          <w:szCs w:val="24"/>
          <w:highlight w:val="none"/>
        </w:rPr>
      </w:pPr>
      <w:r>
        <w:rPr>
          <w:rFonts w:hint="eastAsia"/>
          <w:color w:val="auto"/>
          <w:sz w:val="21"/>
          <w:szCs w:val="24"/>
          <w:highlight w:val="none"/>
        </w:rPr>
        <w:t>招标人在中标</w:t>
      </w:r>
      <w:r>
        <w:rPr>
          <w:color w:val="auto"/>
          <w:sz w:val="21"/>
          <w:szCs w:val="24"/>
          <w:highlight w:val="none"/>
        </w:rPr>
        <w:t>结果</w:t>
      </w:r>
      <w:r>
        <w:rPr>
          <w:rFonts w:hint="eastAsia"/>
          <w:color w:val="auto"/>
          <w:sz w:val="21"/>
          <w:szCs w:val="24"/>
          <w:highlight w:val="none"/>
        </w:rPr>
        <w:t>公布之日起5日内，应通知中标人以外的定标候选人到投标保证金的收款单位或投标保函（包括银行保函、担保保函、投标保证保险等</w:t>
      </w:r>
      <w:r>
        <w:rPr>
          <w:color w:val="auto"/>
          <w:sz w:val="21"/>
          <w:szCs w:val="24"/>
          <w:highlight w:val="none"/>
        </w:rPr>
        <w:t>，下同</w:t>
      </w:r>
      <w:r>
        <w:rPr>
          <w:rFonts w:hint="eastAsia"/>
          <w:color w:val="auto"/>
          <w:sz w:val="21"/>
          <w:szCs w:val="24"/>
          <w:highlight w:val="none"/>
        </w:rPr>
        <w:t>）的收取单位办理投标保证金</w:t>
      </w:r>
      <w:r>
        <w:rPr>
          <w:color w:val="auto"/>
          <w:sz w:val="21"/>
          <w:szCs w:val="24"/>
          <w:highlight w:val="none"/>
        </w:rPr>
        <w:t>退还手续，</w:t>
      </w:r>
      <w:r>
        <w:rPr>
          <w:rFonts w:hint="eastAsia"/>
          <w:color w:val="auto"/>
          <w:sz w:val="21"/>
          <w:szCs w:val="24"/>
          <w:highlight w:val="none"/>
        </w:rPr>
        <w:t>同时通知投标保证金的收款单位或投标保函的收取单位开始退还投标保证金或投标保函的日期、退还金额、退还的投标人名称</w:t>
      </w:r>
      <w:r>
        <w:rPr>
          <w:color w:val="auto"/>
          <w:sz w:val="21"/>
          <w:szCs w:val="24"/>
          <w:highlight w:val="none"/>
        </w:rPr>
        <w:t>，</w:t>
      </w:r>
      <w:r>
        <w:rPr>
          <w:rFonts w:hint="eastAsia"/>
          <w:color w:val="auto"/>
          <w:sz w:val="21"/>
          <w:szCs w:val="24"/>
          <w:highlight w:val="none"/>
        </w:rPr>
        <w:t>并退还</w:t>
      </w:r>
      <w:r>
        <w:rPr>
          <w:color w:val="auto"/>
          <w:sz w:val="21"/>
          <w:szCs w:val="24"/>
          <w:highlight w:val="none"/>
        </w:rPr>
        <w:t>现金</w:t>
      </w:r>
      <w:r>
        <w:rPr>
          <w:rFonts w:hint="eastAsia"/>
          <w:color w:val="auto"/>
          <w:sz w:val="21"/>
          <w:szCs w:val="24"/>
          <w:highlight w:val="none"/>
        </w:rPr>
        <w:t>投标保证金及银行同期存款利息（银行存款利率类型及利息部分应出具发票的类型见投标人须知前附表的规定，下同）。</w:t>
      </w:r>
    </w:p>
    <w:p>
      <w:pPr>
        <w:spacing w:line="360" w:lineRule="auto"/>
        <w:ind w:firstLine="420"/>
        <w:rPr>
          <w:rFonts w:cs="宋体"/>
          <w:color w:val="auto"/>
          <w:kern w:val="1"/>
          <w:sz w:val="21"/>
          <w:szCs w:val="24"/>
          <w:highlight w:val="none"/>
        </w:rPr>
      </w:pPr>
      <w:r>
        <w:rPr>
          <w:rFonts w:hint="eastAsia"/>
          <w:color w:val="auto"/>
          <w:sz w:val="21"/>
          <w:szCs w:val="24"/>
          <w:highlight w:val="none"/>
        </w:rPr>
        <w:t>招标人在与中标人签订合同后的5日内，按本投标人须知第3.4.2项规定的办法将投标保证金退还中标人。招标文件中规定中标人需提交履约担保的, 招标人应当在与中标人签订合同且提交履约担保后的5日内, 将投标保证金退还中标人。</w:t>
      </w:r>
    </w:p>
    <w:p>
      <w:pPr>
        <w:spacing w:line="360" w:lineRule="auto"/>
        <w:ind w:firstLine="420"/>
        <w:rPr>
          <w:rFonts w:cs="宋体"/>
          <w:color w:val="auto"/>
          <w:kern w:val="1"/>
          <w:sz w:val="21"/>
          <w:szCs w:val="24"/>
          <w:highlight w:val="none"/>
        </w:rPr>
      </w:pPr>
      <w:r>
        <w:rPr>
          <w:rFonts w:hint="eastAsia" w:cs="宋体"/>
          <w:color w:val="auto"/>
          <w:kern w:val="1"/>
          <w:sz w:val="21"/>
          <w:szCs w:val="24"/>
          <w:highlight w:val="none"/>
        </w:rPr>
        <w:t xml:space="preserve">3.4.3 有下列情形之一的，投标保证金将不予退还： </w:t>
      </w:r>
    </w:p>
    <w:p>
      <w:pPr>
        <w:tabs>
          <w:tab w:val="left" w:pos="800"/>
          <w:tab w:val="left" w:pos="1134"/>
        </w:tabs>
        <w:spacing w:line="360" w:lineRule="auto"/>
        <w:ind w:left="-340" w:leftChars="-100" w:firstLine="735" w:firstLineChars="350"/>
        <w:rPr>
          <w:rFonts w:cs="宋体"/>
          <w:color w:val="auto"/>
          <w:kern w:val="1"/>
          <w:sz w:val="21"/>
          <w:szCs w:val="24"/>
          <w:highlight w:val="none"/>
        </w:rPr>
      </w:pPr>
      <w:r>
        <w:rPr>
          <w:rFonts w:hint="eastAsia" w:cs="宋体"/>
          <w:color w:val="auto"/>
          <w:kern w:val="1"/>
          <w:sz w:val="21"/>
          <w:szCs w:val="24"/>
          <w:highlight w:val="none"/>
        </w:rPr>
        <w:t>（1）投标人在投标有效期内撤销其投标文件；</w:t>
      </w:r>
    </w:p>
    <w:p>
      <w:pPr>
        <w:tabs>
          <w:tab w:val="left" w:pos="800"/>
          <w:tab w:val="left" w:pos="1134"/>
        </w:tabs>
        <w:spacing w:line="360" w:lineRule="auto"/>
        <w:ind w:firstLine="420" w:firstLineChars="200"/>
        <w:rPr>
          <w:rFonts w:cs="宋体"/>
          <w:color w:val="auto"/>
          <w:kern w:val="1"/>
          <w:sz w:val="21"/>
          <w:szCs w:val="24"/>
          <w:highlight w:val="none"/>
        </w:rPr>
      </w:pPr>
      <w:r>
        <w:rPr>
          <w:rFonts w:hint="eastAsia" w:cs="宋体"/>
          <w:color w:val="auto"/>
          <w:kern w:val="1"/>
          <w:sz w:val="21"/>
          <w:szCs w:val="24"/>
          <w:highlight w:val="none"/>
        </w:rPr>
        <w:t>（2）中标人非因不可抗力原因放弃中标、无正当理由不与招标人订立合同、在签订合同时向招标人提出附加条件、或者不按照招标文件要求提交履约担保金；</w:t>
      </w:r>
    </w:p>
    <w:p>
      <w:pPr>
        <w:tabs>
          <w:tab w:val="left" w:pos="800"/>
          <w:tab w:val="left" w:pos="1134"/>
        </w:tabs>
        <w:spacing w:line="360" w:lineRule="auto"/>
        <w:ind w:left="-340" w:leftChars="-100" w:firstLine="735" w:firstLineChars="350"/>
        <w:rPr>
          <w:rFonts w:cs="宋体"/>
          <w:color w:val="auto"/>
          <w:kern w:val="1"/>
          <w:sz w:val="21"/>
          <w:szCs w:val="24"/>
          <w:highlight w:val="none"/>
        </w:rPr>
      </w:pPr>
      <w:r>
        <w:rPr>
          <w:rFonts w:hint="eastAsia" w:cs="宋体"/>
          <w:color w:val="auto"/>
          <w:kern w:val="1"/>
          <w:sz w:val="21"/>
          <w:szCs w:val="24"/>
          <w:highlight w:val="none"/>
        </w:rPr>
        <w:t>（3）投标人的投标文件存在投标人须知第3.6.4项规定的雷同情形之一；</w:t>
      </w:r>
    </w:p>
    <w:p>
      <w:pPr>
        <w:tabs>
          <w:tab w:val="left" w:pos="800"/>
          <w:tab w:val="left" w:pos="1134"/>
        </w:tabs>
        <w:spacing w:line="360" w:lineRule="auto"/>
        <w:ind w:left="-340" w:leftChars="-100" w:firstLine="735" w:firstLineChars="350"/>
        <w:rPr>
          <w:rFonts w:cs="宋体"/>
          <w:color w:val="auto"/>
          <w:kern w:val="1"/>
          <w:sz w:val="21"/>
          <w:szCs w:val="24"/>
          <w:highlight w:val="none"/>
        </w:rPr>
      </w:pPr>
      <w:r>
        <w:rPr>
          <w:rFonts w:hint="eastAsia" w:cs="宋体"/>
          <w:color w:val="auto"/>
          <w:kern w:val="1"/>
          <w:sz w:val="21"/>
          <w:szCs w:val="24"/>
          <w:highlight w:val="none"/>
        </w:rPr>
        <w:t>（4）因中标人的违法行为导致中标被依法确认无效；</w:t>
      </w:r>
    </w:p>
    <w:p>
      <w:pPr>
        <w:tabs>
          <w:tab w:val="left" w:pos="800"/>
          <w:tab w:val="left" w:pos="1134"/>
        </w:tabs>
        <w:spacing w:line="360" w:lineRule="auto"/>
        <w:ind w:left="-340" w:leftChars="-100" w:firstLine="735" w:firstLineChars="350"/>
        <w:rPr>
          <w:rFonts w:cs="宋体"/>
          <w:color w:val="auto"/>
          <w:kern w:val="1"/>
          <w:sz w:val="21"/>
          <w:szCs w:val="24"/>
          <w:highlight w:val="none"/>
        </w:rPr>
      </w:pPr>
      <w:r>
        <w:rPr>
          <w:rFonts w:hint="eastAsia" w:cs="宋体"/>
          <w:color w:val="auto"/>
          <w:kern w:val="1"/>
          <w:sz w:val="21"/>
          <w:szCs w:val="24"/>
          <w:highlight w:val="none"/>
        </w:rPr>
        <w:t>（5）法律、法规规定的其他情形。</w:t>
      </w:r>
    </w:p>
    <w:p>
      <w:pPr>
        <w:pStyle w:val="5"/>
        <w:widowControl/>
        <w:spacing w:beforeLines="0" w:afterLines="0"/>
        <w:rPr>
          <w:rFonts w:hAnsi="宋体" w:cs="黑体"/>
          <w:color w:val="auto"/>
          <w:highlight w:val="none"/>
        </w:rPr>
      </w:pPr>
      <w:bookmarkStart w:id="489" w:name="_Toc61877274"/>
      <w:bookmarkStart w:id="490" w:name="_Toc106703244"/>
      <w:bookmarkStart w:id="491" w:name="_Toc21397"/>
      <w:bookmarkStart w:id="492" w:name="_Toc25494"/>
      <w:bookmarkStart w:id="493" w:name="_Toc22437"/>
      <w:bookmarkStart w:id="494" w:name="_Toc15127"/>
      <w:bookmarkStart w:id="495" w:name="_Toc12381"/>
      <w:bookmarkStart w:id="496" w:name="_Toc16548"/>
      <w:r>
        <w:rPr>
          <w:rFonts w:hint="eastAsia" w:hAnsi="宋体" w:cs="黑体"/>
          <w:color w:val="auto"/>
          <w:highlight w:val="none"/>
        </w:rPr>
        <w:t>3.5 备选投标方案</w:t>
      </w:r>
      <w:bookmarkEnd w:id="489"/>
      <w:bookmarkEnd w:id="490"/>
      <w:bookmarkEnd w:id="491"/>
      <w:bookmarkEnd w:id="492"/>
      <w:bookmarkEnd w:id="493"/>
      <w:bookmarkEnd w:id="494"/>
      <w:bookmarkEnd w:id="495"/>
      <w:bookmarkEnd w:id="496"/>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除投标人须知前附表另有规定外，投标人不得递交备选投标方案。允许投标人递交备选投标方案的，只有中标人所递交的备选投标方案方可予以考虑。评标委员会认为中标人的备选投标方案优于其按照招标文件要求编制的投标方案的，招标人可以接受该备选投标方案。</w:t>
      </w:r>
    </w:p>
    <w:p>
      <w:pPr>
        <w:pStyle w:val="5"/>
        <w:widowControl/>
        <w:spacing w:beforeLines="0" w:afterLines="0"/>
        <w:rPr>
          <w:rFonts w:hAnsi="宋体" w:cs="黑体"/>
          <w:color w:val="auto"/>
          <w:highlight w:val="none"/>
        </w:rPr>
      </w:pPr>
      <w:bookmarkStart w:id="497" w:name="_Toc26060"/>
      <w:bookmarkStart w:id="498" w:name="_Toc106703245"/>
      <w:bookmarkStart w:id="499" w:name="_Toc21996"/>
      <w:bookmarkStart w:id="500" w:name="_Toc19418"/>
      <w:bookmarkStart w:id="501" w:name="_Toc22099"/>
      <w:bookmarkStart w:id="502" w:name="_Toc10168"/>
      <w:bookmarkStart w:id="503" w:name="_Toc61877275"/>
      <w:bookmarkStart w:id="504" w:name="_Toc23280"/>
      <w:r>
        <w:rPr>
          <w:rFonts w:hint="eastAsia" w:hAnsi="宋体" w:cs="黑体"/>
          <w:color w:val="auto"/>
          <w:highlight w:val="none"/>
        </w:rPr>
        <w:t>3.6 投标文件的编制</w:t>
      </w:r>
      <w:bookmarkEnd w:id="497"/>
      <w:bookmarkEnd w:id="498"/>
      <w:bookmarkEnd w:id="499"/>
      <w:bookmarkEnd w:id="500"/>
      <w:bookmarkEnd w:id="501"/>
      <w:bookmarkEnd w:id="502"/>
      <w:bookmarkEnd w:id="503"/>
      <w:bookmarkEnd w:id="504"/>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3.6.1投标人应当按投标人须知前附表的规定编制与加密投标文件。投标文件应按第九章“投标文件格式”（包括有关脚注或说明）进行编写，如有必要，可以增加附页作为投标文件的组成部分。其中，投标函附录在满足招标文件实质性要求的基础上，可以提出比招标文件要求更有利于招标人的承诺。</w:t>
      </w:r>
    </w:p>
    <w:p>
      <w:pPr>
        <w:spacing w:line="360" w:lineRule="auto"/>
        <w:ind w:firstLine="420"/>
        <w:rPr>
          <w:rFonts w:cs="宋体"/>
          <w:color w:val="auto"/>
          <w:sz w:val="21"/>
          <w:szCs w:val="21"/>
          <w:highlight w:val="none"/>
        </w:rPr>
      </w:pPr>
      <w:r>
        <w:rPr>
          <w:rFonts w:hint="eastAsia" w:cs="宋体"/>
          <w:color w:val="auto"/>
          <w:sz w:val="21"/>
          <w:szCs w:val="21"/>
          <w:highlight w:val="none"/>
        </w:rPr>
        <w:t>3.6.2第九章“投标文件格式”中要求盖单位公章处是指加盖投标人的电子单位公章，个人盖章处是指加盖相应人员的电子姓名章。</w:t>
      </w:r>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3.6.3招标文件要求提交的证件、单据等证明材料扫描件，应为其原件彩色扫描件，扫描件每页篇幅应当完整。</w:t>
      </w:r>
    </w:p>
    <w:p>
      <w:pPr>
        <w:spacing w:line="360" w:lineRule="auto"/>
        <w:ind w:firstLine="420" w:firstLineChars="200"/>
        <w:rPr>
          <w:rFonts w:cs="宋体"/>
          <w:color w:val="auto"/>
          <w:kern w:val="1"/>
          <w:sz w:val="21"/>
          <w:szCs w:val="21"/>
          <w:highlight w:val="none"/>
        </w:rPr>
      </w:pPr>
      <w:r>
        <w:rPr>
          <w:rFonts w:hint="eastAsia" w:cs="宋体"/>
          <w:color w:val="auto"/>
          <w:kern w:val="1"/>
          <w:sz w:val="21"/>
          <w:szCs w:val="21"/>
          <w:highlight w:val="none"/>
        </w:rPr>
        <w:t>3.6.4投标人的投标文件存在下列情形，视为投标文件雷同：</w:t>
      </w:r>
    </w:p>
    <w:p>
      <w:pPr>
        <w:tabs>
          <w:tab w:val="left" w:pos="0"/>
        </w:tabs>
        <w:spacing w:line="360" w:lineRule="auto"/>
        <w:ind w:firstLine="424" w:firstLineChars="202"/>
        <w:rPr>
          <w:rFonts w:cs="宋体"/>
          <w:color w:val="auto"/>
          <w:kern w:val="1"/>
          <w:sz w:val="21"/>
          <w:szCs w:val="21"/>
          <w:highlight w:val="none"/>
        </w:rPr>
      </w:pPr>
      <w:r>
        <w:rPr>
          <w:rFonts w:hint="eastAsia" w:cs="宋体"/>
          <w:color w:val="auto"/>
          <w:kern w:val="1"/>
          <w:sz w:val="21"/>
          <w:szCs w:val="21"/>
          <w:highlight w:val="none"/>
        </w:rPr>
        <w:t>（1）不同投标人的电子投标文件使用同一台计算机上传、解密。不同投标人的电子投标文件上传或解密的计算机的网卡MAC地址、CPU序列号和数据储存设备序列号等硬件信息均相同的,开标现场上传、解密电子投标文件的除外。</w:t>
      </w:r>
    </w:p>
    <w:p>
      <w:pPr>
        <w:pStyle w:val="59"/>
        <w:spacing w:after="0" w:line="360" w:lineRule="auto"/>
        <w:ind w:left="0" w:firstLine="424" w:firstLineChars="202"/>
        <w:rPr>
          <w:rFonts w:ascii="宋体" w:hAnsi="宋体" w:cs="宋体"/>
          <w:color w:val="auto"/>
          <w:szCs w:val="21"/>
          <w:highlight w:val="none"/>
        </w:rPr>
      </w:pPr>
      <w:r>
        <w:rPr>
          <w:rFonts w:hint="eastAsia" w:ascii="宋体" w:hAnsi="宋体" w:cs="宋体"/>
          <w:color w:val="auto"/>
          <w:szCs w:val="21"/>
          <w:highlight w:val="none"/>
        </w:rPr>
        <w:t>（2）不同投标人的电子投标文件使用同一台计算机编制。不同投标人的电子投标文件编制时的计算机硬件信息中存在一条及以上的计算机网卡MAC地址（如有）、CPU序列号和数据储存设备序列号均相同的。</w:t>
      </w:r>
    </w:p>
    <w:p>
      <w:pPr>
        <w:adjustRightInd w:val="0"/>
        <w:spacing w:line="360" w:lineRule="auto"/>
        <w:ind w:firstLine="424" w:firstLineChars="202"/>
        <w:textAlignment w:val="baseline"/>
        <w:rPr>
          <w:rFonts w:cs="宋体"/>
          <w:color w:val="auto"/>
          <w:kern w:val="1"/>
          <w:sz w:val="21"/>
          <w:szCs w:val="21"/>
          <w:highlight w:val="none"/>
        </w:rPr>
      </w:pPr>
      <w:r>
        <w:rPr>
          <w:rFonts w:hint="eastAsia" w:cs="宋体"/>
          <w:color w:val="auto"/>
          <w:kern w:val="1"/>
          <w:sz w:val="21"/>
          <w:szCs w:val="21"/>
          <w:highlight w:val="none"/>
        </w:rPr>
        <w:t>（3）不同投标人的投标报价文件使用同一台计算机或同一计价软件加密锁编制。不同投标人的已标价工程量清单记录的计算机硬件信息（招标工程量清单记录的计算机硬件信息除外）中存在一条及以上的计算机网卡MAC地址（如有）、CPU序列号和数据储存设备序列号均相同，或者记录的计价软件加密锁序列号信息（招标工程量清单记录的计价软件加密锁序列号信息除外）有一条及以上相同的。</w:t>
      </w:r>
    </w:p>
    <w:p>
      <w:pPr>
        <w:pStyle w:val="59"/>
        <w:spacing w:after="0" w:line="360" w:lineRule="auto"/>
        <w:ind w:left="0" w:firstLine="424" w:firstLineChars="202"/>
        <w:rPr>
          <w:rFonts w:ascii="宋体" w:hAnsi="宋体"/>
          <w:color w:val="auto"/>
          <w:highlight w:val="none"/>
        </w:rPr>
      </w:pPr>
      <w:r>
        <w:rPr>
          <w:rFonts w:hint="eastAsia" w:ascii="宋体" w:hAnsi="宋体" w:cs="宋体"/>
          <w:color w:val="auto"/>
          <w:szCs w:val="21"/>
          <w:highlight w:val="none"/>
        </w:rPr>
        <w:t>（4）不同投标人的技术文件经电子招标投标交易平台查重分析，内容异常一致或者实质性相同的。</w:t>
      </w:r>
    </w:p>
    <w:p>
      <w:pPr>
        <w:pStyle w:val="5"/>
        <w:widowControl/>
        <w:spacing w:beforeLines="0" w:afterLines="0"/>
        <w:rPr>
          <w:rFonts w:hAnsi="宋体" w:cs="黑体"/>
          <w:color w:val="auto"/>
          <w:highlight w:val="none"/>
        </w:rPr>
      </w:pPr>
      <w:bookmarkStart w:id="505" w:name="_Toc61877276"/>
      <w:bookmarkStart w:id="506" w:name="_Toc31674"/>
      <w:bookmarkStart w:id="507" w:name="_Toc7991"/>
      <w:bookmarkStart w:id="508" w:name="_Toc106703246"/>
      <w:bookmarkStart w:id="509" w:name="_Toc17895"/>
      <w:bookmarkStart w:id="510" w:name="_Toc24175"/>
      <w:bookmarkStart w:id="511" w:name="_Toc13193"/>
      <w:bookmarkStart w:id="512" w:name="_Toc22676"/>
      <w:r>
        <w:rPr>
          <w:rFonts w:hint="eastAsia" w:hAnsi="宋体" w:cs="黑体"/>
          <w:color w:val="auto"/>
          <w:highlight w:val="none"/>
        </w:rPr>
        <w:t>4. 投标</w:t>
      </w:r>
      <w:bookmarkEnd w:id="505"/>
      <w:bookmarkEnd w:id="506"/>
      <w:bookmarkEnd w:id="507"/>
      <w:bookmarkEnd w:id="508"/>
      <w:bookmarkEnd w:id="509"/>
      <w:bookmarkEnd w:id="510"/>
      <w:bookmarkEnd w:id="511"/>
      <w:bookmarkEnd w:id="512"/>
    </w:p>
    <w:p>
      <w:pPr>
        <w:pStyle w:val="5"/>
        <w:widowControl/>
        <w:spacing w:beforeLines="0" w:afterLines="0"/>
        <w:rPr>
          <w:rFonts w:hAnsi="宋体" w:cs="黑体"/>
          <w:color w:val="auto"/>
          <w:highlight w:val="none"/>
        </w:rPr>
      </w:pPr>
      <w:bookmarkStart w:id="513" w:name="_Toc106703247"/>
      <w:bookmarkStart w:id="514" w:name="_Toc61877277"/>
      <w:bookmarkStart w:id="515" w:name="_Toc18277"/>
      <w:bookmarkStart w:id="516" w:name="_Toc31389"/>
      <w:bookmarkStart w:id="517" w:name="_Toc31744"/>
      <w:bookmarkStart w:id="518" w:name="_Toc13905"/>
      <w:bookmarkStart w:id="519" w:name="_Toc17863"/>
      <w:bookmarkStart w:id="520" w:name="_Toc24530"/>
      <w:r>
        <w:rPr>
          <w:rFonts w:hint="eastAsia" w:hAnsi="宋体" w:cs="黑体"/>
          <w:color w:val="auto"/>
          <w:highlight w:val="none"/>
        </w:rPr>
        <w:t>4.1投标文件的递交</w:t>
      </w:r>
      <w:bookmarkEnd w:id="513"/>
      <w:bookmarkEnd w:id="514"/>
      <w:bookmarkEnd w:id="515"/>
      <w:bookmarkEnd w:id="516"/>
      <w:bookmarkEnd w:id="517"/>
      <w:bookmarkEnd w:id="518"/>
      <w:bookmarkEnd w:id="519"/>
      <w:bookmarkEnd w:id="520"/>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4.1.1投标人应当在投标人须知前附表规定的公共资源电子交易平台注册登记，如实递交有关信息，并经电子交易平台运营机构验证。</w:t>
      </w:r>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4.1.2 投标人应在第2.2.1项规定的投标截止时间前通过第4.1.1项规定的电子交易平台传输递交投标文件。投标截止时间前未完成投标文件传输的，视为撤回投标文件。投标截止时间后送达的投标文件，电子交易平台应当拒收。投标截止时间前可以对已经递交的投标文件进行替换或者撤回。</w:t>
      </w:r>
    </w:p>
    <w:p>
      <w:pPr>
        <w:spacing w:line="360" w:lineRule="auto"/>
        <w:ind w:firstLine="420"/>
        <w:rPr>
          <w:rFonts w:cs="宋体"/>
          <w:color w:val="auto"/>
          <w:sz w:val="21"/>
          <w:szCs w:val="21"/>
          <w:highlight w:val="none"/>
        </w:rPr>
      </w:pPr>
      <w:r>
        <w:rPr>
          <w:rFonts w:hint="eastAsia" w:cs="宋体"/>
          <w:color w:val="auto"/>
          <w:sz w:val="21"/>
          <w:szCs w:val="21"/>
          <w:highlight w:val="none"/>
        </w:rPr>
        <w:t>4.1.3投标人以电子投标保函（包括银行保函、担保保函、保险凭证，下同）形式提交投标保证金的，应当按照第3.4.1项规定的要求提交，否则视为未提交投标保证金。</w:t>
      </w:r>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4.1.4投标人所递交的投标文件不予退还。</w:t>
      </w:r>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4.1.5电子交易平台在投标截止时间前收到投标人送达的投标文件，应当即时向投标人发出确认回执通知，并妥善保存投标文件。</w:t>
      </w:r>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4.1.6到投标截止时间止，递交投标文件的投标人少于3个的，不得开标，招标人应当重新招标。</w:t>
      </w:r>
    </w:p>
    <w:p>
      <w:pPr>
        <w:pStyle w:val="5"/>
        <w:widowControl/>
        <w:spacing w:beforeLines="0" w:afterLines="0"/>
        <w:rPr>
          <w:rFonts w:hAnsi="宋体" w:cs="宋体"/>
          <w:color w:val="auto"/>
          <w:sz w:val="32"/>
          <w:szCs w:val="32"/>
          <w:highlight w:val="none"/>
        </w:rPr>
      </w:pPr>
      <w:bookmarkStart w:id="521" w:name="_Toc61877278"/>
      <w:bookmarkStart w:id="522" w:name="_Toc106703248"/>
      <w:bookmarkStart w:id="523" w:name="_Toc24975"/>
      <w:bookmarkStart w:id="524" w:name="_Toc14201"/>
      <w:bookmarkStart w:id="525" w:name="_Toc7092"/>
      <w:bookmarkStart w:id="526" w:name="_Toc29431"/>
      <w:bookmarkStart w:id="527" w:name="_Toc32170"/>
      <w:bookmarkStart w:id="528" w:name="_Toc29862"/>
      <w:r>
        <w:rPr>
          <w:rFonts w:hint="eastAsia" w:hAnsi="宋体" w:cs="黑体"/>
          <w:color w:val="auto"/>
          <w:highlight w:val="none"/>
        </w:rPr>
        <w:t>5. 开标</w:t>
      </w:r>
      <w:bookmarkEnd w:id="521"/>
      <w:bookmarkEnd w:id="522"/>
      <w:bookmarkEnd w:id="523"/>
      <w:bookmarkEnd w:id="524"/>
      <w:bookmarkEnd w:id="525"/>
      <w:bookmarkEnd w:id="526"/>
      <w:bookmarkEnd w:id="527"/>
      <w:bookmarkEnd w:id="528"/>
    </w:p>
    <w:p>
      <w:pPr>
        <w:adjustRightInd w:val="0"/>
        <w:snapToGrid w:val="0"/>
        <w:spacing w:afterLines="50" w:line="360" w:lineRule="auto"/>
        <w:ind w:firstLine="420" w:firstLineChars="200"/>
        <w:jc w:val="left"/>
        <w:textAlignment w:val="baseline"/>
        <w:rPr>
          <w:rFonts w:cs="宋体"/>
          <w:color w:val="auto"/>
          <w:kern w:val="1"/>
          <w:sz w:val="21"/>
          <w:szCs w:val="21"/>
          <w:highlight w:val="none"/>
        </w:rPr>
      </w:pPr>
      <w:r>
        <w:rPr>
          <w:rFonts w:hint="eastAsia" w:cs="宋体"/>
          <w:color w:val="auto"/>
          <w:kern w:val="1"/>
          <w:sz w:val="21"/>
          <w:szCs w:val="21"/>
          <w:highlight w:val="none"/>
        </w:rPr>
        <w:t>5.1招标人按投标人须知前附表规定的时间（开标时间）在电子交易平台公开进行在线开标，所有投标人均应当准时在线参加开标。投标截止时间前，</w:t>
      </w:r>
      <w:r>
        <w:rPr>
          <w:rFonts w:cs="宋体"/>
          <w:color w:val="auto"/>
          <w:kern w:val="1"/>
          <w:sz w:val="21"/>
          <w:szCs w:val="21"/>
          <w:highlight w:val="none"/>
        </w:rPr>
        <w:t>经建设单位按“三重一大”决策程序研究确定后的定标方案应当加密后上传电子交易平台</w:t>
      </w:r>
      <w:r>
        <w:rPr>
          <w:rFonts w:hint="eastAsia" w:cs="宋体"/>
          <w:color w:val="auto"/>
          <w:kern w:val="1"/>
          <w:sz w:val="21"/>
          <w:szCs w:val="21"/>
          <w:highlight w:val="none"/>
        </w:rPr>
        <w:t>，</w:t>
      </w:r>
      <w:r>
        <w:rPr>
          <w:rFonts w:cs="宋体"/>
          <w:color w:val="auto"/>
          <w:kern w:val="1"/>
          <w:sz w:val="21"/>
          <w:szCs w:val="21"/>
          <w:highlight w:val="none"/>
        </w:rPr>
        <w:t>未按</w:t>
      </w:r>
      <w:r>
        <w:rPr>
          <w:rFonts w:hint="eastAsia" w:cs="宋体"/>
          <w:color w:val="auto"/>
          <w:kern w:val="1"/>
          <w:sz w:val="21"/>
          <w:szCs w:val="21"/>
          <w:highlight w:val="none"/>
        </w:rPr>
        <w:t>前述</w:t>
      </w:r>
      <w:r>
        <w:rPr>
          <w:rFonts w:cs="宋体"/>
          <w:color w:val="auto"/>
          <w:kern w:val="1"/>
          <w:sz w:val="21"/>
          <w:szCs w:val="21"/>
          <w:highlight w:val="none"/>
        </w:rPr>
        <w:t>规定上传定标方案的</w:t>
      </w:r>
      <w:r>
        <w:rPr>
          <w:rFonts w:hint="eastAsia" w:cs="宋体"/>
          <w:color w:val="auto"/>
          <w:kern w:val="1"/>
          <w:sz w:val="21"/>
          <w:szCs w:val="21"/>
          <w:highlight w:val="none"/>
        </w:rPr>
        <w:t>，</w:t>
      </w:r>
      <w:r>
        <w:rPr>
          <w:rFonts w:cs="宋体"/>
          <w:color w:val="auto"/>
          <w:kern w:val="1"/>
          <w:sz w:val="21"/>
          <w:szCs w:val="21"/>
          <w:highlight w:val="none"/>
        </w:rPr>
        <w:t>不得开标</w:t>
      </w:r>
      <w:r>
        <w:rPr>
          <w:rFonts w:hint="eastAsia" w:cs="宋体"/>
          <w:color w:val="auto"/>
          <w:kern w:val="1"/>
          <w:sz w:val="21"/>
          <w:szCs w:val="21"/>
          <w:highlight w:val="none"/>
        </w:rPr>
        <w:t>，招标人应当向招投标监督机构备案后重新确定开标时间。</w:t>
      </w:r>
    </w:p>
    <w:p>
      <w:pPr>
        <w:adjustRightInd w:val="0"/>
        <w:snapToGrid w:val="0"/>
        <w:spacing w:afterLines="50" w:line="360" w:lineRule="auto"/>
        <w:ind w:firstLine="420" w:firstLineChars="200"/>
        <w:jc w:val="left"/>
        <w:textAlignment w:val="baseline"/>
        <w:rPr>
          <w:rFonts w:cs="宋体"/>
          <w:color w:val="auto"/>
          <w:kern w:val="1"/>
          <w:sz w:val="21"/>
          <w:szCs w:val="21"/>
          <w:highlight w:val="none"/>
        </w:rPr>
      </w:pPr>
      <w:r>
        <w:rPr>
          <w:rFonts w:hint="eastAsia" w:cs="宋体"/>
          <w:color w:val="auto"/>
          <w:kern w:val="1"/>
          <w:sz w:val="21"/>
          <w:szCs w:val="21"/>
          <w:highlight w:val="none"/>
        </w:rPr>
        <w:t>5.2开标时，电子交易平台自动提取所有投标文件，提示招标人和投标人按投标人须知前附表规定的方式按时在线解密。因投标人原因造成投标文件在规定时间内未解密的，视为撤销其投标文件；因投标人之外的原因造成投标文件未解密的，视为撤回其投标文件，投标人有权要求责任方赔偿因此遭受的直接损失。部分投标文件未解密的，其他投标文件的开标可以继续进行。</w:t>
      </w:r>
    </w:p>
    <w:p>
      <w:pPr>
        <w:adjustRightInd w:val="0"/>
        <w:snapToGrid w:val="0"/>
        <w:spacing w:afterLines="50" w:line="360" w:lineRule="auto"/>
        <w:ind w:firstLine="420" w:firstLineChars="200"/>
        <w:jc w:val="left"/>
        <w:textAlignment w:val="baseline"/>
        <w:rPr>
          <w:rFonts w:cs="宋体"/>
          <w:color w:val="auto"/>
          <w:kern w:val="1"/>
          <w:sz w:val="21"/>
          <w:szCs w:val="21"/>
          <w:highlight w:val="none"/>
        </w:rPr>
      </w:pPr>
      <w:r>
        <w:rPr>
          <w:rFonts w:hint="eastAsia" w:cs="宋体"/>
          <w:color w:val="auto"/>
          <w:kern w:val="2"/>
          <w:sz w:val="21"/>
          <w:szCs w:val="21"/>
          <w:highlight w:val="none"/>
        </w:rPr>
        <w:t>如遇停电、系统故障或其他不可抗力因素导致</w:t>
      </w:r>
      <w:r>
        <w:rPr>
          <w:rFonts w:hint="eastAsia" w:cs="宋体"/>
          <w:color w:val="auto"/>
          <w:kern w:val="1"/>
          <w:sz w:val="21"/>
          <w:szCs w:val="21"/>
          <w:highlight w:val="none"/>
        </w:rPr>
        <w:t>短时间内（不超过4小时）</w:t>
      </w:r>
      <w:r>
        <w:rPr>
          <w:rFonts w:hint="eastAsia" w:cs="宋体"/>
          <w:color w:val="auto"/>
          <w:kern w:val="2"/>
          <w:sz w:val="21"/>
          <w:szCs w:val="21"/>
          <w:highlight w:val="none"/>
        </w:rPr>
        <w:t>全部电子投标文件不能解密的，则及时宣布招标投标活动暂停。招标人（招标代理机构）会同招投标监督机构、公共资源交易中心、电子招投标交易平台软件供应商分析原因、妥善保管投标文件数据，待具备条件后继续进行相应的开标活动。</w:t>
      </w:r>
    </w:p>
    <w:p>
      <w:pPr>
        <w:adjustRightInd w:val="0"/>
        <w:snapToGrid w:val="0"/>
        <w:spacing w:afterLines="50" w:line="360" w:lineRule="auto"/>
        <w:ind w:firstLine="420" w:firstLineChars="200"/>
        <w:jc w:val="left"/>
        <w:textAlignment w:val="baseline"/>
        <w:rPr>
          <w:rFonts w:cs="宋体"/>
          <w:color w:val="auto"/>
          <w:kern w:val="1"/>
          <w:sz w:val="21"/>
          <w:szCs w:val="21"/>
          <w:highlight w:val="none"/>
        </w:rPr>
      </w:pPr>
      <w:r>
        <w:rPr>
          <w:rFonts w:hint="eastAsia" w:cs="宋体"/>
          <w:color w:val="auto"/>
          <w:kern w:val="1"/>
          <w:sz w:val="21"/>
          <w:szCs w:val="21"/>
          <w:highlight w:val="none"/>
        </w:rPr>
        <w:t>5.3解密程序完成后，由电子交易平台自动生成《开标记录表》，格式见投标人须知附件2-1。向所有投标人公布投标人名称、组织机构代码、社会统一信用代码、项目负责人姓名及其建造师执业证书注册号、投标保证金金额、投标报价、质量目标、工期、投标顺序号、投标文件解密情况、</w:t>
      </w:r>
      <w:r>
        <w:rPr>
          <w:rFonts w:hint="eastAsia" w:cs="宋体"/>
          <w:color w:val="auto"/>
          <w:sz w:val="21"/>
          <w:szCs w:val="21"/>
          <w:highlight w:val="none"/>
        </w:rPr>
        <w:t>厦门市建筑施工企业信用综合评价结果、</w:t>
      </w:r>
      <w:r>
        <w:rPr>
          <w:rFonts w:hint="eastAsia" w:cs="宋体"/>
          <w:color w:val="auto"/>
          <w:kern w:val="1"/>
          <w:sz w:val="21"/>
          <w:szCs w:val="21"/>
          <w:highlight w:val="none"/>
        </w:rPr>
        <w:t>福建省建筑施工企业信用综合评价分值、电子投标文件软硬件信息分析结果（包括上传解密电子投标文件或编制电子投标文件的计算机硬件信息、制作已标价工程量清单XML电子文档的软硬件信息、已标价工程量清单XML电子文档记录的加密锁信息）等。</w:t>
      </w:r>
    </w:p>
    <w:p>
      <w:pPr>
        <w:adjustRightInd w:val="0"/>
        <w:snapToGrid w:val="0"/>
        <w:spacing w:afterLines="50" w:line="360" w:lineRule="auto"/>
        <w:ind w:firstLine="420" w:firstLineChars="200"/>
        <w:jc w:val="left"/>
        <w:textAlignment w:val="baseline"/>
        <w:rPr>
          <w:rFonts w:cs="宋体"/>
          <w:color w:val="auto"/>
          <w:kern w:val="1"/>
          <w:sz w:val="21"/>
          <w:szCs w:val="21"/>
          <w:highlight w:val="none"/>
        </w:rPr>
      </w:pPr>
      <w:r>
        <w:rPr>
          <w:rFonts w:hint="eastAsia" w:cs="宋体"/>
          <w:color w:val="auto"/>
          <w:kern w:val="1"/>
          <w:sz w:val="21"/>
          <w:szCs w:val="21"/>
          <w:highlight w:val="none"/>
        </w:rPr>
        <w:t>应用福建省建筑施工企业信用综合评价分值的项目，电子交易平台通过企业的组织机构代码与福建省建筑施工企业信用综合评价系统（下称“评价系统”，从福建住房和城乡建设网的“福建省住房和城乡建设厅综合监管服务平台”登录）对接投标人的企业季度信用得分并予以公布。对于评价系统公布的与变更后的投标人名称不一致，招标人或其招标代理机构根据投标人提供的名称变更证明材料，在开标记录表的备注栏中予以记录。对评价系统没有公布企业季度信用得分的投标人，以60分计取。</w:t>
      </w:r>
    </w:p>
    <w:p>
      <w:pPr>
        <w:pStyle w:val="59"/>
        <w:spacing w:afterLines="50" w:line="360" w:lineRule="auto"/>
        <w:ind w:left="0" w:firstLineChars="200"/>
        <w:rPr>
          <w:rFonts w:ascii="宋体" w:hAnsi="宋体" w:cs="宋体"/>
          <w:color w:val="auto"/>
          <w:szCs w:val="21"/>
          <w:highlight w:val="none"/>
        </w:rPr>
      </w:pPr>
      <w:r>
        <w:rPr>
          <w:rFonts w:hint="eastAsia" w:ascii="宋体" w:hAnsi="宋体" w:cs="宋体"/>
          <w:color w:val="auto"/>
          <w:szCs w:val="21"/>
          <w:highlight w:val="none"/>
        </w:rPr>
        <w:t>5.4招标人将电子交易平台生成的电子投标文件软硬件信息分析结果，提供给评标委员会。投标人对电子交易平台生成的电子投标文件软硬件信息分析结果持有异议的，应使用本单位的CA证书当场通过电子交易平台在线提出，在投标人须知前附表规定的时间内与招标人共同委托有资质的鉴定机构进行鉴定，并根据投标人须知前附表规定的鉴定配合事项要求做好相应配合工作，鉴定费由异议人承担。招标人、投标人共同委托鉴定的，不中止评标工作，且鉴定机构出具的电子投标文件软硬件信息鉴定意见不影响评标结果。</w:t>
      </w:r>
    </w:p>
    <w:p>
      <w:pPr>
        <w:pStyle w:val="5"/>
        <w:widowControl/>
        <w:spacing w:beforeLines="0" w:afterLines="0"/>
        <w:rPr>
          <w:rFonts w:hAnsi="宋体" w:cs="宋体"/>
          <w:color w:val="auto"/>
          <w:sz w:val="32"/>
          <w:szCs w:val="32"/>
          <w:highlight w:val="none"/>
        </w:rPr>
      </w:pPr>
      <w:bookmarkStart w:id="529" w:name="_Toc106703249"/>
      <w:bookmarkStart w:id="530" w:name="_Toc4875"/>
      <w:bookmarkStart w:id="531" w:name="_Toc61877279"/>
      <w:bookmarkStart w:id="532" w:name="_Toc20507"/>
      <w:bookmarkStart w:id="533" w:name="_Toc25156"/>
      <w:bookmarkStart w:id="534" w:name="_Toc8549"/>
      <w:bookmarkStart w:id="535" w:name="_Toc7761"/>
      <w:bookmarkStart w:id="536" w:name="_Toc3505"/>
      <w:r>
        <w:rPr>
          <w:rFonts w:hint="eastAsia" w:hAnsi="宋体" w:cs="黑体"/>
          <w:color w:val="auto"/>
          <w:highlight w:val="none"/>
        </w:rPr>
        <w:t>6. 评标</w:t>
      </w:r>
      <w:bookmarkEnd w:id="529"/>
      <w:bookmarkEnd w:id="530"/>
      <w:bookmarkEnd w:id="531"/>
      <w:bookmarkEnd w:id="532"/>
      <w:bookmarkEnd w:id="533"/>
      <w:bookmarkEnd w:id="534"/>
      <w:bookmarkEnd w:id="535"/>
      <w:bookmarkEnd w:id="536"/>
    </w:p>
    <w:p>
      <w:pPr>
        <w:pStyle w:val="5"/>
        <w:widowControl/>
        <w:spacing w:beforeLines="0" w:afterLines="0"/>
        <w:rPr>
          <w:rFonts w:hAnsi="宋体" w:cs="黑体"/>
          <w:color w:val="auto"/>
          <w:highlight w:val="none"/>
        </w:rPr>
      </w:pPr>
      <w:bookmarkStart w:id="537" w:name="_Toc6467"/>
      <w:bookmarkStart w:id="538" w:name="_Toc106703250"/>
      <w:bookmarkStart w:id="539" w:name="_Toc61877280"/>
      <w:bookmarkStart w:id="540" w:name="_Toc15631"/>
      <w:bookmarkStart w:id="541" w:name="_Toc14193"/>
      <w:bookmarkStart w:id="542" w:name="_Toc16075"/>
      <w:bookmarkStart w:id="543" w:name="_Toc20682"/>
      <w:bookmarkStart w:id="544" w:name="_Toc26871"/>
      <w:r>
        <w:rPr>
          <w:rFonts w:hint="eastAsia" w:hAnsi="宋体" w:cs="黑体"/>
          <w:color w:val="auto"/>
          <w:highlight w:val="none"/>
        </w:rPr>
        <w:t>6.1 评标委员会</w:t>
      </w:r>
      <w:bookmarkEnd w:id="537"/>
      <w:bookmarkEnd w:id="538"/>
      <w:bookmarkEnd w:id="539"/>
      <w:bookmarkEnd w:id="540"/>
      <w:bookmarkEnd w:id="541"/>
      <w:bookmarkEnd w:id="542"/>
      <w:bookmarkEnd w:id="543"/>
      <w:bookmarkEnd w:id="544"/>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评标由招标人依法组建的评标委员会负责。评标委员会由有关技术、经济等方面的专家组成，评标委员会成员人数以及技术、经济等方面专家的确定方式见投标人须知前附表。</w:t>
      </w:r>
    </w:p>
    <w:p>
      <w:pPr>
        <w:pStyle w:val="5"/>
        <w:widowControl/>
        <w:spacing w:beforeLines="0" w:afterLines="0"/>
        <w:rPr>
          <w:rFonts w:hAnsi="宋体" w:cs="黑体"/>
          <w:color w:val="auto"/>
          <w:highlight w:val="none"/>
        </w:rPr>
      </w:pPr>
      <w:bookmarkStart w:id="545" w:name="_Toc2523"/>
      <w:bookmarkStart w:id="546" w:name="_Toc21139"/>
      <w:bookmarkStart w:id="547" w:name="_Toc106703251"/>
      <w:bookmarkStart w:id="548" w:name="_Toc24606"/>
      <w:bookmarkStart w:id="549" w:name="_Toc61877281"/>
      <w:bookmarkStart w:id="550" w:name="_Toc12288"/>
      <w:bookmarkStart w:id="551" w:name="_Toc5563"/>
      <w:bookmarkStart w:id="552" w:name="_Toc24944"/>
      <w:r>
        <w:rPr>
          <w:rFonts w:hint="eastAsia" w:hAnsi="宋体" w:cs="黑体"/>
          <w:color w:val="auto"/>
          <w:highlight w:val="none"/>
        </w:rPr>
        <w:t>6.2 评标办法</w:t>
      </w:r>
      <w:bookmarkEnd w:id="545"/>
      <w:bookmarkEnd w:id="546"/>
      <w:bookmarkEnd w:id="547"/>
      <w:bookmarkEnd w:id="548"/>
      <w:bookmarkEnd w:id="549"/>
      <w:bookmarkEnd w:id="550"/>
      <w:bookmarkEnd w:id="551"/>
      <w:bookmarkEnd w:id="552"/>
      <w:r>
        <w:rPr>
          <w:rFonts w:hint="eastAsia" w:hAnsi="宋体" w:cs="黑体"/>
          <w:color w:val="auto"/>
          <w:highlight w:val="none"/>
        </w:rPr>
        <w:tab/>
      </w:r>
    </w:p>
    <w:p>
      <w:pPr>
        <w:spacing w:line="360" w:lineRule="auto"/>
        <w:ind w:firstLine="420"/>
        <w:rPr>
          <w:rFonts w:cs="宋体"/>
          <w:color w:val="auto"/>
          <w:sz w:val="21"/>
          <w:szCs w:val="21"/>
          <w:highlight w:val="none"/>
        </w:rPr>
      </w:pPr>
      <w:r>
        <w:rPr>
          <w:rFonts w:hint="eastAsia" w:cs="宋体"/>
          <w:color w:val="auto"/>
          <w:kern w:val="1"/>
          <w:sz w:val="21"/>
          <w:szCs w:val="21"/>
          <w:highlight w:val="none"/>
        </w:rPr>
        <w:t>6.2.1</w:t>
      </w:r>
      <w:r>
        <w:rPr>
          <w:rFonts w:hint="eastAsia" w:cs="宋体"/>
          <w:color w:val="auto"/>
          <w:sz w:val="21"/>
          <w:szCs w:val="21"/>
          <w:highlight w:val="none"/>
        </w:rPr>
        <w:t>第三章“评标办法”分别规定了适用于同时设置类似工程业绩和信用评价作为投标人资格条件的招标项目、适用于其他项目和适用于简易招标法项目的共三类评标办法，招标人只能选择一种评标办法，具体见投标须知前附表，其余办法在编制招标文件时应当删除。前述信用评价指厦门市建筑施工企业信用综合评价，其他项目指未同时设置类似工程业绩和信用评价作为投标人资格条件的招标项目。</w:t>
      </w:r>
    </w:p>
    <w:p>
      <w:pPr>
        <w:spacing w:line="360" w:lineRule="auto"/>
        <w:ind w:firstLine="420"/>
        <w:rPr>
          <w:rFonts w:cs="宋体"/>
          <w:color w:val="auto"/>
          <w:sz w:val="21"/>
          <w:szCs w:val="21"/>
          <w:highlight w:val="none"/>
        </w:rPr>
      </w:pPr>
      <w:r>
        <w:rPr>
          <w:rFonts w:hint="eastAsia" w:cs="宋体"/>
          <w:color w:val="auto"/>
          <w:sz w:val="21"/>
          <w:szCs w:val="21"/>
          <w:highlight w:val="none"/>
        </w:rPr>
        <w:t>招标人可以根据招标项目实际情况，在投标人须知前附表规定</w:t>
      </w:r>
      <w:r>
        <w:rPr>
          <w:rFonts w:hint="eastAsia" w:cs="宋体"/>
          <w:color w:val="auto"/>
          <w:kern w:val="1"/>
          <w:sz w:val="21"/>
          <w:szCs w:val="21"/>
          <w:highlight w:val="none"/>
        </w:rPr>
        <w:t>第三章“评标办法”（适用于其他项目）第2.1.1项</w:t>
      </w:r>
      <w:r>
        <w:rPr>
          <w:rFonts w:hint="eastAsia" w:cs="宋体"/>
          <w:color w:val="auto"/>
          <w:sz w:val="21"/>
          <w:szCs w:val="21"/>
          <w:highlight w:val="none"/>
        </w:rPr>
        <w:t>第（3）目“确定入围投标人”与第（4）目“资格审查”的先后顺序。</w:t>
      </w:r>
    </w:p>
    <w:p>
      <w:pPr>
        <w:spacing w:line="360" w:lineRule="auto"/>
        <w:ind w:firstLine="420"/>
        <w:rPr>
          <w:rFonts w:cs="宋体"/>
          <w:color w:val="auto"/>
          <w:kern w:val="1"/>
          <w:sz w:val="21"/>
          <w:szCs w:val="21"/>
          <w:highlight w:val="none"/>
        </w:rPr>
      </w:pPr>
      <w:r>
        <w:rPr>
          <w:rFonts w:hint="eastAsia" w:cs="宋体"/>
          <w:color w:val="auto"/>
          <w:sz w:val="21"/>
          <w:szCs w:val="21"/>
          <w:highlight w:val="none"/>
        </w:rPr>
        <w:t>6.2.2</w:t>
      </w:r>
      <w:r>
        <w:rPr>
          <w:rFonts w:hint="eastAsia" w:cs="宋体"/>
          <w:color w:val="auto"/>
          <w:kern w:val="1"/>
          <w:sz w:val="21"/>
          <w:szCs w:val="21"/>
          <w:highlight w:val="none"/>
        </w:rPr>
        <w:t>评标委员会按照第三章“评标办法”规定的方法、评审因素、标准和程序对投标文件进行评审，推荐定标候选人。第三章“评标办法”没有规定的方法、评审因素和标准，不作为评标依据。</w:t>
      </w:r>
    </w:p>
    <w:p>
      <w:pPr>
        <w:pStyle w:val="5"/>
        <w:widowControl/>
        <w:spacing w:beforeLines="0" w:afterLines="0"/>
        <w:rPr>
          <w:rFonts w:hAnsi="宋体" w:cs="黑体"/>
          <w:color w:val="auto"/>
          <w:highlight w:val="none"/>
        </w:rPr>
      </w:pPr>
      <w:bookmarkStart w:id="553" w:name="_Toc6086"/>
      <w:bookmarkStart w:id="554" w:name="_Toc11651"/>
      <w:bookmarkStart w:id="555" w:name="_Toc106703252"/>
      <w:bookmarkStart w:id="556" w:name="_Toc6188"/>
      <w:bookmarkStart w:id="557" w:name="_Toc61877282"/>
      <w:bookmarkStart w:id="558" w:name="_Toc32737"/>
      <w:bookmarkStart w:id="559" w:name="_Toc18248"/>
      <w:bookmarkStart w:id="560" w:name="_Toc6495"/>
      <w:r>
        <w:rPr>
          <w:rFonts w:hint="eastAsia" w:hAnsi="宋体" w:cs="黑体"/>
          <w:color w:val="auto"/>
          <w:highlight w:val="none"/>
        </w:rPr>
        <w:t>6.3 定标候选人公示</w:t>
      </w:r>
      <w:bookmarkEnd w:id="553"/>
      <w:bookmarkEnd w:id="554"/>
      <w:bookmarkEnd w:id="555"/>
      <w:bookmarkEnd w:id="556"/>
      <w:bookmarkEnd w:id="557"/>
      <w:bookmarkEnd w:id="558"/>
      <w:bookmarkEnd w:id="559"/>
      <w:bookmarkEnd w:id="560"/>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招标人在投标人须知前附表规定的媒介公示定标候选人，定标候选人公示的格式见</w:t>
      </w:r>
      <w:r>
        <w:rPr>
          <w:rFonts w:hint="eastAsia" w:cs="宋体"/>
          <w:color w:val="auto"/>
          <w:spacing w:val="-6"/>
          <w:kern w:val="1"/>
          <w:sz w:val="21"/>
          <w:szCs w:val="21"/>
          <w:highlight w:val="none"/>
        </w:rPr>
        <w:t>投标人须知附件2-2</w:t>
      </w:r>
    </w:p>
    <w:p>
      <w:pPr>
        <w:pStyle w:val="5"/>
        <w:widowControl/>
        <w:spacing w:beforeLines="0" w:afterLines="0"/>
        <w:rPr>
          <w:rFonts w:hAnsi="宋体" w:cs="宋体"/>
          <w:color w:val="auto"/>
          <w:sz w:val="32"/>
          <w:szCs w:val="32"/>
          <w:highlight w:val="none"/>
        </w:rPr>
      </w:pPr>
      <w:bookmarkStart w:id="561" w:name="_Toc61877283"/>
      <w:bookmarkStart w:id="562" w:name="_Toc10785"/>
      <w:bookmarkStart w:id="563" w:name="_Toc106703253"/>
      <w:bookmarkStart w:id="564" w:name="_Toc27117"/>
      <w:bookmarkStart w:id="565" w:name="_Toc27839"/>
      <w:bookmarkStart w:id="566" w:name="_Toc6003"/>
      <w:bookmarkStart w:id="567" w:name="_Toc2030"/>
      <w:bookmarkStart w:id="568" w:name="_Toc26908"/>
      <w:r>
        <w:rPr>
          <w:rFonts w:hint="eastAsia" w:hAnsi="宋体" w:cs="黑体"/>
          <w:color w:val="auto"/>
          <w:highlight w:val="none"/>
        </w:rPr>
        <w:t>7. 定标与合同授予</w:t>
      </w:r>
      <w:bookmarkEnd w:id="561"/>
      <w:bookmarkEnd w:id="562"/>
      <w:bookmarkEnd w:id="563"/>
      <w:bookmarkEnd w:id="564"/>
      <w:bookmarkEnd w:id="565"/>
      <w:bookmarkEnd w:id="566"/>
      <w:bookmarkEnd w:id="567"/>
      <w:bookmarkEnd w:id="568"/>
    </w:p>
    <w:p>
      <w:pPr>
        <w:pStyle w:val="5"/>
        <w:widowControl/>
        <w:spacing w:beforeLines="0" w:afterLines="0"/>
        <w:rPr>
          <w:rFonts w:hAnsi="宋体" w:cs="黑体"/>
          <w:color w:val="auto"/>
          <w:highlight w:val="none"/>
        </w:rPr>
      </w:pPr>
      <w:bookmarkStart w:id="569" w:name="_Toc25064"/>
      <w:bookmarkStart w:id="570" w:name="_Toc19658"/>
      <w:bookmarkStart w:id="571" w:name="_Toc25193"/>
      <w:bookmarkStart w:id="572" w:name="_Toc7405"/>
      <w:bookmarkStart w:id="573" w:name="_Toc29410"/>
      <w:bookmarkStart w:id="574" w:name="_Toc106703254"/>
      <w:bookmarkStart w:id="575" w:name="_Toc61877284"/>
      <w:bookmarkStart w:id="576" w:name="_Toc25398"/>
      <w:r>
        <w:rPr>
          <w:rFonts w:hint="eastAsia" w:hAnsi="宋体" w:cs="黑体"/>
          <w:color w:val="auto"/>
          <w:highlight w:val="none"/>
        </w:rPr>
        <w:t>7.1定标委员会</w:t>
      </w:r>
      <w:bookmarkEnd w:id="569"/>
      <w:bookmarkEnd w:id="570"/>
      <w:bookmarkEnd w:id="571"/>
      <w:bookmarkEnd w:id="572"/>
      <w:bookmarkEnd w:id="573"/>
      <w:bookmarkEnd w:id="574"/>
      <w:bookmarkEnd w:id="575"/>
      <w:bookmarkEnd w:id="576"/>
    </w:p>
    <w:p>
      <w:pPr>
        <w:spacing w:line="360" w:lineRule="auto"/>
        <w:rPr>
          <w:rFonts w:cs="宋体"/>
          <w:color w:val="auto"/>
          <w:sz w:val="21"/>
          <w:szCs w:val="21"/>
          <w:highlight w:val="none"/>
        </w:rPr>
      </w:pPr>
      <w:r>
        <w:rPr>
          <w:rFonts w:hint="eastAsia" w:cs="宋体"/>
          <w:color w:val="auto"/>
          <w:sz w:val="21"/>
          <w:szCs w:val="21"/>
          <w:highlight w:val="none"/>
        </w:rPr>
        <w:t xml:space="preserve">    定标委员会负责定标。</w:t>
      </w:r>
      <w:r>
        <w:rPr>
          <w:rFonts w:hint="eastAsia" w:cs="宋体"/>
          <w:color w:val="auto"/>
          <w:kern w:val="1"/>
          <w:sz w:val="21"/>
          <w:szCs w:val="21"/>
          <w:highlight w:val="none"/>
        </w:rPr>
        <w:t>定标委员会按照第四章“定标办法”规定的规则组建，</w:t>
      </w:r>
      <w:r>
        <w:rPr>
          <w:rFonts w:hint="eastAsia" w:cs="宋体"/>
          <w:color w:val="auto"/>
          <w:sz w:val="21"/>
          <w:szCs w:val="21"/>
          <w:highlight w:val="none"/>
        </w:rPr>
        <w:t>定标委员会根据定标规则和定标方案在进入票决范围的定标候选人中进行定标，确定中标人。</w:t>
      </w:r>
    </w:p>
    <w:p>
      <w:pPr>
        <w:pStyle w:val="5"/>
        <w:widowControl/>
        <w:spacing w:beforeLines="0" w:afterLines="0"/>
        <w:rPr>
          <w:rFonts w:hAnsi="宋体" w:cs="黑体"/>
          <w:color w:val="auto"/>
          <w:highlight w:val="none"/>
        </w:rPr>
      </w:pPr>
      <w:bookmarkStart w:id="577" w:name="_Toc27583"/>
      <w:bookmarkStart w:id="578" w:name="_Toc106703255"/>
      <w:bookmarkStart w:id="579" w:name="_Toc61877285"/>
      <w:bookmarkStart w:id="580" w:name="_Toc12789"/>
      <w:bookmarkStart w:id="581" w:name="_Toc16201"/>
      <w:bookmarkStart w:id="582" w:name="_Toc32054"/>
      <w:bookmarkStart w:id="583" w:name="_Toc9062"/>
      <w:bookmarkStart w:id="584" w:name="_Toc15976"/>
      <w:r>
        <w:rPr>
          <w:rFonts w:hint="eastAsia" w:hAnsi="宋体" w:cs="黑体"/>
          <w:color w:val="auto"/>
          <w:highlight w:val="none"/>
        </w:rPr>
        <w:t>7.2 定标办法</w:t>
      </w:r>
      <w:bookmarkEnd w:id="577"/>
      <w:bookmarkEnd w:id="578"/>
      <w:bookmarkEnd w:id="579"/>
      <w:bookmarkEnd w:id="580"/>
      <w:bookmarkEnd w:id="581"/>
      <w:bookmarkEnd w:id="582"/>
      <w:bookmarkEnd w:id="583"/>
      <w:bookmarkEnd w:id="584"/>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定标委员会按照第四章“定标办法”规定的方法、规则、标准和程序在定标候选人中定标，确定中标定人，定标办法中使用的定标票决办法见投标人须知前附表。第四章“定标办法”没有规定的方法、规则、标准，不作为定标依据。</w:t>
      </w:r>
    </w:p>
    <w:p>
      <w:pPr>
        <w:pStyle w:val="5"/>
        <w:widowControl/>
        <w:spacing w:beforeLines="0" w:afterLines="0"/>
        <w:rPr>
          <w:rFonts w:hAnsi="宋体" w:cs="黑体"/>
          <w:color w:val="auto"/>
          <w:highlight w:val="none"/>
        </w:rPr>
      </w:pPr>
      <w:bookmarkStart w:id="585" w:name="_Toc21159"/>
      <w:bookmarkStart w:id="586" w:name="_Toc27854"/>
      <w:bookmarkStart w:id="587" w:name="_Toc61877286"/>
      <w:bookmarkStart w:id="588" w:name="_Toc30682"/>
      <w:bookmarkStart w:id="589" w:name="_Toc18876"/>
      <w:bookmarkStart w:id="590" w:name="_Toc106703256"/>
      <w:bookmarkStart w:id="591" w:name="_Toc31503"/>
      <w:bookmarkStart w:id="592" w:name="_Toc25409"/>
      <w:r>
        <w:rPr>
          <w:rFonts w:hint="eastAsia" w:hAnsi="宋体" w:cs="黑体"/>
          <w:color w:val="auto"/>
          <w:highlight w:val="none"/>
        </w:rPr>
        <w:t>7.3 中标通知</w:t>
      </w:r>
      <w:bookmarkEnd w:id="585"/>
      <w:bookmarkEnd w:id="586"/>
      <w:bookmarkEnd w:id="587"/>
      <w:bookmarkEnd w:id="588"/>
      <w:bookmarkEnd w:id="589"/>
      <w:bookmarkEnd w:id="590"/>
      <w:bookmarkEnd w:id="591"/>
      <w:bookmarkEnd w:id="592"/>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中标人确定后，招标人应当向中标人发出中标通知书，并将中标结果在投标人须知前附表规定的媒介公示进行公布，公示期不少于10日。中标结果公布格式见投标人须知附件2-3，中标通知书格式投标人须知</w:t>
      </w:r>
      <w:r>
        <w:rPr>
          <w:rFonts w:hint="eastAsia" w:cs="宋体"/>
          <w:color w:val="auto"/>
          <w:spacing w:val="-6"/>
          <w:kern w:val="1"/>
          <w:sz w:val="21"/>
          <w:szCs w:val="21"/>
          <w:highlight w:val="none"/>
        </w:rPr>
        <w:t>附件2-4。</w:t>
      </w:r>
    </w:p>
    <w:p>
      <w:pPr>
        <w:pStyle w:val="5"/>
        <w:widowControl/>
        <w:spacing w:beforeLines="0" w:afterLines="0"/>
        <w:rPr>
          <w:rFonts w:hAnsi="宋体" w:cs="黑体"/>
          <w:color w:val="auto"/>
          <w:highlight w:val="none"/>
        </w:rPr>
      </w:pPr>
      <w:bookmarkStart w:id="593" w:name="_Toc17253"/>
      <w:bookmarkStart w:id="594" w:name="_Toc106703257"/>
      <w:bookmarkStart w:id="595" w:name="_Toc15052"/>
      <w:bookmarkStart w:id="596" w:name="_Toc61877287"/>
      <w:bookmarkStart w:id="597" w:name="_Toc5377"/>
      <w:bookmarkStart w:id="598" w:name="_Toc14963"/>
      <w:bookmarkStart w:id="599" w:name="_Toc32062"/>
      <w:bookmarkStart w:id="600" w:name="_Toc32033"/>
      <w:r>
        <w:rPr>
          <w:rFonts w:hint="eastAsia" w:hAnsi="宋体" w:cs="黑体"/>
          <w:color w:val="auto"/>
          <w:highlight w:val="none"/>
        </w:rPr>
        <w:t>7.4 履约担保与支付担保</w:t>
      </w:r>
      <w:bookmarkEnd w:id="593"/>
      <w:bookmarkEnd w:id="594"/>
      <w:bookmarkEnd w:id="595"/>
      <w:bookmarkEnd w:id="596"/>
      <w:bookmarkEnd w:id="597"/>
      <w:bookmarkEnd w:id="598"/>
      <w:bookmarkEnd w:id="599"/>
      <w:bookmarkEnd w:id="600"/>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7.4.1中标人应在签订合同时及时向招标人提交投标人须知前附表所规定的履约担保金。本工程合同履约担保金金额及招标人认可的担保机构规定详见投标人须知前附表。</w:t>
      </w:r>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前款中所述的履约担保必须以中标人的名义办理，不得以中标人的分支机构或其它名义办理。</w:t>
      </w:r>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7.4.2 中标人不能按本章第7.4.1项要求提交履约担保的，视为放弃中标，其投标保证金不予退还，给招标人造成的损失超过投标保证金数额的，中标人还应当对超过部分予以赔偿。</w:t>
      </w:r>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7.4.3招标人向中标人提交履约担保金等额的工程款支付担保。</w:t>
      </w:r>
    </w:p>
    <w:p>
      <w:pPr>
        <w:pStyle w:val="5"/>
        <w:widowControl/>
        <w:spacing w:beforeLines="0" w:afterLines="0"/>
        <w:rPr>
          <w:rFonts w:hAnsi="宋体" w:cs="黑体"/>
          <w:color w:val="auto"/>
          <w:highlight w:val="none"/>
        </w:rPr>
      </w:pPr>
      <w:bookmarkStart w:id="601" w:name="_Toc2136"/>
      <w:bookmarkStart w:id="602" w:name="_Toc4284"/>
      <w:bookmarkStart w:id="603" w:name="_Toc29432"/>
      <w:bookmarkStart w:id="604" w:name="_Toc6364"/>
      <w:bookmarkStart w:id="605" w:name="_Toc106703258"/>
      <w:bookmarkStart w:id="606" w:name="_Toc24664"/>
      <w:bookmarkStart w:id="607" w:name="_Toc30152"/>
      <w:bookmarkStart w:id="608" w:name="_Toc61877288"/>
      <w:r>
        <w:rPr>
          <w:rFonts w:hint="eastAsia" w:hAnsi="宋体" w:cs="黑体"/>
          <w:color w:val="auto"/>
          <w:highlight w:val="none"/>
        </w:rPr>
        <w:t>7.5 签订合同</w:t>
      </w:r>
      <w:bookmarkEnd w:id="601"/>
      <w:bookmarkEnd w:id="602"/>
      <w:bookmarkEnd w:id="603"/>
      <w:bookmarkEnd w:id="604"/>
      <w:bookmarkEnd w:id="605"/>
      <w:bookmarkEnd w:id="606"/>
      <w:bookmarkEnd w:id="607"/>
      <w:bookmarkEnd w:id="608"/>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7.5.1 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 xml:space="preserve">中标通知书发出后，中标人可以向招标人或其委托的造价咨询单位提出工程量清单核对申请，申请、核对、调整等相关规定详见投标人须知前附表的规定。 </w:t>
      </w:r>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 xml:space="preserve">7.5.2 发出中标通知书后，招标人无正当理由拒签合同的，招标人向中标人退还投标保证金；给中标人造成损失的，还应当赔偿损失。 </w:t>
      </w:r>
    </w:p>
    <w:p>
      <w:pPr>
        <w:pStyle w:val="5"/>
        <w:widowControl/>
        <w:spacing w:beforeLines="0" w:afterLines="0"/>
        <w:rPr>
          <w:rFonts w:hAnsi="宋体" w:cs="宋体"/>
          <w:color w:val="auto"/>
          <w:sz w:val="32"/>
          <w:szCs w:val="32"/>
          <w:highlight w:val="none"/>
        </w:rPr>
      </w:pPr>
      <w:bookmarkStart w:id="609" w:name="_Toc18507"/>
      <w:bookmarkStart w:id="610" w:name="_Toc8327"/>
      <w:bookmarkStart w:id="611" w:name="_Toc61877289"/>
      <w:bookmarkStart w:id="612" w:name="_Toc11460"/>
      <w:bookmarkStart w:id="613" w:name="_Toc106703259"/>
      <w:bookmarkStart w:id="614" w:name="_Toc8657"/>
      <w:bookmarkStart w:id="615" w:name="_Toc28641"/>
      <w:bookmarkStart w:id="616" w:name="_Toc17503"/>
      <w:r>
        <w:rPr>
          <w:rFonts w:hint="eastAsia" w:hAnsi="宋体" w:cs="黑体"/>
          <w:color w:val="auto"/>
          <w:highlight w:val="none"/>
        </w:rPr>
        <w:t>8. 纪律和监督</w:t>
      </w:r>
      <w:bookmarkEnd w:id="609"/>
      <w:bookmarkEnd w:id="610"/>
      <w:bookmarkEnd w:id="611"/>
      <w:bookmarkEnd w:id="612"/>
      <w:bookmarkEnd w:id="613"/>
      <w:bookmarkEnd w:id="614"/>
      <w:bookmarkEnd w:id="615"/>
      <w:bookmarkEnd w:id="616"/>
    </w:p>
    <w:p>
      <w:pPr>
        <w:pStyle w:val="5"/>
        <w:widowControl/>
        <w:spacing w:beforeLines="0" w:afterLines="0"/>
        <w:rPr>
          <w:rFonts w:hAnsi="宋体" w:cs="黑体"/>
          <w:color w:val="auto"/>
          <w:highlight w:val="none"/>
        </w:rPr>
      </w:pPr>
      <w:bookmarkStart w:id="617" w:name="_Toc8155"/>
      <w:bookmarkStart w:id="618" w:name="_Toc27799"/>
      <w:bookmarkStart w:id="619" w:name="_Toc7110"/>
      <w:bookmarkStart w:id="620" w:name="_Toc106703260"/>
      <w:bookmarkStart w:id="621" w:name="_Toc8877"/>
      <w:bookmarkStart w:id="622" w:name="_Toc14266"/>
      <w:bookmarkStart w:id="623" w:name="_Toc2120"/>
      <w:bookmarkStart w:id="624" w:name="_Toc61877290"/>
      <w:r>
        <w:rPr>
          <w:rFonts w:hint="eastAsia" w:hAnsi="宋体" w:cs="黑体"/>
          <w:color w:val="auto"/>
          <w:highlight w:val="none"/>
        </w:rPr>
        <w:t>8.1 对招标人的纪律要求</w:t>
      </w:r>
      <w:bookmarkEnd w:id="617"/>
      <w:bookmarkEnd w:id="618"/>
      <w:bookmarkEnd w:id="619"/>
      <w:bookmarkEnd w:id="620"/>
      <w:bookmarkEnd w:id="621"/>
      <w:bookmarkEnd w:id="622"/>
      <w:bookmarkEnd w:id="623"/>
      <w:bookmarkEnd w:id="624"/>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招标人不得泄漏招标投标活动中应当保密的情况和资料，不得与投标人串通损害国家利益、社会公共利益或者他人合法权益。</w:t>
      </w:r>
    </w:p>
    <w:p>
      <w:pPr>
        <w:pStyle w:val="5"/>
        <w:widowControl/>
        <w:spacing w:beforeLines="0" w:afterLines="0"/>
        <w:rPr>
          <w:rFonts w:hAnsi="宋体" w:cs="黑体"/>
          <w:color w:val="auto"/>
          <w:highlight w:val="none"/>
        </w:rPr>
      </w:pPr>
      <w:bookmarkStart w:id="625" w:name="_Toc18306"/>
      <w:bookmarkStart w:id="626" w:name="_Toc9417"/>
      <w:bookmarkStart w:id="627" w:name="_Toc3800"/>
      <w:bookmarkStart w:id="628" w:name="_Toc106703261"/>
      <w:bookmarkStart w:id="629" w:name="_Toc19011"/>
      <w:bookmarkStart w:id="630" w:name="_Toc61877291"/>
      <w:bookmarkStart w:id="631" w:name="_Toc67"/>
      <w:bookmarkStart w:id="632" w:name="_Toc27087"/>
      <w:r>
        <w:rPr>
          <w:rFonts w:hint="eastAsia" w:hAnsi="宋体" w:cs="黑体"/>
          <w:color w:val="auto"/>
          <w:highlight w:val="none"/>
        </w:rPr>
        <w:t>8.2 对投标人的纪律要求</w:t>
      </w:r>
      <w:bookmarkEnd w:id="625"/>
      <w:bookmarkEnd w:id="626"/>
      <w:bookmarkEnd w:id="627"/>
      <w:bookmarkEnd w:id="628"/>
      <w:bookmarkEnd w:id="629"/>
      <w:bookmarkEnd w:id="630"/>
      <w:bookmarkEnd w:id="631"/>
      <w:bookmarkEnd w:id="632"/>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5"/>
        <w:widowControl/>
        <w:spacing w:beforeLines="0" w:afterLines="0"/>
        <w:rPr>
          <w:rFonts w:hAnsi="宋体" w:cs="黑体"/>
          <w:color w:val="auto"/>
          <w:highlight w:val="none"/>
        </w:rPr>
      </w:pPr>
      <w:bookmarkStart w:id="633" w:name="_Toc26296"/>
      <w:bookmarkStart w:id="634" w:name="_Toc5714"/>
      <w:bookmarkStart w:id="635" w:name="_Toc61877292"/>
      <w:bookmarkStart w:id="636" w:name="_Toc26146"/>
      <w:bookmarkStart w:id="637" w:name="_Toc106703262"/>
      <w:bookmarkStart w:id="638" w:name="_Toc12031"/>
      <w:bookmarkStart w:id="639" w:name="_Toc8265"/>
      <w:bookmarkStart w:id="640" w:name="_Toc1900"/>
      <w:r>
        <w:rPr>
          <w:rFonts w:hint="eastAsia" w:hAnsi="宋体" w:cs="黑体"/>
          <w:color w:val="auto"/>
          <w:highlight w:val="none"/>
        </w:rPr>
        <w:t>8.3 对评标委员会成员和定标委员会的纪律要求</w:t>
      </w:r>
      <w:bookmarkEnd w:id="633"/>
      <w:bookmarkEnd w:id="634"/>
      <w:bookmarkEnd w:id="635"/>
      <w:bookmarkEnd w:id="636"/>
      <w:bookmarkEnd w:id="637"/>
      <w:bookmarkEnd w:id="638"/>
      <w:bookmarkEnd w:id="639"/>
      <w:bookmarkEnd w:id="640"/>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评标委员会和定标委员会成员不得收受他人的财物或者其他好处，不得向他人透漏对投标文件的评审和比较、定标候选人的推荐情况、定标情况以及评标、定标有关的其他情况。在评标、定标活动中，评标委员会和定标委员会成员应当客观、公正地履行职责，遵守职业道德，不得擅离职守，影响评标程序正常进行。</w:t>
      </w:r>
    </w:p>
    <w:p>
      <w:pPr>
        <w:pStyle w:val="5"/>
        <w:widowControl/>
        <w:spacing w:beforeLines="0" w:afterLines="0"/>
        <w:rPr>
          <w:rFonts w:hAnsi="宋体" w:cs="黑体"/>
          <w:color w:val="auto"/>
          <w:highlight w:val="none"/>
        </w:rPr>
      </w:pPr>
      <w:bookmarkStart w:id="641" w:name="_Toc106703263"/>
      <w:bookmarkStart w:id="642" w:name="_Toc3117"/>
      <w:bookmarkStart w:id="643" w:name="_Toc8962"/>
      <w:bookmarkStart w:id="644" w:name="_Toc12824"/>
      <w:bookmarkStart w:id="645" w:name="_Toc61877293"/>
      <w:bookmarkStart w:id="646" w:name="_Toc4098"/>
      <w:bookmarkStart w:id="647" w:name="_Toc15194"/>
      <w:bookmarkStart w:id="648" w:name="_Toc2119"/>
      <w:r>
        <w:rPr>
          <w:rFonts w:hint="eastAsia" w:hAnsi="宋体" w:cs="黑体"/>
          <w:color w:val="auto"/>
          <w:highlight w:val="none"/>
        </w:rPr>
        <w:t>8.4 对与评标和定标活动有关的工作人员的纪律要求</w:t>
      </w:r>
      <w:bookmarkEnd w:id="641"/>
      <w:bookmarkEnd w:id="642"/>
      <w:bookmarkEnd w:id="643"/>
      <w:bookmarkEnd w:id="644"/>
      <w:bookmarkEnd w:id="645"/>
      <w:bookmarkEnd w:id="646"/>
      <w:bookmarkEnd w:id="647"/>
      <w:bookmarkEnd w:id="648"/>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与评标和定标活动有关的工作人员不得收受他人的财物或者其他好处，不得向他人透漏对投标文件的评审和比较、定标候选人的推荐情况、定标情况以及评标、定标有关的其他情况。在评标、定标活动中，与评标、定标活动有关的工作人员不得擅离职守，影响评标程序正常进行。</w:t>
      </w:r>
    </w:p>
    <w:p>
      <w:pPr>
        <w:pStyle w:val="5"/>
        <w:widowControl/>
        <w:spacing w:beforeLines="0" w:afterLines="0"/>
        <w:rPr>
          <w:rFonts w:hAnsi="宋体" w:cs="黑体"/>
          <w:color w:val="auto"/>
          <w:highlight w:val="none"/>
        </w:rPr>
      </w:pPr>
      <w:bookmarkStart w:id="649" w:name="_Toc24555"/>
      <w:bookmarkStart w:id="650" w:name="_Toc6721"/>
      <w:bookmarkStart w:id="651" w:name="_Toc61877294"/>
      <w:bookmarkStart w:id="652" w:name="_Toc2638"/>
      <w:bookmarkStart w:id="653" w:name="_Toc19220"/>
      <w:bookmarkStart w:id="654" w:name="_Toc106703264"/>
      <w:bookmarkStart w:id="655" w:name="_Toc7686"/>
      <w:bookmarkStart w:id="656" w:name="_Toc32665"/>
      <w:r>
        <w:rPr>
          <w:rFonts w:hint="eastAsia" w:hAnsi="宋体" w:cs="黑体"/>
          <w:color w:val="auto"/>
          <w:highlight w:val="none"/>
        </w:rPr>
        <w:t>8.5 异议、投诉与处理</w:t>
      </w:r>
      <w:bookmarkEnd w:id="649"/>
      <w:bookmarkEnd w:id="650"/>
      <w:bookmarkEnd w:id="651"/>
      <w:bookmarkEnd w:id="652"/>
      <w:bookmarkEnd w:id="653"/>
      <w:bookmarkEnd w:id="654"/>
      <w:bookmarkEnd w:id="655"/>
      <w:bookmarkEnd w:id="656"/>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8.5.1异议处理</w:t>
      </w:r>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（1）投标人对开标有异议的，应当使用本单位的CA证书当场通过电子交易平台在线提出；招标人应当通过电子交易平台当场作出答复。电子交易平台应当记录并保存异议的提出和答复情况。</w:t>
      </w:r>
    </w:p>
    <w:p>
      <w:pPr>
        <w:spacing w:line="360" w:lineRule="auto"/>
        <w:ind w:firstLine="420"/>
        <w:rPr>
          <w:rFonts w:cs="宋体"/>
          <w:color w:val="auto"/>
          <w:sz w:val="21"/>
          <w:szCs w:val="21"/>
          <w:highlight w:val="none"/>
        </w:rPr>
      </w:pPr>
      <w:r>
        <w:rPr>
          <w:rFonts w:hint="eastAsia" w:cs="宋体"/>
          <w:color w:val="auto"/>
          <w:sz w:val="21"/>
          <w:szCs w:val="21"/>
          <w:highlight w:val="none"/>
        </w:rPr>
        <w:t xml:space="preserve">（2）潜在投标人或投标人及其他利害关系人对招标文件或评标结果有异议的，应当在规定的期限内（对招标文件的异议期限为在投标截止时间10天前，对评标结果的异议期限为评标公示期内）同时通过电子交易平台向招标人提出。     </w:t>
      </w:r>
    </w:p>
    <w:p>
      <w:pPr>
        <w:spacing w:line="360" w:lineRule="auto"/>
        <w:ind w:firstLine="420"/>
        <w:rPr>
          <w:rFonts w:cs="宋体"/>
          <w:color w:val="auto"/>
          <w:kern w:val="1"/>
          <w:sz w:val="21"/>
          <w:szCs w:val="21"/>
          <w:highlight w:val="none"/>
        </w:rPr>
      </w:pPr>
      <w:r>
        <w:rPr>
          <w:rFonts w:hint="eastAsia" w:cs="宋体"/>
          <w:color w:val="auto"/>
          <w:sz w:val="21"/>
          <w:szCs w:val="21"/>
          <w:highlight w:val="none"/>
        </w:rPr>
        <w:t>异议应当包括下列内容：</w:t>
      </w:r>
    </w:p>
    <w:p>
      <w:pPr>
        <w:pStyle w:val="54"/>
        <w:widowControl w:val="0"/>
        <w:adjustRightInd w:val="0"/>
        <w:snapToGrid w:val="0"/>
        <w:spacing w:before="0" w:beforeAutospacing="0" w:after="0" w:afterAutospacing="0" w:line="360" w:lineRule="auto"/>
        <w:ind w:firstLine="420"/>
        <w:textAlignment w:val="baseline"/>
        <w:rPr>
          <w:color w:val="auto"/>
          <w:sz w:val="21"/>
          <w:szCs w:val="21"/>
          <w:highlight w:val="none"/>
        </w:rPr>
      </w:pPr>
      <w:r>
        <w:rPr>
          <w:rFonts w:hint="eastAsia"/>
          <w:color w:val="auto"/>
          <w:sz w:val="21"/>
          <w:szCs w:val="21"/>
          <w:highlight w:val="none"/>
        </w:rPr>
        <w:t>（一）异议人的名称、地址及有效联系方式；</w:t>
      </w:r>
    </w:p>
    <w:p>
      <w:pPr>
        <w:pStyle w:val="54"/>
        <w:widowControl w:val="0"/>
        <w:adjustRightInd w:val="0"/>
        <w:snapToGrid w:val="0"/>
        <w:spacing w:before="0" w:beforeAutospacing="0" w:after="0" w:afterAutospacing="0" w:line="360" w:lineRule="auto"/>
        <w:ind w:firstLine="420"/>
        <w:textAlignment w:val="baseline"/>
        <w:rPr>
          <w:color w:val="auto"/>
          <w:sz w:val="21"/>
          <w:szCs w:val="21"/>
          <w:highlight w:val="none"/>
        </w:rPr>
      </w:pPr>
      <w:r>
        <w:rPr>
          <w:rFonts w:hint="eastAsia"/>
          <w:color w:val="auto"/>
          <w:sz w:val="21"/>
          <w:szCs w:val="21"/>
          <w:highlight w:val="none"/>
        </w:rPr>
        <w:t>（二）被异议人的名称（仅适用于对评标结果的异议）；</w:t>
      </w:r>
    </w:p>
    <w:p>
      <w:pPr>
        <w:pStyle w:val="54"/>
        <w:widowControl w:val="0"/>
        <w:adjustRightInd w:val="0"/>
        <w:snapToGrid w:val="0"/>
        <w:spacing w:before="0" w:beforeAutospacing="0" w:after="0" w:afterAutospacing="0" w:line="360" w:lineRule="auto"/>
        <w:ind w:firstLine="420"/>
        <w:textAlignment w:val="baseline"/>
        <w:rPr>
          <w:color w:val="auto"/>
          <w:sz w:val="21"/>
          <w:szCs w:val="21"/>
          <w:highlight w:val="none"/>
        </w:rPr>
      </w:pPr>
      <w:r>
        <w:rPr>
          <w:rFonts w:hint="eastAsia"/>
          <w:color w:val="auto"/>
          <w:sz w:val="21"/>
          <w:szCs w:val="21"/>
          <w:highlight w:val="none"/>
        </w:rPr>
        <w:t>（三）异议事项的基本事实；</w:t>
      </w:r>
    </w:p>
    <w:p>
      <w:pPr>
        <w:pStyle w:val="54"/>
        <w:widowControl w:val="0"/>
        <w:adjustRightInd w:val="0"/>
        <w:snapToGrid w:val="0"/>
        <w:spacing w:before="0" w:beforeAutospacing="0" w:after="0" w:afterAutospacing="0" w:line="360" w:lineRule="auto"/>
        <w:ind w:firstLine="420"/>
        <w:textAlignment w:val="baseline"/>
        <w:rPr>
          <w:color w:val="auto"/>
          <w:sz w:val="21"/>
          <w:szCs w:val="21"/>
          <w:highlight w:val="none"/>
        </w:rPr>
      </w:pPr>
      <w:r>
        <w:rPr>
          <w:rFonts w:hint="eastAsia"/>
          <w:color w:val="auto"/>
          <w:sz w:val="21"/>
          <w:szCs w:val="21"/>
          <w:highlight w:val="none"/>
        </w:rPr>
        <w:t>（四）相关请求及主张；</w:t>
      </w:r>
    </w:p>
    <w:p>
      <w:pPr>
        <w:pStyle w:val="54"/>
        <w:widowControl w:val="0"/>
        <w:adjustRightInd w:val="0"/>
        <w:snapToGrid w:val="0"/>
        <w:spacing w:before="0" w:beforeAutospacing="0" w:after="0" w:afterAutospacing="0" w:line="360" w:lineRule="auto"/>
        <w:ind w:firstLine="420"/>
        <w:textAlignment w:val="baseline"/>
        <w:rPr>
          <w:color w:val="auto"/>
          <w:sz w:val="21"/>
          <w:szCs w:val="21"/>
          <w:highlight w:val="none"/>
        </w:rPr>
      </w:pPr>
      <w:r>
        <w:rPr>
          <w:rFonts w:hint="eastAsia"/>
          <w:color w:val="auto"/>
          <w:sz w:val="21"/>
          <w:szCs w:val="21"/>
          <w:highlight w:val="none"/>
        </w:rPr>
        <w:t xml:space="preserve">（五）有效线索和相关证明材料。 </w:t>
      </w:r>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异议人是法人的，书面异议必须由其法定代表人签字并盖公章；与本招标活动有利害关系的自然人提出的，书面异议必须由异议人本人签字，并附有效身份证明复印件以及与本招标项目有利害关系的证明材料。</w:t>
      </w:r>
    </w:p>
    <w:p>
      <w:pPr>
        <w:pStyle w:val="54"/>
        <w:widowControl w:val="0"/>
        <w:spacing w:before="0" w:beforeAutospacing="0" w:after="0" w:afterAutospacing="0" w:line="360" w:lineRule="auto"/>
        <w:ind w:firstLine="420"/>
        <w:textAlignment w:val="baseline"/>
        <w:rPr>
          <w:color w:val="auto"/>
          <w:sz w:val="21"/>
          <w:szCs w:val="21"/>
          <w:highlight w:val="none"/>
        </w:rPr>
      </w:pPr>
      <w:r>
        <w:rPr>
          <w:rFonts w:hint="eastAsia"/>
          <w:color w:val="auto"/>
          <w:sz w:val="21"/>
          <w:szCs w:val="21"/>
          <w:highlight w:val="none"/>
        </w:rPr>
        <w:t>（3）招标人收到对招标文件或评标结果的异议后，应当在3日内作出是否受理的决定，逾期未作出不予受理决定的，自收到异议之日起即视为受理。有下列情形之一的异议，不予受理，并向异议人发出不予受理告知书：</w:t>
      </w:r>
    </w:p>
    <w:p>
      <w:pPr>
        <w:pStyle w:val="54"/>
        <w:widowControl w:val="0"/>
        <w:spacing w:before="0" w:beforeAutospacing="0" w:after="0" w:afterAutospacing="0" w:line="360" w:lineRule="auto"/>
        <w:ind w:firstLine="420"/>
        <w:rPr>
          <w:color w:val="auto"/>
          <w:sz w:val="21"/>
          <w:szCs w:val="21"/>
          <w:highlight w:val="none"/>
        </w:rPr>
      </w:pPr>
      <w:r>
        <w:rPr>
          <w:rFonts w:hint="eastAsia"/>
          <w:color w:val="auto"/>
          <w:sz w:val="21"/>
          <w:szCs w:val="21"/>
          <w:highlight w:val="none"/>
        </w:rPr>
        <w:t>（一）对评标结果有异议的异议人不是本项目的参与者，或者与本项目无任何利害关系；</w:t>
      </w:r>
    </w:p>
    <w:p>
      <w:pPr>
        <w:pStyle w:val="54"/>
        <w:widowControl w:val="0"/>
        <w:spacing w:before="0" w:beforeAutospacing="0" w:after="0" w:afterAutospacing="0" w:line="360" w:lineRule="auto"/>
        <w:ind w:firstLine="420"/>
        <w:rPr>
          <w:color w:val="auto"/>
          <w:sz w:val="21"/>
          <w:szCs w:val="21"/>
          <w:highlight w:val="none"/>
        </w:rPr>
      </w:pPr>
      <w:r>
        <w:rPr>
          <w:rFonts w:hint="eastAsia"/>
          <w:color w:val="auto"/>
          <w:sz w:val="21"/>
          <w:szCs w:val="21"/>
          <w:highlight w:val="none"/>
        </w:rPr>
        <w:t xml:space="preserve">（二）异议事项不具体，且未提供有效线索，难以查证的； </w:t>
      </w:r>
    </w:p>
    <w:p>
      <w:pPr>
        <w:pStyle w:val="54"/>
        <w:widowControl w:val="0"/>
        <w:spacing w:before="0" w:beforeAutospacing="0" w:after="0" w:afterAutospacing="0" w:line="360" w:lineRule="auto"/>
        <w:ind w:firstLine="420"/>
        <w:rPr>
          <w:color w:val="auto"/>
          <w:sz w:val="21"/>
          <w:szCs w:val="21"/>
          <w:highlight w:val="none"/>
        </w:rPr>
      </w:pPr>
      <w:r>
        <w:rPr>
          <w:rFonts w:hint="eastAsia"/>
          <w:color w:val="auto"/>
          <w:sz w:val="21"/>
          <w:szCs w:val="21"/>
          <w:highlight w:val="none"/>
        </w:rPr>
        <w:t>（三）异议未署具异议人真实姓名、签字和有效联系方式的；以法人名义提出异议的，异议未经法定代表人签字并加盖公章的；</w:t>
      </w:r>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（四）超过异议时效的。</w:t>
      </w:r>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招标人对招标文件或评标结果异议的处理结果，应当通过电子交易平台作出答复并向社会公开，同时通过省行政监督平台向监督机关备案。在作出答复前应当暂停下一阶段招投标活动。</w:t>
      </w:r>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8.5.2投诉处理</w:t>
      </w:r>
    </w:p>
    <w:p>
      <w:pPr>
        <w:spacing w:line="360" w:lineRule="auto"/>
        <w:ind w:firstLine="420"/>
        <w:rPr>
          <w:rFonts w:cs="宋体"/>
          <w:color w:val="auto"/>
          <w:sz w:val="21"/>
          <w:szCs w:val="21"/>
          <w:highlight w:val="none"/>
        </w:rPr>
      </w:pPr>
      <w:r>
        <w:rPr>
          <w:rFonts w:hint="eastAsia" w:cs="宋体"/>
          <w:color w:val="auto"/>
          <w:sz w:val="21"/>
          <w:szCs w:val="21"/>
          <w:highlight w:val="none"/>
        </w:rPr>
        <w:t>（1）投标人或者其他利害关系人认为招标投标活动不符合有关规定的，应当自知道或者应当知道之日起10日内向该项目的监督机关依法提出书面投诉或线上投诉。投诉应当符合《中华人民共和国招标投标法实施条例》和《工程建设项目招标投标活动投诉处理办法》（国家发改委等七部委11号令）的要求。采用线上投诉的，应当通过福建省公共资源交易电子行政监督平台向该招标项目的行政监督部门提出投诉。</w:t>
      </w:r>
    </w:p>
    <w:p>
      <w:pPr>
        <w:spacing w:line="360" w:lineRule="auto"/>
        <w:ind w:firstLine="420"/>
        <w:rPr>
          <w:rFonts w:cs="宋体"/>
          <w:color w:val="auto"/>
          <w:kern w:val="1"/>
          <w:sz w:val="21"/>
          <w:szCs w:val="21"/>
          <w:highlight w:val="none"/>
        </w:rPr>
      </w:pPr>
      <w:r>
        <w:rPr>
          <w:rFonts w:hint="eastAsia" w:cs="宋体"/>
          <w:color w:val="auto"/>
          <w:sz w:val="21"/>
          <w:szCs w:val="21"/>
          <w:highlight w:val="none"/>
        </w:rPr>
        <w:t>（2）投诉人就招标文件、开标、评标结果的事项投诉的，除需提供《工程建设项目招标投标活动投诉处理办法》规定的内容外，还应当提供招标人的异议答复复印件。</w:t>
      </w:r>
    </w:p>
    <w:p>
      <w:pPr>
        <w:pStyle w:val="5"/>
        <w:widowControl/>
        <w:spacing w:beforeLines="0" w:afterLines="0"/>
        <w:rPr>
          <w:rFonts w:hAnsi="宋体" w:cs="宋体"/>
          <w:color w:val="auto"/>
          <w:sz w:val="32"/>
          <w:szCs w:val="32"/>
          <w:highlight w:val="none"/>
        </w:rPr>
      </w:pPr>
      <w:bookmarkStart w:id="657" w:name="_Toc16310"/>
      <w:bookmarkStart w:id="658" w:name="_Toc61877295"/>
      <w:bookmarkStart w:id="659" w:name="_Toc3298"/>
      <w:bookmarkStart w:id="660" w:name="_Toc21729"/>
      <w:bookmarkStart w:id="661" w:name="_Toc106703265"/>
      <w:bookmarkStart w:id="662" w:name="_Toc18878"/>
      <w:bookmarkStart w:id="663" w:name="_Toc30887"/>
      <w:bookmarkStart w:id="664" w:name="_Toc31743"/>
      <w:r>
        <w:rPr>
          <w:rFonts w:hint="eastAsia" w:hAnsi="宋体" w:cs="黑体"/>
          <w:color w:val="auto"/>
          <w:highlight w:val="none"/>
        </w:rPr>
        <w:t>9.其他</w:t>
      </w:r>
      <w:bookmarkEnd w:id="657"/>
      <w:bookmarkEnd w:id="658"/>
      <w:bookmarkEnd w:id="659"/>
      <w:bookmarkEnd w:id="660"/>
      <w:bookmarkEnd w:id="661"/>
      <w:bookmarkEnd w:id="662"/>
      <w:bookmarkEnd w:id="663"/>
      <w:bookmarkEnd w:id="664"/>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9.1在开标、评标或定标票决工作开始后，因停电、网络故障、电子设备或者电子评标系统故障导致无法继续进行开标、评标或定标票决工作时，故障可在短时间内解除的（不超过4小时），招标人可以暂停开标、评标或定标票决工作，待故障解除后继续开标或评标；故障无法在短时间内解除的（超过4小时），招标人应当终止开标、评标或定标票决工作，并配合公共资源交易场所、电子交易平台做好招投标资料的封存和保密工作，待故障解除后再重新进行开标、重新组建评标委员会进行评标或重新进行定标票决工作。</w:t>
      </w:r>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9.2需要补充和修改的其他内容：见投标人须知前附表。</w:t>
      </w:r>
    </w:p>
    <w:p>
      <w:pPr>
        <w:pStyle w:val="59"/>
        <w:rPr>
          <w:color w:val="auto"/>
          <w:highlight w:val="none"/>
        </w:rPr>
      </w:pPr>
    </w:p>
    <w:p>
      <w:pPr>
        <w:pStyle w:val="59"/>
        <w:rPr>
          <w:color w:val="auto"/>
          <w:highlight w:val="none"/>
        </w:rPr>
      </w:pPr>
    </w:p>
    <w:p>
      <w:pPr>
        <w:pStyle w:val="59"/>
        <w:rPr>
          <w:color w:val="auto"/>
          <w:highlight w:val="none"/>
        </w:rPr>
      </w:pPr>
    </w:p>
    <w:p>
      <w:pPr>
        <w:pStyle w:val="5"/>
        <w:widowControl/>
        <w:spacing w:beforeLines="0" w:afterLines="0"/>
        <w:ind w:firstLine="0"/>
        <w:rPr>
          <w:rFonts w:hAnsi="宋体" w:cs="黑体"/>
          <w:color w:val="auto"/>
          <w:sz w:val="21"/>
          <w:szCs w:val="21"/>
          <w:highlight w:val="none"/>
        </w:rPr>
        <w:sectPr>
          <w:footerReference r:id="rId8" w:type="default"/>
          <w:footnotePr>
            <w:numFmt w:val="decimalEnclosedCircleChinese"/>
            <w:numRestart w:val="eachPage"/>
          </w:footnotePr>
          <w:pgSz w:w="11906" w:h="16838"/>
          <w:pgMar w:top="1440" w:right="992" w:bottom="1440" w:left="1134" w:header="851" w:footer="992" w:gutter="0"/>
          <w:pgNumType w:fmt="decimal" w:start="1"/>
          <w:cols w:space="720" w:num="1"/>
          <w:docGrid w:linePitch="312" w:charSpace="0"/>
        </w:sectPr>
      </w:pPr>
      <w:bookmarkStart w:id="665" w:name="_Toc13658"/>
      <w:bookmarkStart w:id="666" w:name="_Toc2458"/>
      <w:bookmarkStart w:id="667" w:name="_Toc29956"/>
      <w:bookmarkStart w:id="668" w:name="_Toc61877296"/>
      <w:bookmarkStart w:id="669" w:name="_Toc28167"/>
    </w:p>
    <w:p>
      <w:pPr>
        <w:pStyle w:val="5"/>
        <w:widowControl/>
        <w:spacing w:beforeLines="0" w:afterLines="0"/>
        <w:ind w:firstLine="0"/>
        <w:rPr>
          <w:rFonts w:hAnsi="宋体" w:cs="黑体"/>
          <w:color w:val="auto"/>
          <w:sz w:val="21"/>
          <w:szCs w:val="21"/>
          <w:highlight w:val="none"/>
        </w:rPr>
      </w:pPr>
      <w:bookmarkStart w:id="670" w:name="_Toc106703266"/>
      <w:bookmarkStart w:id="671" w:name="_Toc12605"/>
      <w:bookmarkStart w:id="672" w:name="_Toc6974"/>
      <w:r>
        <w:rPr>
          <w:rFonts w:hint="eastAsia" w:hAnsi="宋体" w:cs="黑体"/>
          <w:color w:val="auto"/>
          <w:sz w:val="21"/>
          <w:szCs w:val="21"/>
          <w:highlight w:val="none"/>
        </w:rPr>
        <w:t>附件2-1：开标记录表（格式）</w:t>
      </w:r>
      <w:bookmarkEnd w:id="665"/>
      <w:bookmarkEnd w:id="666"/>
      <w:bookmarkEnd w:id="667"/>
      <w:bookmarkEnd w:id="668"/>
      <w:bookmarkEnd w:id="669"/>
      <w:bookmarkEnd w:id="670"/>
      <w:bookmarkEnd w:id="671"/>
      <w:bookmarkEnd w:id="672"/>
    </w:p>
    <w:p>
      <w:pPr>
        <w:adjustRightInd w:val="0"/>
        <w:snapToGrid w:val="0"/>
        <w:spacing w:beforeLines="100" w:line="360" w:lineRule="auto"/>
        <w:ind w:firstLine="2240" w:firstLineChars="700"/>
        <w:textAlignment w:val="baseline"/>
        <w:rPr>
          <w:rFonts w:ascii="黑体" w:eastAsia="黑体" w:cs="黑体"/>
          <w:color w:val="auto"/>
          <w:kern w:val="2"/>
          <w:sz w:val="32"/>
          <w:szCs w:val="32"/>
          <w:highlight w:val="none"/>
        </w:rPr>
      </w:pPr>
      <w:r>
        <w:rPr>
          <w:rFonts w:hint="eastAsia" w:ascii="黑体" w:eastAsia="黑体" w:cs="黑体"/>
          <w:color w:val="auto"/>
          <w:kern w:val="2"/>
          <w:sz w:val="32"/>
          <w:szCs w:val="32"/>
          <w:highlight w:val="none"/>
          <w:u w:val="single"/>
        </w:rPr>
        <w:t xml:space="preserve">                 </w:t>
      </w:r>
      <w:r>
        <w:rPr>
          <w:rFonts w:hint="eastAsia" w:ascii="黑体" w:eastAsia="黑体" w:cs="黑体"/>
          <w:color w:val="auto"/>
          <w:kern w:val="2"/>
          <w:sz w:val="32"/>
          <w:szCs w:val="32"/>
          <w:highlight w:val="none"/>
        </w:rPr>
        <w:t>（项目名称）</w:t>
      </w:r>
      <w:r>
        <w:rPr>
          <w:rFonts w:hint="eastAsia" w:ascii="黑体" w:eastAsia="黑体" w:cs="黑体"/>
          <w:color w:val="auto"/>
          <w:kern w:val="2"/>
          <w:sz w:val="32"/>
          <w:szCs w:val="32"/>
          <w:highlight w:val="none"/>
          <w:u w:val="single"/>
        </w:rPr>
        <w:t xml:space="preserve">    </w:t>
      </w:r>
      <w:r>
        <w:rPr>
          <w:rFonts w:hint="eastAsia" w:ascii="黑体" w:eastAsia="黑体" w:cs="黑体"/>
          <w:color w:val="auto"/>
          <w:kern w:val="2"/>
          <w:sz w:val="32"/>
          <w:szCs w:val="32"/>
          <w:highlight w:val="none"/>
        </w:rPr>
        <w:t>标段施工开标记录表（1）</w:t>
      </w:r>
    </w:p>
    <w:p>
      <w:pPr>
        <w:wordWrap w:val="0"/>
        <w:adjustRightInd w:val="0"/>
        <w:snapToGrid w:val="0"/>
        <w:spacing w:line="360" w:lineRule="auto"/>
        <w:ind w:right="480" w:firstLine="4620" w:firstLineChars="2200"/>
        <w:textAlignment w:val="baseline"/>
        <w:rPr>
          <w:rFonts w:cs="宋体"/>
          <w:color w:val="auto"/>
          <w:kern w:val="2"/>
          <w:sz w:val="21"/>
          <w:szCs w:val="21"/>
          <w:highlight w:val="none"/>
        </w:rPr>
      </w:pPr>
      <w:r>
        <w:rPr>
          <w:rFonts w:hint="eastAsia" w:cs="宋体"/>
          <w:color w:val="auto"/>
          <w:kern w:val="2"/>
          <w:sz w:val="21"/>
          <w:szCs w:val="21"/>
          <w:highlight w:val="none"/>
        </w:rPr>
        <w:t>开标时间：</w:t>
      </w:r>
      <w:r>
        <w:rPr>
          <w:rFonts w:hint="eastAsia" w:cs="宋体"/>
          <w:color w:val="auto"/>
          <w:kern w:val="2"/>
          <w:sz w:val="21"/>
          <w:szCs w:val="21"/>
          <w:highlight w:val="none"/>
          <w:u w:val="single"/>
        </w:rPr>
        <w:t xml:space="preserve">     </w:t>
      </w:r>
      <w:r>
        <w:rPr>
          <w:rFonts w:hint="eastAsia" w:cs="宋体"/>
          <w:color w:val="auto"/>
          <w:kern w:val="2"/>
          <w:sz w:val="21"/>
          <w:szCs w:val="21"/>
          <w:highlight w:val="none"/>
        </w:rPr>
        <w:t>年</w:t>
      </w:r>
      <w:r>
        <w:rPr>
          <w:rFonts w:hint="eastAsia" w:cs="宋体"/>
          <w:color w:val="auto"/>
          <w:kern w:val="2"/>
          <w:sz w:val="21"/>
          <w:szCs w:val="21"/>
          <w:highlight w:val="none"/>
          <w:u w:val="single"/>
        </w:rPr>
        <w:t xml:space="preserve">   </w:t>
      </w:r>
      <w:r>
        <w:rPr>
          <w:rFonts w:hint="eastAsia" w:cs="宋体"/>
          <w:color w:val="auto"/>
          <w:kern w:val="2"/>
          <w:sz w:val="21"/>
          <w:szCs w:val="21"/>
          <w:highlight w:val="none"/>
        </w:rPr>
        <w:t>月</w:t>
      </w:r>
      <w:r>
        <w:rPr>
          <w:rFonts w:hint="eastAsia" w:cs="宋体"/>
          <w:color w:val="auto"/>
          <w:kern w:val="2"/>
          <w:sz w:val="21"/>
          <w:szCs w:val="21"/>
          <w:highlight w:val="none"/>
          <w:u w:val="single"/>
        </w:rPr>
        <w:t xml:space="preserve">   </w:t>
      </w:r>
      <w:r>
        <w:rPr>
          <w:rFonts w:hint="eastAsia" w:cs="宋体"/>
          <w:color w:val="auto"/>
          <w:kern w:val="2"/>
          <w:sz w:val="21"/>
          <w:szCs w:val="21"/>
          <w:highlight w:val="none"/>
        </w:rPr>
        <w:t>日</w:t>
      </w:r>
      <w:r>
        <w:rPr>
          <w:rFonts w:hint="eastAsia" w:cs="宋体"/>
          <w:color w:val="auto"/>
          <w:kern w:val="2"/>
          <w:sz w:val="21"/>
          <w:szCs w:val="21"/>
          <w:highlight w:val="none"/>
          <w:u w:val="single"/>
        </w:rPr>
        <w:t xml:space="preserve">   </w:t>
      </w:r>
      <w:r>
        <w:rPr>
          <w:rFonts w:hint="eastAsia" w:cs="宋体"/>
          <w:color w:val="auto"/>
          <w:kern w:val="2"/>
          <w:sz w:val="21"/>
          <w:szCs w:val="21"/>
          <w:highlight w:val="none"/>
        </w:rPr>
        <w:t>时</w:t>
      </w:r>
      <w:r>
        <w:rPr>
          <w:rFonts w:hint="eastAsia" w:cs="宋体"/>
          <w:color w:val="auto"/>
          <w:kern w:val="2"/>
          <w:sz w:val="21"/>
          <w:szCs w:val="21"/>
          <w:highlight w:val="none"/>
          <w:u w:val="single"/>
        </w:rPr>
        <w:t xml:space="preserve">   </w:t>
      </w:r>
      <w:r>
        <w:rPr>
          <w:rFonts w:hint="eastAsia" w:cs="宋体"/>
          <w:color w:val="auto"/>
          <w:kern w:val="2"/>
          <w:sz w:val="21"/>
          <w:szCs w:val="21"/>
          <w:highlight w:val="none"/>
        </w:rPr>
        <w:t>分</w:t>
      </w:r>
      <w:r>
        <w:rPr>
          <w:rFonts w:hint="eastAsia" w:cs="宋体"/>
          <w:color w:val="auto"/>
          <w:kern w:val="2"/>
          <w:sz w:val="21"/>
          <w:szCs w:val="21"/>
          <w:highlight w:val="none"/>
          <w:u w:val="single"/>
        </w:rPr>
        <w:t xml:space="preserve">   </w:t>
      </w:r>
      <w:r>
        <w:rPr>
          <w:rFonts w:hint="eastAsia" w:cs="宋体"/>
          <w:color w:val="auto"/>
          <w:kern w:val="2"/>
          <w:sz w:val="21"/>
          <w:szCs w:val="21"/>
          <w:highlight w:val="none"/>
        </w:rPr>
        <w:t>秒</w:t>
      </w:r>
    </w:p>
    <w:tbl>
      <w:tblPr>
        <w:tblStyle w:val="60"/>
        <w:tblW w:w="0" w:type="auto"/>
        <w:tblInd w:w="-603" w:type="dxa"/>
        <w:tblLayout w:type="fixed"/>
        <w:tblCellMar>
          <w:top w:w="0" w:type="dxa"/>
          <w:left w:w="108" w:type="dxa"/>
          <w:bottom w:w="0" w:type="dxa"/>
          <w:right w:w="108" w:type="dxa"/>
        </w:tblCellMar>
      </w:tblPr>
      <w:tblGrid>
        <w:gridCol w:w="850"/>
        <w:gridCol w:w="854"/>
        <w:gridCol w:w="1206"/>
        <w:gridCol w:w="1105"/>
        <w:gridCol w:w="1287"/>
        <w:gridCol w:w="852"/>
        <w:gridCol w:w="1078"/>
        <w:gridCol w:w="765"/>
        <w:gridCol w:w="709"/>
        <w:gridCol w:w="2353"/>
        <w:gridCol w:w="2940"/>
        <w:gridCol w:w="642"/>
        <w:gridCol w:w="528"/>
      </w:tblGrid>
      <w:tr>
        <w:tblPrEx>
          <w:tblCellMar>
            <w:top w:w="0" w:type="dxa"/>
            <w:left w:w="108" w:type="dxa"/>
            <w:bottom w:w="0" w:type="dxa"/>
            <w:right w:w="108" w:type="dxa"/>
          </w:tblCellMar>
        </w:tblPrEx>
        <w:trPr>
          <w:trHeight w:val="2282" w:hRule="atLeast"/>
        </w:trPr>
        <w:tc>
          <w:tcPr>
            <w:tcW w:w="850" w:type="dxa"/>
            <w:tcBorders>
              <w:top w:val="single" w:color="000000" w:sz="4" w:space="0"/>
              <w:left w:val="single" w:color="000000" w:sz="4" w:space="0"/>
              <w:bottom w:val="nil"/>
              <w:right w:val="single" w:color="000000" w:sz="4" w:space="0"/>
            </w:tcBorders>
            <w:vAlign w:val="center"/>
          </w:tcPr>
          <w:p>
            <w:pPr>
              <w:autoSpaceDE w:val="0"/>
              <w:autoSpaceDN w:val="0"/>
              <w:adjustRightInd w:val="0"/>
              <w:spacing w:line="240" w:lineRule="exact"/>
              <w:jc w:val="center"/>
              <w:rPr>
                <w:rFonts w:cs="宋体"/>
                <w:color w:val="auto"/>
                <w:sz w:val="21"/>
                <w:szCs w:val="21"/>
                <w:highlight w:val="none"/>
              </w:rPr>
            </w:pPr>
            <w:r>
              <w:rPr>
                <w:rFonts w:hint="eastAsia" w:cs="宋体"/>
                <w:color w:val="auto"/>
                <w:sz w:val="21"/>
                <w:szCs w:val="21"/>
                <w:highlight w:val="none"/>
              </w:rPr>
              <w:t>投标顺序号</w:t>
            </w:r>
          </w:p>
        </w:tc>
        <w:tc>
          <w:tcPr>
            <w:tcW w:w="854" w:type="dxa"/>
            <w:tcBorders>
              <w:top w:val="single" w:color="000000" w:sz="4" w:space="0"/>
              <w:left w:val="nil"/>
              <w:bottom w:val="nil"/>
              <w:right w:val="single" w:color="auto" w:sz="4" w:space="0"/>
            </w:tcBorders>
            <w:vAlign w:val="center"/>
          </w:tcPr>
          <w:p>
            <w:pPr>
              <w:autoSpaceDE w:val="0"/>
              <w:autoSpaceDN w:val="0"/>
              <w:adjustRightInd w:val="0"/>
              <w:spacing w:line="240" w:lineRule="exact"/>
              <w:jc w:val="center"/>
              <w:rPr>
                <w:rFonts w:cs="宋体"/>
                <w:color w:val="auto"/>
                <w:sz w:val="21"/>
                <w:szCs w:val="21"/>
                <w:highlight w:val="none"/>
              </w:rPr>
            </w:pPr>
            <w:r>
              <w:rPr>
                <w:rFonts w:hint="eastAsia" w:cs="宋体"/>
                <w:color w:val="auto"/>
                <w:sz w:val="21"/>
                <w:szCs w:val="21"/>
                <w:highlight w:val="none"/>
              </w:rPr>
              <w:t>投标人名称</w:t>
            </w:r>
          </w:p>
        </w:tc>
        <w:tc>
          <w:tcPr>
            <w:tcW w:w="1206" w:type="dxa"/>
            <w:tcBorders>
              <w:top w:val="single" w:color="000000" w:sz="4" w:space="0"/>
              <w:left w:val="nil"/>
              <w:bottom w:val="nil"/>
              <w:right w:val="single" w:color="000000" w:sz="4" w:space="0"/>
            </w:tcBorders>
            <w:vAlign w:val="center"/>
          </w:tcPr>
          <w:p>
            <w:pPr>
              <w:autoSpaceDE w:val="0"/>
              <w:autoSpaceDN w:val="0"/>
              <w:adjustRightInd w:val="0"/>
              <w:spacing w:line="240" w:lineRule="exact"/>
              <w:jc w:val="center"/>
              <w:rPr>
                <w:rFonts w:cs="宋体"/>
                <w:color w:val="auto"/>
                <w:sz w:val="21"/>
                <w:szCs w:val="21"/>
                <w:highlight w:val="none"/>
              </w:rPr>
            </w:pPr>
            <w:r>
              <w:rPr>
                <w:rFonts w:hint="eastAsia" w:cs="宋体"/>
                <w:color w:val="auto"/>
                <w:sz w:val="21"/>
                <w:szCs w:val="21"/>
                <w:highlight w:val="none"/>
              </w:rPr>
              <w:t>组织机构代码</w:t>
            </w:r>
          </w:p>
        </w:tc>
        <w:tc>
          <w:tcPr>
            <w:tcW w:w="1105" w:type="dxa"/>
            <w:tcBorders>
              <w:top w:val="single" w:color="000000" w:sz="4" w:space="0"/>
              <w:left w:val="nil"/>
              <w:bottom w:val="nil"/>
              <w:right w:val="single" w:color="auto" w:sz="4" w:space="0"/>
            </w:tcBorders>
            <w:vAlign w:val="center"/>
          </w:tcPr>
          <w:p>
            <w:pPr>
              <w:adjustRightInd w:val="0"/>
              <w:spacing w:line="240" w:lineRule="exact"/>
              <w:jc w:val="center"/>
              <w:textAlignment w:val="baseline"/>
              <w:rPr>
                <w:rFonts w:cs="宋体"/>
                <w:color w:val="auto"/>
                <w:sz w:val="21"/>
                <w:szCs w:val="21"/>
                <w:highlight w:val="none"/>
              </w:rPr>
            </w:pPr>
            <w:r>
              <w:rPr>
                <w:rFonts w:hint="eastAsia" w:cs="宋体"/>
                <w:color w:val="auto"/>
                <w:sz w:val="21"/>
                <w:szCs w:val="21"/>
                <w:highlight w:val="none"/>
              </w:rPr>
              <w:t>社会统一信用代码</w:t>
            </w:r>
          </w:p>
        </w:tc>
        <w:tc>
          <w:tcPr>
            <w:tcW w:w="1287" w:type="dxa"/>
            <w:tcBorders>
              <w:top w:val="single" w:color="000000" w:sz="4" w:space="0"/>
              <w:left w:val="nil"/>
              <w:bottom w:val="nil"/>
              <w:right w:val="single" w:color="000000" w:sz="4" w:space="0"/>
            </w:tcBorders>
            <w:vAlign w:val="center"/>
          </w:tcPr>
          <w:p>
            <w:pPr>
              <w:autoSpaceDE w:val="0"/>
              <w:autoSpaceDN w:val="0"/>
              <w:adjustRightInd w:val="0"/>
              <w:spacing w:line="240" w:lineRule="exact"/>
              <w:jc w:val="center"/>
              <w:rPr>
                <w:rFonts w:cs="宋体"/>
                <w:color w:val="auto"/>
                <w:sz w:val="21"/>
                <w:szCs w:val="21"/>
                <w:highlight w:val="none"/>
              </w:rPr>
            </w:pPr>
            <w:r>
              <w:rPr>
                <w:rFonts w:hint="eastAsia" w:cs="宋体"/>
                <w:color w:val="auto"/>
                <w:sz w:val="21"/>
                <w:szCs w:val="21"/>
                <w:highlight w:val="none"/>
              </w:rPr>
              <w:t>项目负责人姓名及其建造师注册证书号</w:t>
            </w:r>
          </w:p>
        </w:tc>
        <w:tc>
          <w:tcPr>
            <w:tcW w:w="852" w:type="dxa"/>
            <w:tcBorders>
              <w:top w:val="single" w:color="000000" w:sz="4" w:space="0"/>
              <w:left w:val="nil"/>
              <w:bottom w:val="nil"/>
              <w:right w:val="single" w:color="000000" w:sz="4" w:space="0"/>
            </w:tcBorders>
            <w:vAlign w:val="center"/>
          </w:tcPr>
          <w:p>
            <w:pPr>
              <w:autoSpaceDE w:val="0"/>
              <w:autoSpaceDN w:val="0"/>
              <w:adjustRightInd w:val="0"/>
              <w:spacing w:line="240" w:lineRule="exact"/>
              <w:jc w:val="center"/>
              <w:rPr>
                <w:rFonts w:cs="宋体"/>
                <w:color w:val="auto"/>
                <w:sz w:val="21"/>
                <w:szCs w:val="21"/>
                <w:highlight w:val="none"/>
              </w:rPr>
            </w:pPr>
            <w:r>
              <w:rPr>
                <w:rFonts w:hint="eastAsia" w:cs="宋体"/>
                <w:color w:val="auto"/>
                <w:sz w:val="21"/>
                <w:szCs w:val="21"/>
                <w:highlight w:val="none"/>
              </w:rPr>
              <w:t>投标</w:t>
            </w:r>
          </w:p>
          <w:p>
            <w:pPr>
              <w:autoSpaceDE w:val="0"/>
              <w:autoSpaceDN w:val="0"/>
              <w:adjustRightInd w:val="0"/>
              <w:spacing w:line="240" w:lineRule="exact"/>
              <w:jc w:val="center"/>
              <w:rPr>
                <w:rFonts w:cs="宋体"/>
                <w:color w:val="auto"/>
                <w:sz w:val="21"/>
                <w:szCs w:val="21"/>
                <w:highlight w:val="none"/>
              </w:rPr>
            </w:pPr>
            <w:r>
              <w:rPr>
                <w:rFonts w:hint="eastAsia" w:cs="宋体"/>
                <w:color w:val="auto"/>
                <w:sz w:val="21"/>
                <w:szCs w:val="21"/>
                <w:highlight w:val="none"/>
              </w:rPr>
              <w:t>保证金（元）</w:t>
            </w:r>
          </w:p>
        </w:tc>
        <w:tc>
          <w:tcPr>
            <w:tcW w:w="1078" w:type="dxa"/>
            <w:tcBorders>
              <w:top w:val="single" w:color="auto" w:sz="4" w:space="0"/>
              <w:left w:val="nil"/>
              <w:bottom w:val="nil"/>
              <w:right w:val="single" w:color="000000" w:sz="4" w:space="0"/>
            </w:tcBorders>
            <w:vAlign w:val="center"/>
          </w:tcPr>
          <w:p>
            <w:pPr>
              <w:autoSpaceDE w:val="0"/>
              <w:autoSpaceDN w:val="0"/>
              <w:adjustRightInd w:val="0"/>
              <w:spacing w:line="240" w:lineRule="exact"/>
              <w:jc w:val="center"/>
              <w:rPr>
                <w:rFonts w:cs="宋体"/>
                <w:color w:val="auto"/>
                <w:sz w:val="21"/>
                <w:szCs w:val="21"/>
                <w:highlight w:val="none"/>
              </w:rPr>
            </w:pPr>
            <w:r>
              <w:rPr>
                <w:rFonts w:hint="eastAsia" w:cs="宋体"/>
                <w:color w:val="auto"/>
                <w:sz w:val="21"/>
                <w:szCs w:val="21"/>
                <w:highlight w:val="none"/>
              </w:rPr>
              <w:t>投标报价（元）</w:t>
            </w:r>
          </w:p>
        </w:tc>
        <w:tc>
          <w:tcPr>
            <w:tcW w:w="765" w:type="dxa"/>
            <w:tcBorders>
              <w:top w:val="single" w:color="auto" w:sz="4" w:space="0"/>
              <w:left w:val="nil"/>
              <w:bottom w:val="nil"/>
              <w:right w:val="single" w:color="000000" w:sz="4" w:space="0"/>
            </w:tcBorders>
            <w:vAlign w:val="center"/>
          </w:tcPr>
          <w:p>
            <w:pPr>
              <w:autoSpaceDE w:val="0"/>
              <w:autoSpaceDN w:val="0"/>
              <w:adjustRightInd w:val="0"/>
              <w:spacing w:line="240" w:lineRule="exact"/>
              <w:jc w:val="center"/>
              <w:rPr>
                <w:rFonts w:cs="宋体"/>
                <w:color w:val="auto"/>
                <w:sz w:val="21"/>
                <w:szCs w:val="21"/>
                <w:highlight w:val="none"/>
              </w:rPr>
            </w:pPr>
            <w:r>
              <w:rPr>
                <w:rFonts w:hint="eastAsia" w:cs="宋体"/>
                <w:color w:val="auto"/>
                <w:sz w:val="21"/>
                <w:szCs w:val="21"/>
                <w:highlight w:val="none"/>
              </w:rPr>
              <w:t>质量</w:t>
            </w:r>
          </w:p>
          <w:p>
            <w:pPr>
              <w:autoSpaceDE w:val="0"/>
              <w:autoSpaceDN w:val="0"/>
              <w:adjustRightInd w:val="0"/>
              <w:spacing w:line="240" w:lineRule="exact"/>
              <w:jc w:val="center"/>
              <w:rPr>
                <w:rFonts w:cs="宋体"/>
                <w:color w:val="auto"/>
                <w:sz w:val="21"/>
                <w:szCs w:val="21"/>
                <w:highlight w:val="none"/>
              </w:rPr>
            </w:pPr>
            <w:r>
              <w:rPr>
                <w:rFonts w:hint="eastAsia" w:cs="宋体"/>
                <w:color w:val="auto"/>
                <w:sz w:val="21"/>
                <w:szCs w:val="21"/>
                <w:highlight w:val="none"/>
              </w:rPr>
              <w:t>目标</w:t>
            </w:r>
          </w:p>
        </w:tc>
        <w:tc>
          <w:tcPr>
            <w:tcW w:w="709" w:type="dxa"/>
            <w:tcBorders>
              <w:top w:val="single" w:color="auto" w:sz="4" w:space="0"/>
              <w:left w:val="nil"/>
              <w:bottom w:val="nil"/>
              <w:right w:val="single" w:color="000000" w:sz="4" w:space="0"/>
            </w:tcBorders>
            <w:vAlign w:val="center"/>
          </w:tcPr>
          <w:p>
            <w:pPr>
              <w:autoSpaceDE w:val="0"/>
              <w:autoSpaceDN w:val="0"/>
              <w:adjustRightInd w:val="0"/>
              <w:spacing w:line="240" w:lineRule="exact"/>
              <w:jc w:val="center"/>
              <w:rPr>
                <w:rFonts w:cs="宋体"/>
                <w:color w:val="auto"/>
                <w:sz w:val="21"/>
                <w:szCs w:val="21"/>
                <w:highlight w:val="none"/>
              </w:rPr>
            </w:pPr>
            <w:r>
              <w:rPr>
                <w:rFonts w:hint="eastAsia" w:cs="宋体"/>
                <w:color w:val="auto"/>
                <w:sz w:val="21"/>
                <w:szCs w:val="21"/>
                <w:highlight w:val="none"/>
              </w:rPr>
              <w:t>工期</w:t>
            </w:r>
          </w:p>
        </w:tc>
        <w:tc>
          <w:tcPr>
            <w:tcW w:w="2353" w:type="dxa"/>
            <w:tcBorders>
              <w:top w:val="single" w:color="000000" w:sz="4" w:space="0"/>
              <w:left w:val="nil"/>
              <w:bottom w:val="nil"/>
              <w:right w:val="single" w:color="000000" w:sz="4" w:space="0"/>
            </w:tcBorders>
            <w:vAlign w:val="center"/>
          </w:tcPr>
          <w:p>
            <w:pPr>
              <w:autoSpaceDE w:val="0"/>
              <w:autoSpaceDN w:val="0"/>
              <w:adjustRightInd w:val="0"/>
              <w:spacing w:line="240" w:lineRule="exact"/>
              <w:jc w:val="center"/>
              <w:rPr>
                <w:rFonts w:cs="宋体"/>
                <w:color w:val="auto"/>
                <w:sz w:val="21"/>
                <w:szCs w:val="21"/>
                <w:highlight w:val="none"/>
              </w:rPr>
            </w:pPr>
            <w:r>
              <w:rPr>
                <w:rFonts w:hint="eastAsia" w:cs="宋体"/>
                <w:color w:val="auto"/>
                <w:sz w:val="21"/>
                <w:szCs w:val="21"/>
                <w:highlight w:val="none"/>
              </w:rPr>
              <w:t>厦门市建筑施工企业信用综合评价结果</w:t>
            </w:r>
          </w:p>
          <w:p>
            <w:pPr>
              <w:autoSpaceDE w:val="0"/>
              <w:autoSpaceDN w:val="0"/>
              <w:adjustRightInd w:val="0"/>
              <w:spacing w:line="240" w:lineRule="exact"/>
              <w:jc w:val="center"/>
              <w:rPr>
                <w:rFonts w:cs="宋体"/>
                <w:color w:val="auto"/>
                <w:sz w:val="21"/>
                <w:szCs w:val="21"/>
                <w:highlight w:val="none"/>
              </w:rPr>
            </w:pPr>
            <w:r>
              <w:rPr>
                <w:rFonts w:hint="eastAsia" w:cs="宋体"/>
                <w:color w:val="auto"/>
                <w:sz w:val="21"/>
                <w:szCs w:val="21"/>
                <w:highlight w:val="none"/>
              </w:rPr>
              <w:t>（</w:t>
            </w:r>
            <w:r>
              <w:rPr>
                <w:rFonts w:hint="eastAsia" w:cs="宋体"/>
                <w:color w:val="auto"/>
                <w:sz w:val="21"/>
                <w:szCs w:val="21"/>
                <w:highlight w:val="none"/>
                <w:u w:val="single" w:color="000000"/>
              </w:rPr>
              <w:t xml:space="preserve">      </w:t>
            </w:r>
            <w:r>
              <w:rPr>
                <w:rFonts w:hint="eastAsia" w:cs="宋体"/>
                <w:color w:val="auto"/>
                <w:sz w:val="21"/>
                <w:szCs w:val="21"/>
                <w:highlight w:val="none"/>
              </w:rPr>
              <w:t xml:space="preserve">年度） </w:t>
            </w:r>
          </w:p>
        </w:tc>
        <w:tc>
          <w:tcPr>
            <w:tcW w:w="2940" w:type="dxa"/>
            <w:tcBorders>
              <w:top w:val="single" w:color="000000" w:sz="4" w:space="0"/>
              <w:left w:val="nil"/>
              <w:bottom w:val="nil"/>
              <w:right w:val="single" w:color="000000" w:sz="4" w:space="0"/>
            </w:tcBorders>
            <w:vAlign w:val="center"/>
          </w:tcPr>
          <w:p>
            <w:pPr>
              <w:autoSpaceDE w:val="0"/>
              <w:autoSpaceDN w:val="0"/>
              <w:adjustRightInd w:val="0"/>
              <w:spacing w:line="240" w:lineRule="exact"/>
              <w:jc w:val="center"/>
              <w:rPr>
                <w:rFonts w:cs="宋体"/>
                <w:color w:val="auto"/>
                <w:sz w:val="21"/>
                <w:szCs w:val="21"/>
                <w:highlight w:val="none"/>
              </w:rPr>
            </w:pPr>
            <w:r>
              <w:rPr>
                <w:rFonts w:hint="eastAsia" w:cs="宋体"/>
                <w:color w:val="auto"/>
                <w:sz w:val="21"/>
                <w:szCs w:val="21"/>
                <w:highlight w:val="none"/>
              </w:rPr>
              <w:t>福建省建筑施工企业信用综合评价分值中企业季度信用得分</w:t>
            </w:r>
          </w:p>
          <w:p>
            <w:pPr>
              <w:autoSpaceDE w:val="0"/>
              <w:autoSpaceDN w:val="0"/>
              <w:adjustRightInd w:val="0"/>
              <w:spacing w:line="240" w:lineRule="exact"/>
              <w:rPr>
                <w:rFonts w:cs="宋体"/>
                <w:color w:val="auto"/>
                <w:sz w:val="21"/>
                <w:szCs w:val="21"/>
                <w:highlight w:val="none"/>
              </w:rPr>
            </w:pPr>
            <w:r>
              <w:rPr>
                <w:rFonts w:hint="eastAsia" w:cs="宋体"/>
                <w:color w:val="auto"/>
                <w:sz w:val="21"/>
                <w:szCs w:val="21"/>
                <w:highlight w:val="none"/>
              </w:rPr>
              <w:t>（</w:t>
            </w:r>
            <w:r>
              <w:rPr>
                <w:rFonts w:hint="eastAsia" w:cs="宋体"/>
                <w:color w:val="auto"/>
                <w:sz w:val="21"/>
                <w:szCs w:val="21"/>
                <w:highlight w:val="none"/>
                <w:u w:val="single"/>
              </w:rPr>
              <w:t xml:space="preserve">      </w:t>
            </w:r>
            <w:r>
              <w:rPr>
                <w:rFonts w:hint="eastAsia" w:cs="宋体"/>
                <w:color w:val="auto"/>
                <w:sz w:val="21"/>
                <w:szCs w:val="21"/>
                <w:highlight w:val="none"/>
              </w:rPr>
              <w:t>年份，第</w:t>
            </w:r>
            <w:r>
              <w:rPr>
                <w:rFonts w:hint="eastAsia" w:cs="宋体"/>
                <w:color w:val="auto"/>
                <w:sz w:val="21"/>
                <w:szCs w:val="21"/>
                <w:highlight w:val="none"/>
                <w:u w:val="single"/>
              </w:rPr>
              <w:t xml:space="preserve">    </w:t>
            </w:r>
            <w:r>
              <w:rPr>
                <w:rFonts w:hint="eastAsia" w:cs="宋体"/>
                <w:color w:val="auto"/>
                <w:sz w:val="21"/>
                <w:szCs w:val="21"/>
                <w:highlight w:val="none"/>
              </w:rPr>
              <w:t>季度，分值类别为</w:t>
            </w:r>
            <w:r>
              <w:rPr>
                <w:rFonts w:hint="eastAsia" w:cs="宋体"/>
                <w:color w:val="auto"/>
                <w:sz w:val="21"/>
                <w:szCs w:val="21"/>
                <w:highlight w:val="none"/>
                <w:u w:val="single"/>
              </w:rPr>
              <w:t xml:space="preserve">      </w:t>
            </w:r>
            <w:r>
              <w:rPr>
                <w:rFonts w:hint="eastAsia" w:cs="宋体"/>
                <w:color w:val="auto"/>
                <w:sz w:val="21"/>
                <w:szCs w:val="21"/>
                <w:highlight w:val="none"/>
              </w:rPr>
              <w:t>）</w:t>
            </w:r>
          </w:p>
        </w:tc>
        <w:tc>
          <w:tcPr>
            <w:tcW w:w="642" w:type="dxa"/>
            <w:tcBorders>
              <w:top w:val="single" w:color="000000" w:sz="4" w:space="0"/>
              <w:left w:val="nil"/>
              <w:bottom w:val="nil"/>
              <w:right w:val="single" w:color="000000" w:sz="4" w:space="0"/>
            </w:tcBorders>
            <w:vAlign w:val="center"/>
          </w:tcPr>
          <w:p>
            <w:pPr>
              <w:autoSpaceDE w:val="0"/>
              <w:autoSpaceDN w:val="0"/>
              <w:adjustRightInd w:val="0"/>
              <w:spacing w:line="240" w:lineRule="exact"/>
              <w:jc w:val="center"/>
              <w:rPr>
                <w:rFonts w:cs="宋体"/>
                <w:color w:val="auto"/>
                <w:sz w:val="21"/>
                <w:szCs w:val="21"/>
                <w:highlight w:val="none"/>
              </w:rPr>
            </w:pPr>
            <w:r>
              <w:rPr>
                <w:rFonts w:hint="eastAsia" w:cs="宋体"/>
                <w:color w:val="auto"/>
                <w:sz w:val="21"/>
                <w:szCs w:val="21"/>
                <w:highlight w:val="none"/>
              </w:rPr>
              <w:t>解密</w:t>
            </w:r>
          </w:p>
          <w:p>
            <w:pPr>
              <w:autoSpaceDE w:val="0"/>
              <w:autoSpaceDN w:val="0"/>
              <w:adjustRightInd w:val="0"/>
              <w:spacing w:line="240" w:lineRule="exact"/>
              <w:jc w:val="center"/>
              <w:rPr>
                <w:rFonts w:cs="宋体"/>
                <w:color w:val="auto"/>
                <w:sz w:val="21"/>
                <w:szCs w:val="21"/>
                <w:highlight w:val="none"/>
              </w:rPr>
            </w:pPr>
            <w:r>
              <w:rPr>
                <w:rFonts w:hint="eastAsia" w:cs="宋体"/>
                <w:color w:val="auto"/>
                <w:sz w:val="21"/>
                <w:szCs w:val="21"/>
                <w:highlight w:val="none"/>
              </w:rPr>
              <w:t>情况</w:t>
            </w:r>
          </w:p>
        </w:tc>
        <w:tc>
          <w:tcPr>
            <w:tcW w:w="528" w:type="dxa"/>
            <w:tcBorders>
              <w:top w:val="single" w:color="000000" w:sz="4" w:space="0"/>
              <w:left w:val="nil"/>
              <w:bottom w:val="nil"/>
              <w:right w:val="single" w:color="000000" w:sz="4" w:space="0"/>
            </w:tcBorders>
            <w:vAlign w:val="center"/>
          </w:tcPr>
          <w:p>
            <w:pPr>
              <w:adjustRightInd w:val="0"/>
              <w:spacing w:line="240" w:lineRule="exact"/>
              <w:jc w:val="center"/>
              <w:textAlignment w:val="baseline"/>
              <w:rPr>
                <w:rFonts w:cs="宋体"/>
                <w:color w:val="auto"/>
                <w:sz w:val="21"/>
                <w:szCs w:val="21"/>
                <w:highlight w:val="none"/>
              </w:rPr>
            </w:pPr>
          </w:p>
          <w:p>
            <w:pPr>
              <w:adjustRightInd w:val="0"/>
              <w:spacing w:line="240" w:lineRule="exact"/>
              <w:jc w:val="center"/>
              <w:textAlignment w:val="baseline"/>
              <w:rPr>
                <w:rFonts w:cs="宋体"/>
                <w:color w:val="auto"/>
                <w:sz w:val="21"/>
                <w:szCs w:val="21"/>
                <w:highlight w:val="none"/>
              </w:rPr>
            </w:pPr>
          </w:p>
          <w:p>
            <w:pPr>
              <w:adjustRightInd w:val="0"/>
              <w:spacing w:line="240" w:lineRule="exact"/>
              <w:jc w:val="center"/>
              <w:textAlignment w:val="baseline"/>
              <w:rPr>
                <w:rFonts w:cs="宋体"/>
                <w:color w:val="auto"/>
                <w:sz w:val="21"/>
                <w:szCs w:val="21"/>
                <w:highlight w:val="none"/>
              </w:rPr>
            </w:pPr>
            <w:r>
              <w:rPr>
                <w:rFonts w:hint="eastAsia" w:cs="宋体"/>
                <w:color w:val="auto"/>
                <w:sz w:val="21"/>
                <w:szCs w:val="21"/>
                <w:highlight w:val="none"/>
              </w:rPr>
              <w:t>备注</w:t>
            </w:r>
          </w:p>
        </w:tc>
      </w:tr>
      <w:tr>
        <w:tblPrEx>
          <w:tblCellMar>
            <w:top w:w="0" w:type="dxa"/>
            <w:left w:w="108" w:type="dxa"/>
            <w:bottom w:w="0" w:type="dxa"/>
            <w:right w:w="108" w:type="dxa"/>
          </w:tblCellMar>
        </w:tblPrEx>
        <w:trPr>
          <w:trHeight w:val="667" w:hRule="atLeast"/>
        </w:trPr>
        <w:tc>
          <w:tcPr>
            <w:tcW w:w="850" w:type="dxa"/>
            <w:tcBorders>
              <w:top w:val="single" w:color="000000" w:sz="4" w:space="0"/>
              <w:left w:val="single" w:color="000000" w:sz="4" w:space="0"/>
              <w:bottom w:val="single" w:color="000000" w:sz="4" w:space="0"/>
              <w:right w:val="single" w:color="000000" w:sz="4" w:space="0"/>
            </w:tcBorders>
            <w:vAlign w:val="center"/>
          </w:tcPr>
          <w:p>
            <w:pPr>
              <w:autoSpaceDE w:val="0"/>
              <w:autoSpaceDN w:val="0"/>
              <w:spacing w:before="3"/>
              <w:jc w:val="center"/>
              <w:rPr>
                <w:rFonts w:cs="宋体"/>
                <w:color w:val="auto"/>
                <w:sz w:val="21"/>
                <w:szCs w:val="21"/>
                <w:highlight w:val="none"/>
              </w:rPr>
            </w:pPr>
            <w:r>
              <w:rPr>
                <w:rFonts w:hint="eastAsia" w:cs="宋体"/>
                <w:color w:val="auto"/>
                <w:sz w:val="21"/>
                <w:szCs w:val="21"/>
                <w:highlight w:val="none"/>
              </w:rPr>
              <w:t>1</w:t>
            </w:r>
          </w:p>
        </w:tc>
        <w:tc>
          <w:tcPr>
            <w:tcW w:w="854" w:type="dxa"/>
            <w:tcBorders>
              <w:top w:val="single" w:color="000000" w:sz="4" w:space="0"/>
              <w:left w:val="nil"/>
              <w:bottom w:val="single" w:color="000000" w:sz="4" w:space="0"/>
              <w:right w:val="single" w:color="auto" w:sz="4" w:space="0"/>
            </w:tcBorders>
            <w:vAlign w:val="center"/>
          </w:tcPr>
          <w:p>
            <w:pPr>
              <w:autoSpaceDE w:val="0"/>
              <w:autoSpaceDN w:val="0"/>
              <w:spacing w:before="1"/>
              <w:ind w:left="66" w:right="223"/>
              <w:jc w:val="center"/>
              <w:rPr>
                <w:rFonts w:cs="宋体"/>
                <w:color w:val="auto"/>
                <w:sz w:val="21"/>
                <w:szCs w:val="21"/>
                <w:highlight w:val="none"/>
              </w:rPr>
            </w:pPr>
          </w:p>
        </w:tc>
        <w:tc>
          <w:tcPr>
            <w:tcW w:w="1206" w:type="dxa"/>
            <w:tcBorders>
              <w:top w:val="single" w:color="000000" w:sz="4" w:space="0"/>
              <w:left w:val="nil"/>
              <w:bottom w:val="single" w:color="000000" w:sz="4" w:space="0"/>
              <w:right w:val="single" w:color="000000" w:sz="4" w:space="0"/>
            </w:tcBorders>
            <w:vAlign w:val="center"/>
          </w:tcPr>
          <w:p>
            <w:pPr>
              <w:autoSpaceDE w:val="0"/>
              <w:autoSpaceDN w:val="0"/>
              <w:spacing w:before="1"/>
              <w:ind w:left="66" w:right="223"/>
              <w:jc w:val="center"/>
              <w:rPr>
                <w:rFonts w:cs="宋体"/>
                <w:color w:val="auto"/>
                <w:sz w:val="21"/>
                <w:szCs w:val="21"/>
                <w:highlight w:val="none"/>
              </w:rPr>
            </w:pPr>
          </w:p>
        </w:tc>
        <w:tc>
          <w:tcPr>
            <w:tcW w:w="1105" w:type="dxa"/>
            <w:tcBorders>
              <w:top w:val="single" w:color="000000" w:sz="4" w:space="0"/>
              <w:left w:val="nil"/>
              <w:bottom w:val="single" w:color="000000" w:sz="4" w:space="0"/>
              <w:right w:val="single" w:color="auto" w:sz="4" w:space="0"/>
            </w:tcBorders>
            <w:vAlign w:val="center"/>
          </w:tcPr>
          <w:p>
            <w:pPr>
              <w:wordWrap w:val="0"/>
              <w:autoSpaceDE w:val="0"/>
              <w:autoSpaceDN w:val="0"/>
              <w:ind w:right="36"/>
              <w:jc w:val="center"/>
              <w:rPr>
                <w:rFonts w:cs="宋体"/>
                <w:color w:val="auto"/>
                <w:sz w:val="21"/>
                <w:szCs w:val="21"/>
                <w:highlight w:val="none"/>
              </w:rPr>
            </w:pPr>
          </w:p>
        </w:tc>
        <w:tc>
          <w:tcPr>
            <w:tcW w:w="1287" w:type="dxa"/>
            <w:tcBorders>
              <w:top w:val="single" w:color="000000" w:sz="4" w:space="0"/>
              <w:left w:val="nil"/>
              <w:bottom w:val="single" w:color="000000" w:sz="4" w:space="0"/>
              <w:right w:val="single" w:color="000000" w:sz="4" w:space="0"/>
            </w:tcBorders>
            <w:vAlign w:val="center"/>
          </w:tcPr>
          <w:p>
            <w:pPr>
              <w:wordWrap w:val="0"/>
              <w:autoSpaceDE w:val="0"/>
              <w:autoSpaceDN w:val="0"/>
              <w:ind w:right="36"/>
              <w:jc w:val="center"/>
              <w:rPr>
                <w:rFonts w:cs="宋体"/>
                <w:color w:val="auto"/>
                <w:sz w:val="21"/>
                <w:szCs w:val="21"/>
                <w:highlight w:val="none"/>
              </w:rPr>
            </w:pPr>
          </w:p>
        </w:tc>
        <w:tc>
          <w:tcPr>
            <w:tcW w:w="852" w:type="dxa"/>
            <w:tcBorders>
              <w:top w:val="single" w:color="000000" w:sz="4" w:space="0"/>
              <w:left w:val="nil"/>
              <w:bottom w:val="single" w:color="000000" w:sz="4" w:space="0"/>
              <w:right w:val="single" w:color="000000" w:sz="4" w:space="0"/>
            </w:tcBorders>
            <w:vAlign w:val="center"/>
          </w:tcPr>
          <w:p>
            <w:pPr>
              <w:autoSpaceDE w:val="0"/>
              <w:autoSpaceDN w:val="0"/>
              <w:spacing w:line="362" w:lineRule="exact"/>
              <w:ind w:left="187" w:right="18"/>
              <w:jc w:val="center"/>
              <w:rPr>
                <w:rFonts w:cs="宋体"/>
                <w:color w:val="auto"/>
                <w:sz w:val="21"/>
                <w:szCs w:val="21"/>
                <w:highlight w:val="none"/>
              </w:rPr>
            </w:pPr>
          </w:p>
        </w:tc>
        <w:tc>
          <w:tcPr>
            <w:tcW w:w="1078" w:type="dxa"/>
            <w:tcBorders>
              <w:top w:val="single" w:color="000000" w:sz="4" w:space="0"/>
              <w:left w:val="nil"/>
              <w:bottom w:val="single" w:color="000000" w:sz="4" w:space="0"/>
              <w:right w:val="single" w:color="000000" w:sz="4" w:space="0"/>
            </w:tcBorders>
            <w:vAlign w:val="center"/>
          </w:tcPr>
          <w:p>
            <w:pPr>
              <w:autoSpaceDE w:val="0"/>
              <w:autoSpaceDN w:val="0"/>
              <w:ind w:left="87" w:right="55"/>
              <w:jc w:val="center"/>
              <w:rPr>
                <w:rFonts w:cs="宋体"/>
                <w:color w:val="auto"/>
                <w:sz w:val="21"/>
                <w:szCs w:val="21"/>
                <w:highlight w:val="none"/>
              </w:rPr>
            </w:pPr>
          </w:p>
        </w:tc>
        <w:tc>
          <w:tcPr>
            <w:tcW w:w="765" w:type="dxa"/>
            <w:tcBorders>
              <w:top w:val="single" w:color="000000" w:sz="4" w:space="0"/>
              <w:left w:val="nil"/>
              <w:bottom w:val="single" w:color="000000" w:sz="4" w:space="0"/>
              <w:right w:val="single" w:color="000000" w:sz="4" w:space="0"/>
            </w:tcBorders>
            <w:vAlign w:val="center"/>
          </w:tcPr>
          <w:p>
            <w:pPr>
              <w:autoSpaceDE w:val="0"/>
              <w:autoSpaceDN w:val="0"/>
              <w:spacing w:before="155"/>
              <w:ind w:left="87" w:right="55"/>
              <w:jc w:val="center"/>
              <w:rPr>
                <w:rFonts w:cs="宋体"/>
                <w:color w:val="auto"/>
                <w:sz w:val="21"/>
                <w:szCs w:val="21"/>
                <w:highlight w:val="none"/>
              </w:rPr>
            </w:pPr>
          </w:p>
        </w:tc>
        <w:tc>
          <w:tcPr>
            <w:tcW w:w="709" w:type="dxa"/>
            <w:tcBorders>
              <w:top w:val="single" w:color="000000" w:sz="4" w:space="0"/>
              <w:left w:val="nil"/>
              <w:bottom w:val="single" w:color="000000" w:sz="4" w:space="0"/>
              <w:right w:val="single" w:color="000000" w:sz="4" w:space="0"/>
            </w:tcBorders>
            <w:vAlign w:val="center"/>
          </w:tcPr>
          <w:p>
            <w:pPr>
              <w:autoSpaceDE w:val="0"/>
              <w:autoSpaceDN w:val="0"/>
              <w:spacing w:before="1"/>
              <w:ind w:right="127"/>
              <w:jc w:val="center"/>
              <w:rPr>
                <w:rFonts w:cs="宋体"/>
                <w:color w:val="auto"/>
                <w:sz w:val="21"/>
                <w:szCs w:val="21"/>
                <w:highlight w:val="none"/>
              </w:rPr>
            </w:pPr>
          </w:p>
        </w:tc>
        <w:tc>
          <w:tcPr>
            <w:tcW w:w="2353" w:type="dxa"/>
            <w:tcBorders>
              <w:top w:val="single" w:color="000000" w:sz="4" w:space="0"/>
              <w:left w:val="nil"/>
              <w:bottom w:val="single" w:color="000000" w:sz="4" w:space="0"/>
              <w:right w:val="single" w:color="000000" w:sz="4" w:space="0"/>
            </w:tcBorders>
            <w:vAlign w:val="center"/>
          </w:tcPr>
          <w:p>
            <w:pPr>
              <w:autoSpaceDE w:val="0"/>
              <w:autoSpaceDN w:val="0"/>
              <w:adjustRightInd w:val="0"/>
              <w:ind w:firstLine="210" w:firstLineChars="100"/>
              <w:rPr>
                <w:rFonts w:cs="宋体"/>
                <w:color w:val="auto"/>
                <w:sz w:val="21"/>
                <w:szCs w:val="21"/>
                <w:highlight w:val="none"/>
              </w:rPr>
            </w:pPr>
            <w:r>
              <w:rPr>
                <w:rFonts w:hint="eastAsia" w:cs="宋体"/>
                <w:color w:val="auto"/>
                <w:sz w:val="21"/>
                <w:szCs w:val="21"/>
                <w:highlight w:val="none"/>
              </w:rPr>
              <w:t>评价等级</w:t>
            </w:r>
            <w:r>
              <w:rPr>
                <w:rFonts w:hint="eastAsia" w:cs="宋体"/>
                <w:color w:val="auto"/>
                <w:sz w:val="21"/>
                <w:szCs w:val="21"/>
                <w:highlight w:val="none"/>
                <w:u w:val="single"/>
              </w:rPr>
              <w:t xml:space="preserve">       </w:t>
            </w:r>
          </w:p>
          <w:p>
            <w:pPr>
              <w:autoSpaceDE w:val="0"/>
              <w:autoSpaceDN w:val="0"/>
              <w:adjustRightInd w:val="0"/>
              <w:ind w:firstLine="210" w:firstLineChars="100"/>
              <w:rPr>
                <w:rFonts w:cs="宋体"/>
                <w:color w:val="auto"/>
                <w:sz w:val="21"/>
                <w:szCs w:val="21"/>
                <w:highlight w:val="none"/>
              </w:rPr>
            </w:pPr>
            <w:r>
              <w:rPr>
                <w:rFonts w:hint="eastAsia" w:cs="宋体"/>
                <w:color w:val="auto"/>
                <w:sz w:val="21"/>
                <w:szCs w:val="21"/>
                <w:highlight w:val="none"/>
              </w:rPr>
              <w:t>综合得分</w:t>
            </w:r>
            <w:r>
              <w:rPr>
                <w:rFonts w:hint="eastAsia" w:cs="宋体"/>
                <w:color w:val="auto"/>
                <w:sz w:val="21"/>
                <w:szCs w:val="21"/>
                <w:highlight w:val="none"/>
                <w:u w:val="single"/>
              </w:rPr>
              <w:t xml:space="preserve">       </w:t>
            </w:r>
          </w:p>
        </w:tc>
        <w:tc>
          <w:tcPr>
            <w:tcW w:w="2940" w:type="dxa"/>
            <w:tcBorders>
              <w:top w:val="single" w:color="000000" w:sz="4" w:space="0"/>
              <w:left w:val="nil"/>
              <w:bottom w:val="single" w:color="000000" w:sz="4" w:space="0"/>
              <w:right w:val="single" w:color="000000" w:sz="4" w:space="0"/>
            </w:tcBorders>
            <w:vAlign w:val="center"/>
          </w:tcPr>
          <w:p>
            <w:pPr>
              <w:autoSpaceDE w:val="0"/>
              <w:autoSpaceDN w:val="0"/>
              <w:adjustRightInd w:val="0"/>
              <w:jc w:val="center"/>
              <w:rPr>
                <w:rFonts w:cs="宋体"/>
                <w:color w:val="auto"/>
                <w:sz w:val="21"/>
                <w:szCs w:val="21"/>
                <w:highlight w:val="none"/>
              </w:rPr>
            </w:pPr>
          </w:p>
        </w:tc>
        <w:tc>
          <w:tcPr>
            <w:tcW w:w="642" w:type="dxa"/>
            <w:tcBorders>
              <w:top w:val="single" w:color="000000" w:sz="4" w:space="0"/>
              <w:left w:val="nil"/>
              <w:bottom w:val="single" w:color="000000" w:sz="4" w:space="0"/>
              <w:right w:val="single" w:color="000000" w:sz="4" w:space="0"/>
            </w:tcBorders>
            <w:vAlign w:val="center"/>
          </w:tcPr>
          <w:p>
            <w:pPr>
              <w:autoSpaceDE w:val="0"/>
              <w:autoSpaceDN w:val="0"/>
              <w:adjustRightInd w:val="0"/>
              <w:jc w:val="center"/>
              <w:rPr>
                <w:rFonts w:cs="宋体"/>
                <w:color w:val="auto"/>
                <w:sz w:val="21"/>
                <w:szCs w:val="21"/>
                <w:highlight w:val="none"/>
              </w:rPr>
            </w:pPr>
          </w:p>
        </w:tc>
        <w:tc>
          <w:tcPr>
            <w:tcW w:w="528" w:type="dxa"/>
            <w:tcBorders>
              <w:top w:val="single" w:color="000000" w:sz="4" w:space="0"/>
              <w:left w:val="nil"/>
              <w:bottom w:val="single" w:color="000000" w:sz="4" w:space="0"/>
              <w:right w:val="single" w:color="000000" w:sz="4" w:space="0"/>
            </w:tcBorders>
            <w:vAlign w:val="center"/>
          </w:tcPr>
          <w:p>
            <w:pPr>
              <w:autoSpaceDE w:val="0"/>
              <w:autoSpaceDN w:val="0"/>
              <w:adjustRightInd w:val="0"/>
              <w:jc w:val="center"/>
              <w:rPr>
                <w:rFonts w:cs="宋体"/>
                <w:color w:val="auto"/>
                <w:sz w:val="21"/>
                <w:szCs w:val="21"/>
                <w:highlight w:val="none"/>
              </w:rPr>
            </w:pPr>
          </w:p>
        </w:tc>
      </w:tr>
      <w:tr>
        <w:tblPrEx>
          <w:tblCellMar>
            <w:top w:w="0" w:type="dxa"/>
            <w:left w:w="108" w:type="dxa"/>
            <w:bottom w:w="0" w:type="dxa"/>
            <w:right w:w="108" w:type="dxa"/>
          </w:tblCellMar>
        </w:tblPrEx>
        <w:trPr>
          <w:trHeight w:val="497" w:hRule="atLeast"/>
        </w:trPr>
        <w:tc>
          <w:tcPr>
            <w:tcW w:w="850" w:type="dxa"/>
            <w:tcBorders>
              <w:top w:val="single" w:color="000000" w:sz="4" w:space="0"/>
              <w:left w:val="single" w:color="000000" w:sz="4" w:space="0"/>
              <w:bottom w:val="single" w:color="000000" w:sz="4" w:space="0"/>
              <w:right w:val="single" w:color="000000" w:sz="4" w:space="0"/>
            </w:tcBorders>
            <w:vAlign w:val="center"/>
          </w:tcPr>
          <w:p>
            <w:pPr>
              <w:autoSpaceDE w:val="0"/>
              <w:autoSpaceDN w:val="0"/>
              <w:spacing w:before="3"/>
              <w:jc w:val="center"/>
              <w:rPr>
                <w:rFonts w:cs="宋体"/>
                <w:color w:val="auto"/>
                <w:sz w:val="21"/>
                <w:szCs w:val="21"/>
                <w:highlight w:val="none"/>
              </w:rPr>
            </w:pPr>
            <w:r>
              <w:rPr>
                <w:rFonts w:hint="eastAsia" w:cs="宋体"/>
                <w:color w:val="auto"/>
                <w:sz w:val="21"/>
                <w:szCs w:val="21"/>
                <w:highlight w:val="none"/>
              </w:rPr>
              <w:t>2</w:t>
            </w:r>
          </w:p>
        </w:tc>
        <w:tc>
          <w:tcPr>
            <w:tcW w:w="854" w:type="dxa"/>
            <w:tcBorders>
              <w:top w:val="single" w:color="000000" w:sz="4" w:space="0"/>
              <w:left w:val="nil"/>
              <w:bottom w:val="single" w:color="000000" w:sz="4" w:space="0"/>
              <w:right w:val="single" w:color="auto" w:sz="4" w:space="0"/>
            </w:tcBorders>
            <w:vAlign w:val="center"/>
          </w:tcPr>
          <w:p>
            <w:pPr>
              <w:autoSpaceDE w:val="0"/>
              <w:autoSpaceDN w:val="0"/>
              <w:spacing w:before="1"/>
              <w:ind w:left="66" w:right="223"/>
              <w:jc w:val="center"/>
              <w:rPr>
                <w:rFonts w:cs="宋体"/>
                <w:color w:val="auto"/>
                <w:sz w:val="21"/>
                <w:szCs w:val="21"/>
                <w:highlight w:val="none"/>
              </w:rPr>
            </w:pPr>
          </w:p>
        </w:tc>
        <w:tc>
          <w:tcPr>
            <w:tcW w:w="1206" w:type="dxa"/>
            <w:tcBorders>
              <w:top w:val="single" w:color="000000" w:sz="4" w:space="0"/>
              <w:left w:val="nil"/>
              <w:bottom w:val="single" w:color="000000" w:sz="4" w:space="0"/>
              <w:right w:val="single" w:color="000000" w:sz="4" w:space="0"/>
            </w:tcBorders>
            <w:vAlign w:val="center"/>
          </w:tcPr>
          <w:p>
            <w:pPr>
              <w:autoSpaceDE w:val="0"/>
              <w:autoSpaceDN w:val="0"/>
              <w:spacing w:before="1"/>
              <w:ind w:left="66" w:right="223"/>
              <w:jc w:val="center"/>
              <w:rPr>
                <w:rFonts w:cs="宋体"/>
                <w:color w:val="auto"/>
                <w:sz w:val="21"/>
                <w:szCs w:val="21"/>
                <w:highlight w:val="none"/>
              </w:rPr>
            </w:pPr>
          </w:p>
        </w:tc>
        <w:tc>
          <w:tcPr>
            <w:tcW w:w="1105" w:type="dxa"/>
            <w:tcBorders>
              <w:top w:val="single" w:color="000000" w:sz="4" w:space="0"/>
              <w:left w:val="nil"/>
              <w:bottom w:val="single" w:color="000000" w:sz="4" w:space="0"/>
              <w:right w:val="single" w:color="auto" w:sz="4" w:space="0"/>
            </w:tcBorders>
            <w:vAlign w:val="center"/>
          </w:tcPr>
          <w:p>
            <w:pPr>
              <w:wordWrap w:val="0"/>
              <w:autoSpaceDE w:val="0"/>
              <w:autoSpaceDN w:val="0"/>
              <w:ind w:right="36"/>
              <w:jc w:val="center"/>
              <w:rPr>
                <w:rFonts w:cs="宋体"/>
                <w:color w:val="auto"/>
                <w:sz w:val="21"/>
                <w:szCs w:val="21"/>
                <w:highlight w:val="none"/>
              </w:rPr>
            </w:pPr>
          </w:p>
        </w:tc>
        <w:tc>
          <w:tcPr>
            <w:tcW w:w="1287" w:type="dxa"/>
            <w:tcBorders>
              <w:top w:val="single" w:color="000000" w:sz="4" w:space="0"/>
              <w:left w:val="nil"/>
              <w:bottom w:val="single" w:color="000000" w:sz="4" w:space="0"/>
              <w:right w:val="single" w:color="000000" w:sz="4" w:space="0"/>
            </w:tcBorders>
            <w:vAlign w:val="center"/>
          </w:tcPr>
          <w:p>
            <w:pPr>
              <w:wordWrap w:val="0"/>
              <w:autoSpaceDE w:val="0"/>
              <w:autoSpaceDN w:val="0"/>
              <w:ind w:right="36"/>
              <w:jc w:val="center"/>
              <w:rPr>
                <w:rFonts w:cs="宋体"/>
                <w:color w:val="auto"/>
                <w:sz w:val="21"/>
                <w:szCs w:val="21"/>
                <w:highlight w:val="none"/>
              </w:rPr>
            </w:pPr>
          </w:p>
        </w:tc>
        <w:tc>
          <w:tcPr>
            <w:tcW w:w="852" w:type="dxa"/>
            <w:tcBorders>
              <w:top w:val="single" w:color="000000" w:sz="4" w:space="0"/>
              <w:left w:val="nil"/>
              <w:bottom w:val="single" w:color="000000" w:sz="4" w:space="0"/>
              <w:right w:val="single" w:color="000000" w:sz="4" w:space="0"/>
            </w:tcBorders>
            <w:vAlign w:val="center"/>
          </w:tcPr>
          <w:p>
            <w:pPr>
              <w:autoSpaceDE w:val="0"/>
              <w:autoSpaceDN w:val="0"/>
              <w:spacing w:line="362" w:lineRule="exact"/>
              <w:ind w:left="187" w:right="18"/>
              <w:jc w:val="center"/>
              <w:rPr>
                <w:rFonts w:cs="宋体"/>
                <w:color w:val="auto"/>
                <w:sz w:val="21"/>
                <w:szCs w:val="21"/>
                <w:highlight w:val="none"/>
              </w:rPr>
            </w:pPr>
          </w:p>
        </w:tc>
        <w:tc>
          <w:tcPr>
            <w:tcW w:w="1078" w:type="dxa"/>
            <w:tcBorders>
              <w:top w:val="single" w:color="000000" w:sz="4" w:space="0"/>
              <w:left w:val="nil"/>
              <w:bottom w:val="single" w:color="000000" w:sz="4" w:space="0"/>
              <w:right w:val="single" w:color="000000" w:sz="4" w:space="0"/>
            </w:tcBorders>
            <w:vAlign w:val="center"/>
          </w:tcPr>
          <w:p>
            <w:pPr>
              <w:autoSpaceDE w:val="0"/>
              <w:autoSpaceDN w:val="0"/>
              <w:ind w:left="87" w:right="55"/>
              <w:jc w:val="center"/>
              <w:rPr>
                <w:rFonts w:cs="宋体"/>
                <w:color w:val="auto"/>
                <w:sz w:val="21"/>
                <w:szCs w:val="21"/>
                <w:highlight w:val="none"/>
              </w:rPr>
            </w:pPr>
          </w:p>
        </w:tc>
        <w:tc>
          <w:tcPr>
            <w:tcW w:w="765" w:type="dxa"/>
            <w:tcBorders>
              <w:top w:val="single" w:color="000000" w:sz="4" w:space="0"/>
              <w:left w:val="nil"/>
              <w:bottom w:val="single" w:color="000000" w:sz="4" w:space="0"/>
              <w:right w:val="single" w:color="000000" w:sz="4" w:space="0"/>
            </w:tcBorders>
            <w:vAlign w:val="center"/>
          </w:tcPr>
          <w:p>
            <w:pPr>
              <w:autoSpaceDE w:val="0"/>
              <w:autoSpaceDN w:val="0"/>
              <w:spacing w:before="155"/>
              <w:ind w:left="87" w:right="55"/>
              <w:jc w:val="center"/>
              <w:rPr>
                <w:rFonts w:cs="宋体"/>
                <w:color w:val="auto"/>
                <w:sz w:val="21"/>
                <w:szCs w:val="21"/>
                <w:highlight w:val="none"/>
              </w:rPr>
            </w:pPr>
          </w:p>
        </w:tc>
        <w:tc>
          <w:tcPr>
            <w:tcW w:w="709" w:type="dxa"/>
            <w:tcBorders>
              <w:top w:val="single" w:color="000000" w:sz="4" w:space="0"/>
              <w:left w:val="nil"/>
              <w:bottom w:val="single" w:color="000000" w:sz="4" w:space="0"/>
              <w:right w:val="single" w:color="000000" w:sz="4" w:space="0"/>
            </w:tcBorders>
            <w:vAlign w:val="center"/>
          </w:tcPr>
          <w:p>
            <w:pPr>
              <w:autoSpaceDE w:val="0"/>
              <w:autoSpaceDN w:val="0"/>
              <w:spacing w:before="1"/>
              <w:ind w:right="127"/>
              <w:jc w:val="center"/>
              <w:rPr>
                <w:rFonts w:cs="宋体"/>
                <w:color w:val="auto"/>
                <w:sz w:val="21"/>
                <w:szCs w:val="21"/>
                <w:highlight w:val="none"/>
              </w:rPr>
            </w:pPr>
          </w:p>
        </w:tc>
        <w:tc>
          <w:tcPr>
            <w:tcW w:w="2353" w:type="dxa"/>
            <w:tcBorders>
              <w:top w:val="single" w:color="000000" w:sz="4" w:space="0"/>
              <w:left w:val="nil"/>
              <w:bottom w:val="single" w:color="000000" w:sz="4" w:space="0"/>
              <w:right w:val="single" w:color="000000" w:sz="4" w:space="0"/>
            </w:tcBorders>
            <w:vAlign w:val="center"/>
          </w:tcPr>
          <w:p>
            <w:pPr>
              <w:autoSpaceDE w:val="0"/>
              <w:autoSpaceDN w:val="0"/>
              <w:adjustRightInd w:val="0"/>
              <w:ind w:firstLine="210" w:firstLineChars="100"/>
              <w:rPr>
                <w:rFonts w:cs="宋体"/>
                <w:color w:val="auto"/>
                <w:sz w:val="21"/>
                <w:szCs w:val="21"/>
                <w:highlight w:val="none"/>
              </w:rPr>
            </w:pPr>
            <w:r>
              <w:rPr>
                <w:rFonts w:hint="eastAsia" w:cs="宋体"/>
                <w:color w:val="auto"/>
                <w:sz w:val="21"/>
                <w:szCs w:val="21"/>
                <w:highlight w:val="none"/>
              </w:rPr>
              <w:t>评价等级</w:t>
            </w:r>
            <w:r>
              <w:rPr>
                <w:rFonts w:hint="eastAsia" w:cs="宋体"/>
                <w:color w:val="auto"/>
                <w:sz w:val="21"/>
                <w:szCs w:val="21"/>
                <w:highlight w:val="none"/>
                <w:u w:val="single"/>
              </w:rPr>
              <w:t xml:space="preserve">       </w:t>
            </w:r>
          </w:p>
          <w:p>
            <w:pPr>
              <w:autoSpaceDE w:val="0"/>
              <w:autoSpaceDN w:val="0"/>
              <w:spacing w:before="3"/>
              <w:ind w:firstLine="210" w:firstLineChars="100"/>
              <w:rPr>
                <w:rFonts w:cs="宋体"/>
                <w:color w:val="auto"/>
                <w:sz w:val="21"/>
                <w:szCs w:val="21"/>
                <w:highlight w:val="none"/>
              </w:rPr>
            </w:pPr>
            <w:r>
              <w:rPr>
                <w:rFonts w:hint="eastAsia" w:cs="宋体"/>
                <w:color w:val="auto"/>
                <w:sz w:val="21"/>
                <w:szCs w:val="21"/>
                <w:highlight w:val="none"/>
              </w:rPr>
              <w:t>综合得分</w:t>
            </w:r>
            <w:r>
              <w:rPr>
                <w:rFonts w:hint="eastAsia" w:cs="宋体"/>
                <w:color w:val="auto"/>
                <w:sz w:val="21"/>
                <w:szCs w:val="21"/>
                <w:highlight w:val="none"/>
                <w:u w:val="single"/>
              </w:rPr>
              <w:t xml:space="preserve">       </w:t>
            </w:r>
          </w:p>
        </w:tc>
        <w:tc>
          <w:tcPr>
            <w:tcW w:w="2940" w:type="dxa"/>
            <w:tcBorders>
              <w:top w:val="single" w:color="000000" w:sz="4" w:space="0"/>
              <w:left w:val="nil"/>
              <w:bottom w:val="single" w:color="000000" w:sz="4" w:space="0"/>
              <w:right w:val="single" w:color="000000" w:sz="4" w:space="0"/>
            </w:tcBorders>
            <w:vAlign w:val="center"/>
          </w:tcPr>
          <w:p>
            <w:pPr>
              <w:autoSpaceDE w:val="0"/>
              <w:autoSpaceDN w:val="0"/>
              <w:spacing w:before="3"/>
              <w:jc w:val="center"/>
              <w:rPr>
                <w:rFonts w:cs="宋体"/>
                <w:color w:val="auto"/>
                <w:sz w:val="21"/>
                <w:szCs w:val="21"/>
                <w:highlight w:val="none"/>
              </w:rPr>
            </w:pPr>
          </w:p>
        </w:tc>
        <w:tc>
          <w:tcPr>
            <w:tcW w:w="642" w:type="dxa"/>
            <w:tcBorders>
              <w:top w:val="single" w:color="000000" w:sz="4" w:space="0"/>
              <w:left w:val="nil"/>
              <w:bottom w:val="single" w:color="000000" w:sz="4" w:space="0"/>
              <w:right w:val="single" w:color="000000" w:sz="4" w:space="0"/>
            </w:tcBorders>
            <w:vAlign w:val="center"/>
          </w:tcPr>
          <w:p>
            <w:pPr>
              <w:autoSpaceDE w:val="0"/>
              <w:autoSpaceDN w:val="0"/>
              <w:adjustRightInd w:val="0"/>
              <w:jc w:val="center"/>
              <w:rPr>
                <w:rFonts w:cs="宋体"/>
                <w:color w:val="auto"/>
                <w:sz w:val="21"/>
                <w:szCs w:val="21"/>
                <w:highlight w:val="none"/>
              </w:rPr>
            </w:pPr>
          </w:p>
        </w:tc>
        <w:tc>
          <w:tcPr>
            <w:tcW w:w="528" w:type="dxa"/>
            <w:tcBorders>
              <w:top w:val="single" w:color="000000" w:sz="4" w:space="0"/>
              <w:left w:val="nil"/>
              <w:bottom w:val="single" w:color="000000" w:sz="4" w:space="0"/>
              <w:right w:val="single" w:color="000000" w:sz="4" w:space="0"/>
            </w:tcBorders>
            <w:vAlign w:val="center"/>
          </w:tcPr>
          <w:p>
            <w:pPr>
              <w:autoSpaceDE w:val="0"/>
              <w:autoSpaceDN w:val="0"/>
              <w:adjustRightInd w:val="0"/>
              <w:jc w:val="center"/>
              <w:rPr>
                <w:rFonts w:cs="宋体"/>
                <w:color w:val="auto"/>
                <w:sz w:val="21"/>
                <w:szCs w:val="21"/>
                <w:highlight w:val="none"/>
              </w:rPr>
            </w:pPr>
          </w:p>
        </w:tc>
      </w:tr>
      <w:tr>
        <w:tblPrEx>
          <w:tblCellMar>
            <w:top w:w="0" w:type="dxa"/>
            <w:left w:w="108" w:type="dxa"/>
            <w:bottom w:w="0" w:type="dxa"/>
            <w:right w:w="108" w:type="dxa"/>
          </w:tblCellMar>
        </w:tblPrEx>
        <w:trPr>
          <w:trHeight w:val="497" w:hRule="atLeast"/>
        </w:trPr>
        <w:tc>
          <w:tcPr>
            <w:tcW w:w="850" w:type="dxa"/>
            <w:tcBorders>
              <w:top w:val="single" w:color="000000" w:sz="4" w:space="0"/>
              <w:left w:val="single" w:color="000000" w:sz="4" w:space="0"/>
              <w:bottom w:val="single" w:color="000000" w:sz="4" w:space="0"/>
              <w:right w:val="single" w:color="000000" w:sz="4" w:space="0"/>
            </w:tcBorders>
            <w:vAlign w:val="center"/>
          </w:tcPr>
          <w:p>
            <w:pPr>
              <w:autoSpaceDE w:val="0"/>
              <w:autoSpaceDN w:val="0"/>
              <w:spacing w:before="3"/>
              <w:jc w:val="center"/>
              <w:rPr>
                <w:rFonts w:cs="宋体"/>
                <w:color w:val="auto"/>
                <w:sz w:val="21"/>
                <w:szCs w:val="21"/>
                <w:highlight w:val="none"/>
              </w:rPr>
            </w:pPr>
            <w:r>
              <w:rPr>
                <w:rFonts w:hint="eastAsia" w:cs="宋体"/>
                <w:color w:val="auto"/>
                <w:sz w:val="21"/>
                <w:szCs w:val="21"/>
                <w:highlight w:val="none"/>
              </w:rPr>
              <w:t>3</w:t>
            </w:r>
          </w:p>
        </w:tc>
        <w:tc>
          <w:tcPr>
            <w:tcW w:w="854" w:type="dxa"/>
            <w:tcBorders>
              <w:top w:val="single" w:color="000000" w:sz="4" w:space="0"/>
              <w:left w:val="nil"/>
              <w:bottom w:val="single" w:color="000000" w:sz="4" w:space="0"/>
              <w:right w:val="single" w:color="auto" w:sz="4" w:space="0"/>
            </w:tcBorders>
            <w:vAlign w:val="center"/>
          </w:tcPr>
          <w:p>
            <w:pPr>
              <w:autoSpaceDE w:val="0"/>
              <w:autoSpaceDN w:val="0"/>
              <w:spacing w:before="1"/>
              <w:ind w:left="66" w:right="223"/>
              <w:jc w:val="center"/>
              <w:rPr>
                <w:rFonts w:cs="宋体"/>
                <w:color w:val="auto"/>
                <w:sz w:val="21"/>
                <w:szCs w:val="21"/>
                <w:highlight w:val="none"/>
              </w:rPr>
            </w:pPr>
          </w:p>
        </w:tc>
        <w:tc>
          <w:tcPr>
            <w:tcW w:w="1206" w:type="dxa"/>
            <w:tcBorders>
              <w:top w:val="single" w:color="000000" w:sz="4" w:space="0"/>
              <w:left w:val="nil"/>
              <w:bottom w:val="single" w:color="000000" w:sz="4" w:space="0"/>
              <w:right w:val="single" w:color="000000" w:sz="4" w:space="0"/>
            </w:tcBorders>
            <w:vAlign w:val="center"/>
          </w:tcPr>
          <w:p>
            <w:pPr>
              <w:autoSpaceDE w:val="0"/>
              <w:autoSpaceDN w:val="0"/>
              <w:spacing w:before="1"/>
              <w:ind w:left="66" w:right="223"/>
              <w:jc w:val="center"/>
              <w:rPr>
                <w:rFonts w:cs="宋体"/>
                <w:color w:val="auto"/>
                <w:sz w:val="21"/>
                <w:szCs w:val="21"/>
                <w:highlight w:val="none"/>
              </w:rPr>
            </w:pPr>
          </w:p>
        </w:tc>
        <w:tc>
          <w:tcPr>
            <w:tcW w:w="1105" w:type="dxa"/>
            <w:tcBorders>
              <w:top w:val="single" w:color="000000" w:sz="4" w:space="0"/>
              <w:left w:val="nil"/>
              <w:bottom w:val="single" w:color="000000" w:sz="4" w:space="0"/>
              <w:right w:val="single" w:color="auto" w:sz="4" w:space="0"/>
            </w:tcBorders>
            <w:vAlign w:val="center"/>
          </w:tcPr>
          <w:p>
            <w:pPr>
              <w:wordWrap w:val="0"/>
              <w:autoSpaceDE w:val="0"/>
              <w:autoSpaceDN w:val="0"/>
              <w:ind w:right="36"/>
              <w:jc w:val="center"/>
              <w:rPr>
                <w:rFonts w:cs="宋体"/>
                <w:color w:val="auto"/>
                <w:sz w:val="21"/>
                <w:szCs w:val="21"/>
                <w:highlight w:val="none"/>
              </w:rPr>
            </w:pPr>
          </w:p>
        </w:tc>
        <w:tc>
          <w:tcPr>
            <w:tcW w:w="1287" w:type="dxa"/>
            <w:tcBorders>
              <w:top w:val="single" w:color="000000" w:sz="4" w:space="0"/>
              <w:left w:val="nil"/>
              <w:bottom w:val="single" w:color="000000" w:sz="4" w:space="0"/>
              <w:right w:val="single" w:color="000000" w:sz="4" w:space="0"/>
            </w:tcBorders>
            <w:vAlign w:val="center"/>
          </w:tcPr>
          <w:p>
            <w:pPr>
              <w:wordWrap w:val="0"/>
              <w:autoSpaceDE w:val="0"/>
              <w:autoSpaceDN w:val="0"/>
              <w:ind w:right="36"/>
              <w:jc w:val="center"/>
              <w:rPr>
                <w:rFonts w:cs="宋体"/>
                <w:color w:val="auto"/>
                <w:sz w:val="21"/>
                <w:szCs w:val="21"/>
                <w:highlight w:val="none"/>
              </w:rPr>
            </w:pPr>
          </w:p>
        </w:tc>
        <w:tc>
          <w:tcPr>
            <w:tcW w:w="852" w:type="dxa"/>
            <w:tcBorders>
              <w:top w:val="single" w:color="000000" w:sz="4" w:space="0"/>
              <w:left w:val="nil"/>
              <w:bottom w:val="single" w:color="000000" w:sz="4" w:space="0"/>
              <w:right w:val="single" w:color="000000" w:sz="4" w:space="0"/>
            </w:tcBorders>
            <w:vAlign w:val="center"/>
          </w:tcPr>
          <w:p>
            <w:pPr>
              <w:autoSpaceDE w:val="0"/>
              <w:autoSpaceDN w:val="0"/>
              <w:spacing w:line="362" w:lineRule="exact"/>
              <w:ind w:left="187" w:right="18"/>
              <w:jc w:val="center"/>
              <w:rPr>
                <w:rFonts w:cs="宋体"/>
                <w:color w:val="auto"/>
                <w:sz w:val="21"/>
                <w:szCs w:val="21"/>
                <w:highlight w:val="none"/>
              </w:rPr>
            </w:pPr>
          </w:p>
        </w:tc>
        <w:tc>
          <w:tcPr>
            <w:tcW w:w="1078" w:type="dxa"/>
            <w:tcBorders>
              <w:top w:val="single" w:color="000000" w:sz="4" w:space="0"/>
              <w:left w:val="nil"/>
              <w:bottom w:val="single" w:color="000000" w:sz="4" w:space="0"/>
              <w:right w:val="single" w:color="000000" w:sz="4" w:space="0"/>
            </w:tcBorders>
            <w:vAlign w:val="center"/>
          </w:tcPr>
          <w:p>
            <w:pPr>
              <w:autoSpaceDE w:val="0"/>
              <w:autoSpaceDN w:val="0"/>
              <w:ind w:left="87" w:right="55"/>
              <w:jc w:val="center"/>
              <w:rPr>
                <w:rFonts w:cs="宋体"/>
                <w:color w:val="auto"/>
                <w:sz w:val="21"/>
                <w:szCs w:val="21"/>
                <w:highlight w:val="none"/>
              </w:rPr>
            </w:pPr>
          </w:p>
        </w:tc>
        <w:tc>
          <w:tcPr>
            <w:tcW w:w="765" w:type="dxa"/>
            <w:tcBorders>
              <w:top w:val="single" w:color="000000" w:sz="4" w:space="0"/>
              <w:left w:val="nil"/>
              <w:bottom w:val="single" w:color="000000" w:sz="4" w:space="0"/>
              <w:right w:val="single" w:color="000000" w:sz="4" w:space="0"/>
            </w:tcBorders>
            <w:vAlign w:val="center"/>
          </w:tcPr>
          <w:p>
            <w:pPr>
              <w:autoSpaceDE w:val="0"/>
              <w:autoSpaceDN w:val="0"/>
              <w:spacing w:before="155"/>
              <w:ind w:left="87" w:right="55"/>
              <w:jc w:val="center"/>
              <w:rPr>
                <w:rFonts w:cs="宋体"/>
                <w:color w:val="auto"/>
                <w:sz w:val="21"/>
                <w:szCs w:val="21"/>
                <w:highlight w:val="none"/>
              </w:rPr>
            </w:pPr>
          </w:p>
        </w:tc>
        <w:tc>
          <w:tcPr>
            <w:tcW w:w="709" w:type="dxa"/>
            <w:tcBorders>
              <w:top w:val="single" w:color="000000" w:sz="4" w:space="0"/>
              <w:left w:val="nil"/>
              <w:bottom w:val="single" w:color="000000" w:sz="4" w:space="0"/>
              <w:right w:val="single" w:color="000000" w:sz="4" w:space="0"/>
            </w:tcBorders>
            <w:vAlign w:val="center"/>
          </w:tcPr>
          <w:p>
            <w:pPr>
              <w:autoSpaceDE w:val="0"/>
              <w:autoSpaceDN w:val="0"/>
              <w:spacing w:before="1"/>
              <w:ind w:right="127"/>
              <w:jc w:val="center"/>
              <w:rPr>
                <w:rFonts w:cs="宋体"/>
                <w:color w:val="auto"/>
                <w:sz w:val="21"/>
                <w:szCs w:val="21"/>
                <w:highlight w:val="none"/>
              </w:rPr>
            </w:pPr>
          </w:p>
        </w:tc>
        <w:tc>
          <w:tcPr>
            <w:tcW w:w="2353" w:type="dxa"/>
            <w:tcBorders>
              <w:top w:val="single" w:color="000000" w:sz="4" w:space="0"/>
              <w:left w:val="nil"/>
              <w:bottom w:val="single" w:color="000000" w:sz="4" w:space="0"/>
              <w:right w:val="single" w:color="000000" w:sz="4" w:space="0"/>
            </w:tcBorders>
            <w:vAlign w:val="center"/>
          </w:tcPr>
          <w:p>
            <w:pPr>
              <w:autoSpaceDE w:val="0"/>
              <w:autoSpaceDN w:val="0"/>
              <w:adjustRightInd w:val="0"/>
              <w:ind w:firstLine="210" w:firstLineChars="100"/>
              <w:rPr>
                <w:rFonts w:cs="宋体"/>
                <w:color w:val="auto"/>
                <w:sz w:val="21"/>
                <w:szCs w:val="21"/>
                <w:highlight w:val="none"/>
              </w:rPr>
            </w:pPr>
            <w:r>
              <w:rPr>
                <w:rFonts w:hint="eastAsia" w:cs="宋体"/>
                <w:color w:val="auto"/>
                <w:sz w:val="21"/>
                <w:szCs w:val="21"/>
                <w:highlight w:val="none"/>
              </w:rPr>
              <w:t>评价等级</w:t>
            </w:r>
            <w:r>
              <w:rPr>
                <w:rFonts w:hint="eastAsia" w:cs="宋体"/>
                <w:color w:val="auto"/>
                <w:sz w:val="21"/>
                <w:szCs w:val="21"/>
                <w:highlight w:val="none"/>
                <w:u w:val="single"/>
              </w:rPr>
              <w:t xml:space="preserve">       </w:t>
            </w:r>
          </w:p>
          <w:p>
            <w:pPr>
              <w:autoSpaceDE w:val="0"/>
              <w:autoSpaceDN w:val="0"/>
              <w:spacing w:before="3"/>
              <w:ind w:firstLine="210" w:firstLineChars="100"/>
              <w:rPr>
                <w:rFonts w:cs="宋体"/>
                <w:color w:val="auto"/>
                <w:sz w:val="21"/>
                <w:szCs w:val="21"/>
                <w:highlight w:val="none"/>
              </w:rPr>
            </w:pPr>
            <w:r>
              <w:rPr>
                <w:rFonts w:hint="eastAsia" w:cs="宋体"/>
                <w:color w:val="auto"/>
                <w:sz w:val="21"/>
                <w:szCs w:val="21"/>
                <w:highlight w:val="none"/>
              </w:rPr>
              <w:t>综合得分</w:t>
            </w:r>
            <w:r>
              <w:rPr>
                <w:rFonts w:hint="eastAsia" w:cs="宋体"/>
                <w:color w:val="auto"/>
                <w:sz w:val="21"/>
                <w:szCs w:val="21"/>
                <w:highlight w:val="none"/>
                <w:u w:val="single"/>
              </w:rPr>
              <w:t xml:space="preserve">       </w:t>
            </w:r>
          </w:p>
        </w:tc>
        <w:tc>
          <w:tcPr>
            <w:tcW w:w="2940" w:type="dxa"/>
            <w:tcBorders>
              <w:top w:val="single" w:color="000000" w:sz="4" w:space="0"/>
              <w:left w:val="nil"/>
              <w:bottom w:val="single" w:color="000000" w:sz="4" w:space="0"/>
              <w:right w:val="single" w:color="000000" w:sz="4" w:space="0"/>
            </w:tcBorders>
            <w:vAlign w:val="center"/>
          </w:tcPr>
          <w:p>
            <w:pPr>
              <w:autoSpaceDE w:val="0"/>
              <w:autoSpaceDN w:val="0"/>
              <w:spacing w:before="3"/>
              <w:jc w:val="center"/>
              <w:rPr>
                <w:rFonts w:cs="宋体"/>
                <w:color w:val="auto"/>
                <w:sz w:val="21"/>
                <w:szCs w:val="21"/>
                <w:highlight w:val="none"/>
              </w:rPr>
            </w:pPr>
          </w:p>
        </w:tc>
        <w:tc>
          <w:tcPr>
            <w:tcW w:w="642" w:type="dxa"/>
            <w:tcBorders>
              <w:top w:val="single" w:color="000000" w:sz="4" w:space="0"/>
              <w:left w:val="nil"/>
              <w:bottom w:val="single" w:color="000000" w:sz="4" w:space="0"/>
              <w:right w:val="single" w:color="000000" w:sz="4" w:space="0"/>
            </w:tcBorders>
            <w:vAlign w:val="center"/>
          </w:tcPr>
          <w:p>
            <w:pPr>
              <w:autoSpaceDE w:val="0"/>
              <w:autoSpaceDN w:val="0"/>
              <w:adjustRightInd w:val="0"/>
              <w:jc w:val="center"/>
              <w:rPr>
                <w:rFonts w:cs="宋体"/>
                <w:color w:val="auto"/>
                <w:sz w:val="21"/>
                <w:szCs w:val="21"/>
                <w:highlight w:val="none"/>
              </w:rPr>
            </w:pPr>
          </w:p>
        </w:tc>
        <w:tc>
          <w:tcPr>
            <w:tcW w:w="528" w:type="dxa"/>
            <w:tcBorders>
              <w:top w:val="single" w:color="000000" w:sz="4" w:space="0"/>
              <w:left w:val="nil"/>
              <w:bottom w:val="single" w:color="000000" w:sz="4" w:space="0"/>
              <w:right w:val="single" w:color="000000" w:sz="4" w:space="0"/>
            </w:tcBorders>
            <w:vAlign w:val="center"/>
          </w:tcPr>
          <w:p>
            <w:pPr>
              <w:autoSpaceDE w:val="0"/>
              <w:autoSpaceDN w:val="0"/>
              <w:adjustRightInd w:val="0"/>
              <w:jc w:val="center"/>
              <w:rPr>
                <w:rFonts w:cs="宋体"/>
                <w:color w:val="auto"/>
                <w:sz w:val="21"/>
                <w:szCs w:val="21"/>
                <w:highlight w:val="none"/>
              </w:rPr>
            </w:pPr>
          </w:p>
        </w:tc>
      </w:tr>
      <w:tr>
        <w:tblPrEx>
          <w:tblCellMar>
            <w:top w:w="0" w:type="dxa"/>
            <w:left w:w="108" w:type="dxa"/>
            <w:bottom w:w="0" w:type="dxa"/>
            <w:right w:w="108" w:type="dxa"/>
          </w:tblCellMar>
        </w:tblPrEx>
        <w:trPr>
          <w:trHeight w:val="497" w:hRule="atLeast"/>
        </w:trPr>
        <w:tc>
          <w:tcPr>
            <w:tcW w:w="850" w:type="dxa"/>
            <w:tcBorders>
              <w:top w:val="single" w:color="000000" w:sz="4" w:space="0"/>
              <w:left w:val="single" w:color="000000" w:sz="4" w:space="0"/>
              <w:bottom w:val="single" w:color="000000" w:sz="4" w:space="0"/>
              <w:right w:val="single" w:color="000000" w:sz="4" w:space="0"/>
            </w:tcBorders>
            <w:vAlign w:val="center"/>
          </w:tcPr>
          <w:p>
            <w:pPr>
              <w:autoSpaceDE w:val="0"/>
              <w:autoSpaceDN w:val="0"/>
              <w:spacing w:before="3"/>
              <w:jc w:val="center"/>
              <w:rPr>
                <w:rFonts w:cs="宋体"/>
                <w:color w:val="auto"/>
                <w:sz w:val="21"/>
                <w:szCs w:val="21"/>
                <w:highlight w:val="none"/>
              </w:rPr>
            </w:pPr>
            <w:r>
              <w:rPr>
                <w:rFonts w:hint="eastAsia" w:cs="宋体"/>
                <w:color w:val="auto"/>
                <w:sz w:val="21"/>
                <w:szCs w:val="21"/>
                <w:highlight w:val="none"/>
              </w:rPr>
              <w:t>4</w:t>
            </w:r>
          </w:p>
        </w:tc>
        <w:tc>
          <w:tcPr>
            <w:tcW w:w="854" w:type="dxa"/>
            <w:tcBorders>
              <w:top w:val="single" w:color="000000" w:sz="4" w:space="0"/>
              <w:left w:val="nil"/>
              <w:bottom w:val="single" w:color="000000" w:sz="4" w:space="0"/>
              <w:right w:val="single" w:color="auto" w:sz="4" w:space="0"/>
            </w:tcBorders>
            <w:vAlign w:val="center"/>
          </w:tcPr>
          <w:p>
            <w:pPr>
              <w:autoSpaceDE w:val="0"/>
              <w:autoSpaceDN w:val="0"/>
              <w:spacing w:before="1"/>
              <w:ind w:left="66" w:right="223"/>
              <w:jc w:val="center"/>
              <w:rPr>
                <w:rFonts w:cs="宋体"/>
                <w:color w:val="auto"/>
                <w:sz w:val="21"/>
                <w:szCs w:val="21"/>
                <w:highlight w:val="none"/>
              </w:rPr>
            </w:pPr>
          </w:p>
        </w:tc>
        <w:tc>
          <w:tcPr>
            <w:tcW w:w="1206" w:type="dxa"/>
            <w:tcBorders>
              <w:top w:val="single" w:color="000000" w:sz="4" w:space="0"/>
              <w:left w:val="nil"/>
              <w:bottom w:val="single" w:color="000000" w:sz="4" w:space="0"/>
              <w:right w:val="single" w:color="000000" w:sz="4" w:space="0"/>
            </w:tcBorders>
            <w:vAlign w:val="center"/>
          </w:tcPr>
          <w:p>
            <w:pPr>
              <w:autoSpaceDE w:val="0"/>
              <w:autoSpaceDN w:val="0"/>
              <w:spacing w:before="1"/>
              <w:ind w:left="66" w:right="223"/>
              <w:jc w:val="center"/>
              <w:rPr>
                <w:rFonts w:cs="宋体"/>
                <w:color w:val="auto"/>
                <w:sz w:val="21"/>
                <w:szCs w:val="21"/>
                <w:highlight w:val="none"/>
              </w:rPr>
            </w:pPr>
          </w:p>
        </w:tc>
        <w:tc>
          <w:tcPr>
            <w:tcW w:w="1105" w:type="dxa"/>
            <w:tcBorders>
              <w:top w:val="single" w:color="000000" w:sz="4" w:space="0"/>
              <w:left w:val="nil"/>
              <w:bottom w:val="single" w:color="000000" w:sz="4" w:space="0"/>
              <w:right w:val="single" w:color="auto" w:sz="4" w:space="0"/>
            </w:tcBorders>
            <w:vAlign w:val="center"/>
          </w:tcPr>
          <w:p>
            <w:pPr>
              <w:wordWrap w:val="0"/>
              <w:autoSpaceDE w:val="0"/>
              <w:autoSpaceDN w:val="0"/>
              <w:ind w:right="36"/>
              <w:jc w:val="center"/>
              <w:rPr>
                <w:rFonts w:cs="宋体"/>
                <w:color w:val="auto"/>
                <w:sz w:val="21"/>
                <w:szCs w:val="21"/>
                <w:highlight w:val="none"/>
              </w:rPr>
            </w:pPr>
          </w:p>
        </w:tc>
        <w:tc>
          <w:tcPr>
            <w:tcW w:w="1287" w:type="dxa"/>
            <w:tcBorders>
              <w:top w:val="single" w:color="000000" w:sz="4" w:space="0"/>
              <w:left w:val="nil"/>
              <w:bottom w:val="single" w:color="000000" w:sz="4" w:space="0"/>
              <w:right w:val="single" w:color="000000" w:sz="4" w:space="0"/>
            </w:tcBorders>
            <w:vAlign w:val="center"/>
          </w:tcPr>
          <w:p>
            <w:pPr>
              <w:wordWrap w:val="0"/>
              <w:autoSpaceDE w:val="0"/>
              <w:autoSpaceDN w:val="0"/>
              <w:ind w:right="36"/>
              <w:jc w:val="center"/>
              <w:rPr>
                <w:rFonts w:cs="宋体"/>
                <w:color w:val="auto"/>
                <w:sz w:val="21"/>
                <w:szCs w:val="21"/>
                <w:highlight w:val="none"/>
              </w:rPr>
            </w:pPr>
          </w:p>
        </w:tc>
        <w:tc>
          <w:tcPr>
            <w:tcW w:w="852" w:type="dxa"/>
            <w:tcBorders>
              <w:top w:val="single" w:color="000000" w:sz="4" w:space="0"/>
              <w:left w:val="nil"/>
              <w:bottom w:val="single" w:color="000000" w:sz="4" w:space="0"/>
              <w:right w:val="single" w:color="000000" w:sz="4" w:space="0"/>
            </w:tcBorders>
            <w:vAlign w:val="center"/>
          </w:tcPr>
          <w:p>
            <w:pPr>
              <w:autoSpaceDE w:val="0"/>
              <w:autoSpaceDN w:val="0"/>
              <w:spacing w:line="362" w:lineRule="exact"/>
              <w:ind w:left="187" w:right="18"/>
              <w:jc w:val="center"/>
              <w:rPr>
                <w:rFonts w:cs="宋体"/>
                <w:color w:val="auto"/>
                <w:sz w:val="21"/>
                <w:szCs w:val="21"/>
                <w:highlight w:val="none"/>
              </w:rPr>
            </w:pPr>
          </w:p>
        </w:tc>
        <w:tc>
          <w:tcPr>
            <w:tcW w:w="1078" w:type="dxa"/>
            <w:tcBorders>
              <w:top w:val="single" w:color="000000" w:sz="4" w:space="0"/>
              <w:left w:val="nil"/>
              <w:bottom w:val="single" w:color="000000" w:sz="4" w:space="0"/>
              <w:right w:val="single" w:color="000000" w:sz="4" w:space="0"/>
            </w:tcBorders>
            <w:vAlign w:val="center"/>
          </w:tcPr>
          <w:p>
            <w:pPr>
              <w:autoSpaceDE w:val="0"/>
              <w:autoSpaceDN w:val="0"/>
              <w:ind w:left="87" w:right="55"/>
              <w:jc w:val="center"/>
              <w:rPr>
                <w:rFonts w:cs="宋体"/>
                <w:color w:val="auto"/>
                <w:sz w:val="21"/>
                <w:szCs w:val="21"/>
                <w:highlight w:val="none"/>
              </w:rPr>
            </w:pPr>
          </w:p>
        </w:tc>
        <w:tc>
          <w:tcPr>
            <w:tcW w:w="765" w:type="dxa"/>
            <w:tcBorders>
              <w:top w:val="single" w:color="000000" w:sz="4" w:space="0"/>
              <w:left w:val="nil"/>
              <w:bottom w:val="single" w:color="000000" w:sz="4" w:space="0"/>
              <w:right w:val="single" w:color="000000" w:sz="4" w:space="0"/>
            </w:tcBorders>
            <w:vAlign w:val="center"/>
          </w:tcPr>
          <w:p>
            <w:pPr>
              <w:autoSpaceDE w:val="0"/>
              <w:autoSpaceDN w:val="0"/>
              <w:spacing w:before="155"/>
              <w:ind w:left="87" w:right="55"/>
              <w:jc w:val="center"/>
              <w:rPr>
                <w:rFonts w:cs="宋体"/>
                <w:color w:val="auto"/>
                <w:sz w:val="21"/>
                <w:szCs w:val="21"/>
                <w:highlight w:val="none"/>
              </w:rPr>
            </w:pPr>
          </w:p>
        </w:tc>
        <w:tc>
          <w:tcPr>
            <w:tcW w:w="709" w:type="dxa"/>
            <w:tcBorders>
              <w:top w:val="single" w:color="000000" w:sz="4" w:space="0"/>
              <w:left w:val="nil"/>
              <w:bottom w:val="single" w:color="000000" w:sz="4" w:space="0"/>
              <w:right w:val="single" w:color="000000" w:sz="4" w:space="0"/>
            </w:tcBorders>
            <w:vAlign w:val="center"/>
          </w:tcPr>
          <w:p>
            <w:pPr>
              <w:autoSpaceDE w:val="0"/>
              <w:autoSpaceDN w:val="0"/>
              <w:spacing w:before="1"/>
              <w:ind w:right="127"/>
              <w:jc w:val="center"/>
              <w:rPr>
                <w:rFonts w:cs="宋体"/>
                <w:color w:val="auto"/>
                <w:sz w:val="21"/>
                <w:szCs w:val="21"/>
                <w:highlight w:val="none"/>
              </w:rPr>
            </w:pPr>
          </w:p>
        </w:tc>
        <w:tc>
          <w:tcPr>
            <w:tcW w:w="2353" w:type="dxa"/>
            <w:tcBorders>
              <w:top w:val="single" w:color="000000" w:sz="4" w:space="0"/>
              <w:left w:val="nil"/>
              <w:bottom w:val="single" w:color="000000" w:sz="4" w:space="0"/>
              <w:right w:val="single" w:color="000000" w:sz="4" w:space="0"/>
            </w:tcBorders>
            <w:vAlign w:val="center"/>
          </w:tcPr>
          <w:p>
            <w:pPr>
              <w:autoSpaceDE w:val="0"/>
              <w:autoSpaceDN w:val="0"/>
              <w:adjustRightInd w:val="0"/>
              <w:ind w:firstLine="210" w:firstLineChars="100"/>
              <w:rPr>
                <w:rFonts w:cs="宋体"/>
                <w:color w:val="auto"/>
                <w:sz w:val="21"/>
                <w:szCs w:val="21"/>
                <w:highlight w:val="none"/>
              </w:rPr>
            </w:pPr>
            <w:r>
              <w:rPr>
                <w:rFonts w:hint="eastAsia" w:cs="宋体"/>
                <w:color w:val="auto"/>
                <w:sz w:val="21"/>
                <w:szCs w:val="21"/>
                <w:highlight w:val="none"/>
              </w:rPr>
              <w:t>评价等级</w:t>
            </w:r>
            <w:r>
              <w:rPr>
                <w:rFonts w:hint="eastAsia" w:cs="宋体"/>
                <w:color w:val="auto"/>
                <w:sz w:val="21"/>
                <w:szCs w:val="21"/>
                <w:highlight w:val="none"/>
                <w:u w:val="single"/>
              </w:rPr>
              <w:t xml:space="preserve">       </w:t>
            </w:r>
          </w:p>
          <w:p>
            <w:pPr>
              <w:autoSpaceDE w:val="0"/>
              <w:autoSpaceDN w:val="0"/>
              <w:spacing w:before="3"/>
              <w:ind w:firstLine="210" w:firstLineChars="100"/>
              <w:rPr>
                <w:rFonts w:cs="宋体"/>
                <w:color w:val="auto"/>
                <w:sz w:val="21"/>
                <w:szCs w:val="21"/>
                <w:highlight w:val="none"/>
              </w:rPr>
            </w:pPr>
            <w:r>
              <w:rPr>
                <w:rFonts w:hint="eastAsia" w:cs="宋体"/>
                <w:color w:val="auto"/>
                <w:sz w:val="21"/>
                <w:szCs w:val="21"/>
                <w:highlight w:val="none"/>
              </w:rPr>
              <w:t>综合得分</w:t>
            </w:r>
            <w:r>
              <w:rPr>
                <w:rFonts w:hint="eastAsia" w:cs="宋体"/>
                <w:color w:val="auto"/>
                <w:sz w:val="21"/>
                <w:szCs w:val="21"/>
                <w:highlight w:val="none"/>
                <w:u w:val="single"/>
              </w:rPr>
              <w:t xml:space="preserve">       </w:t>
            </w:r>
          </w:p>
        </w:tc>
        <w:tc>
          <w:tcPr>
            <w:tcW w:w="2940" w:type="dxa"/>
            <w:tcBorders>
              <w:top w:val="single" w:color="000000" w:sz="4" w:space="0"/>
              <w:left w:val="nil"/>
              <w:bottom w:val="single" w:color="000000" w:sz="4" w:space="0"/>
              <w:right w:val="single" w:color="000000" w:sz="4" w:space="0"/>
            </w:tcBorders>
            <w:vAlign w:val="center"/>
          </w:tcPr>
          <w:p>
            <w:pPr>
              <w:autoSpaceDE w:val="0"/>
              <w:autoSpaceDN w:val="0"/>
              <w:spacing w:before="3"/>
              <w:jc w:val="center"/>
              <w:rPr>
                <w:rFonts w:cs="宋体"/>
                <w:color w:val="auto"/>
                <w:sz w:val="21"/>
                <w:szCs w:val="21"/>
                <w:highlight w:val="none"/>
              </w:rPr>
            </w:pPr>
          </w:p>
        </w:tc>
        <w:tc>
          <w:tcPr>
            <w:tcW w:w="642" w:type="dxa"/>
            <w:tcBorders>
              <w:top w:val="single" w:color="000000" w:sz="4" w:space="0"/>
              <w:left w:val="nil"/>
              <w:bottom w:val="single" w:color="000000" w:sz="4" w:space="0"/>
              <w:right w:val="single" w:color="000000" w:sz="4" w:space="0"/>
            </w:tcBorders>
            <w:vAlign w:val="center"/>
          </w:tcPr>
          <w:p>
            <w:pPr>
              <w:autoSpaceDE w:val="0"/>
              <w:autoSpaceDN w:val="0"/>
              <w:adjustRightInd w:val="0"/>
              <w:jc w:val="center"/>
              <w:rPr>
                <w:rFonts w:cs="宋体"/>
                <w:color w:val="auto"/>
                <w:sz w:val="21"/>
                <w:szCs w:val="21"/>
                <w:highlight w:val="none"/>
              </w:rPr>
            </w:pPr>
          </w:p>
        </w:tc>
        <w:tc>
          <w:tcPr>
            <w:tcW w:w="528" w:type="dxa"/>
            <w:tcBorders>
              <w:top w:val="single" w:color="000000" w:sz="4" w:space="0"/>
              <w:left w:val="nil"/>
              <w:bottom w:val="single" w:color="000000" w:sz="4" w:space="0"/>
              <w:right w:val="single" w:color="000000" w:sz="4" w:space="0"/>
            </w:tcBorders>
            <w:vAlign w:val="center"/>
          </w:tcPr>
          <w:p>
            <w:pPr>
              <w:autoSpaceDE w:val="0"/>
              <w:autoSpaceDN w:val="0"/>
              <w:adjustRightInd w:val="0"/>
              <w:jc w:val="center"/>
              <w:rPr>
                <w:rFonts w:cs="宋体"/>
                <w:color w:val="auto"/>
                <w:sz w:val="21"/>
                <w:szCs w:val="21"/>
                <w:highlight w:val="none"/>
              </w:rPr>
            </w:pPr>
          </w:p>
        </w:tc>
      </w:tr>
      <w:tr>
        <w:tblPrEx>
          <w:tblCellMar>
            <w:top w:w="0" w:type="dxa"/>
            <w:left w:w="108" w:type="dxa"/>
            <w:bottom w:w="0" w:type="dxa"/>
            <w:right w:w="108" w:type="dxa"/>
          </w:tblCellMar>
        </w:tblPrEx>
        <w:trPr>
          <w:trHeight w:val="497" w:hRule="atLeast"/>
        </w:trPr>
        <w:tc>
          <w:tcPr>
            <w:tcW w:w="850" w:type="dxa"/>
            <w:tcBorders>
              <w:top w:val="single" w:color="000000" w:sz="4" w:space="0"/>
              <w:left w:val="single" w:color="000000" w:sz="4" w:space="0"/>
              <w:bottom w:val="single" w:color="000000" w:sz="4" w:space="0"/>
              <w:right w:val="single" w:color="000000" w:sz="4" w:space="0"/>
            </w:tcBorders>
            <w:vAlign w:val="center"/>
          </w:tcPr>
          <w:p>
            <w:pPr>
              <w:autoSpaceDE w:val="0"/>
              <w:autoSpaceDN w:val="0"/>
              <w:spacing w:before="3"/>
              <w:jc w:val="center"/>
              <w:rPr>
                <w:rFonts w:cs="宋体"/>
                <w:color w:val="auto"/>
                <w:sz w:val="21"/>
                <w:szCs w:val="21"/>
                <w:highlight w:val="none"/>
              </w:rPr>
            </w:pPr>
            <w:r>
              <w:rPr>
                <w:rFonts w:hint="eastAsia" w:cs="宋体"/>
                <w:color w:val="auto"/>
                <w:sz w:val="21"/>
                <w:szCs w:val="21"/>
                <w:highlight w:val="none"/>
              </w:rPr>
              <w:t>……</w:t>
            </w:r>
          </w:p>
        </w:tc>
        <w:tc>
          <w:tcPr>
            <w:tcW w:w="854" w:type="dxa"/>
            <w:tcBorders>
              <w:top w:val="single" w:color="000000" w:sz="4" w:space="0"/>
              <w:left w:val="nil"/>
              <w:bottom w:val="single" w:color="000000" w:sz="4" w:space="0"/>
              <w:right w:val="single" w:color="auto" w:sz="4" w:space="0"/>
            </w:tcBorders>
            <w:vAlign w:val="center"/>
          </w:tcPr>
          <w:p>
            <w:pPr>
              <w:autoSpaceDE w:val="0"/>
              <w:autoSpaceDN w:val="0"/>
              <w:spacing w:before="1"/>
              <w:ind w:left="66" w:right="223"/>
              <w:jc w:val="center"/>
              <w:rPr>
                <w:rFonts w:cs="宋体"/>
                <w:color w:val="auto"/>
                <w:sz w:val="21"/>
                <w:szCs w:val="21"/>
                <w:highlight w:val="none"/>
              </w:rPr>
            </w:pPr>
          </w:p>
        </w:tc>
        <w:tc>
          <w:tcPr>
            <w:tcW w:w="1206" w:type="dxa"/>
            <w:tcBorders>
              <w:top w:val="single" w:color="000000" w:sz="4" w:space="0"/>
              <w:left w:val="nil"/>
              <w:bottom w:val="single" w:color="000000" w:sz="4" w:space="0"/>
              <w:right w:val="single" w:color="000000" w:sz="4" w:space="0"/>
            </w:tcBorders>
            <w:vAlign w:val="center"/>
          </w:tcPr>
          <w:p>
            <w:pPr>
              <w:autoSpaceDE w:val="0"/>
              <w:autoSpaceDN w:val="0"/>
              <w:spacing w:before="1"/>
              <w:ind w:left="66" w:right="223"/>
              <w:jc w:val="center"/>
              <w:rPr>
                <w:rFonts w:cs="宋体"/>
                <w:color w:val="auto"/>
                <w:sz w:val="21"/>
                <w:szCs w:val="21"/>
                <w:highlight w:val="none"/>
              </w:rPr>
            </w:pPr>
          </w:p>
        </w:tc>
        <w:tc>
          <w:tcPr>
            <w:tcW w:w="1105" w:type="dxa"/>
            <w:tcBorders>
              <w:top w:val="single" w:color="000000" w:sz="4" w:space="0"/>
              <w:left w:val="nil"/>
              <w:bottom w:val="single" w:color="000000" w:sz="4" w:space="0"/>
              <w:right w:val="single" w:color="auto" w:sz="4" w:space="0"/>
            </w:tcBorders>
            <w:vAlign w:val="center"/>
          </w:tcPr>
          <w:p>
            <w:pPr>
              <w:wordWrap w:val="0"/>
              <w:autoSpaceDE w:val="0"/>
              <w:autoSpaceDN w:val="0"/>
              <w:ind w:right="36"/>
              <w:jc w:val="center"/>
              <w:rPr>
                <w:rFonts w:cs="宋体"/>
                <w:color w:val="auto"/>
                <w:sz w:val="21"/>
                <w:szCs w:val="21"/>
                <w:highlight w:val="none"/>
              </w:rPr>
            </w:pPr>
          </w:p>
        </w:tc>
        <w:tc>
          <w:tcPr>
            <w:tcW w:w="1287" w:type="dxa"/>
            <w:tcBorders>
              <w:top w:val="single" w:color="000000" w:sz="4" w:space="0"/>
              <w:left w:val="nil"/>
              <w:bottom w:val="single" w:color="000000" w:sz="4" w:space="0"/>
              <w:right w:val="single" w:color="000000" w:sz="4" w:space="0"/>
            </w:tcBorders>
            <w:vAlign w:val="center"/>
          </w:tcPr>
          <w:p>
            <w:pPr>
              <w:wordWrap w:val="0"/>
              <w:autoSpaceDE w:val="0"/>
              <w:autoSpaceDN w:val="0"/>
              <w:ind w:right="36"/>
              <w:jc w:val="center"/>
              <w:rPr>
                <w:rFonts w:cs="宋体"/>
                <w:color w:val="auto"/>
                <w:sz w:val="21"/>
                <w:szCs w:val="21"/>
                <w:highlight w:val="none"/>
              </w:rPr>
            </w:pPr>
          </w:p>
        </w:tc>
        <w:tc>
          <w:tcPr>
            <w:tcW w:w="852" w:type="dxa"/>
            <w:tcBorders>
              <w:top w:val="single" w:color="000000" w:sz="4" w:space="0"/>
              <w:left w:val="nil"/>
              <w:bottom w:val="single" w:color="000000" w:sz="4" w:space="0"/>
              <w:right w:val="single" w:color="000000" w:sz="4" w:space="0"/>
            </w:tcBorders>
            <w:vAlign w:val="center"/>
          </w:tcPr>
          <w:p>
            <w:pPr>
              <w:autoSpaceDE w:val="0"/>
              <w:autoSpaceDN w:val="0"/>
              <w:spacing w:line="362" w:lineRule="exact"/>
              <w:ind w:left="187" w:right="18"/>
              <w:jc w:val="center"/>
              <w:rPr>
                <w:rFonts w:cs="宋体"/>
                <w:color w:val="auto"/>
                <w:sz w:val="21"/>
                <w:szCs w:val="21"/>
                <w:highlight w:val="none"/>
              </w:rPr>
            </w:pPr>
          </w:p>
        </w:tc>
        <w:tc>
          <w:tcPr>
            <w:tcW w:w="1078" w:type="dxa"/>
            <w:tcBorders>
              <w:top w:val="single" w:color="000000" w:sz="4" w:space="0"/>
              <w:left w:val="nil"/>
              <w:bottom w:val="single" w:color="000000" w:sz="4" w:space="0"/>
              <w:right w:val="single" w:color="000000" w:sz="4" w:space="0"/>
            </w:tcBorders>
            <w:vAlign w:val="center"/>
          </w:tcPr>
          <w:p>
            <w:pPr>
              <w:autoSpaceDE w:val="0"/>
              <w:autoSpaceDN w:val="0"/>
              <w:ind w:left="87" w:right="55"/>
              <w:jc w:val="center"/>
              <w:rPr>
                <w:rFonts w:cs="宋体"/>
                <w:color w:val="auto"/>
                <w:sz w:val="21"/>
                <w:szCs w:val="21"/>
                <w:highlight w:val="none"/>
              </w:rPr>
            </w:pPr>
          </w:p>
        </w:tc>
        <w:tc>
          <w:tcPr>
            <w:tcW w:w="765" w:type="dxa"/>
            <w:tcBorders>
              <w:top w:val="single" w:color="000000" w:sz="4" w:space="0"/>
              <w:left w:val="nil"/>
              <w:bottom w:val="single" w:color="000000" w:sz="4" w:space="0"/>
              <w:right w:val="single" w:color="000000" w:sz="4" w:space="0"/>
            </w:tcBorders>
            <w:vAlign w:val="center"/>
          </w:tcPr>
          <w:p>
            <w:pPr>
              <w:autoSpaceDE w:val="0"/>
              <w:autoSpaceDN w:val="0"/>
              <w:spacing w:before="155"/>
              <w:ind w:left="87" w:right="55"/>
              <w:jc w:val="center"/>
              <w:rPr>
                <w:rFonts w:cs="宋体"/>
                <w:color w:val="auto"/>
                <w:sz w:val="21"/>
                <w:szCs w:val="21"/>
                <w:highlight w:val="none"/>
              </w:rPr>
            </w:pPr>
          </w:p>
        </w:tc>
        <w:tc>
          <w:tcPr>
            <w:tcW w:w="709" w:type="dxa"/>
            <w:tcBorders>
              <w:top w:val="single" w:color="000000" w:sz="4" w:space="0"/>
              <w:left w:val="nil"/>
              <w:bottom w:val="single" w:color="000000" w:sz="4" w:space="0"/>
              <w:right w:val="single" w:color="000000" w:sz="4" w:space="0"/>
            </w:tcBorders>
            <w:vAlign w:val="center"/>
          </w:tcPr>
          <w:p>
            <w:pPr>
              <w:autoSpaceDE w:val="0"/>
              <w:autoSpaceDN w:val="0"/>
              <w:spacing w:before="1"/>
              <w:ind w:right="127"/>
              <w:jc w:val="center"/>
              <w:rPr>
                <w:rFonts w:cs="宋体"/>
                <w:color w:val="auto"/>
                <w:sz w:val="21"/>
                <w:szCs w:val="21"/>
                <w:highlight w:val="none"/>
              </w:rPr>
            </w:pPr>
          </w:p>
        </w:tc>
        <w:tc>
          <w:tcPr>
            <w:tcW w:w="2353" w:type="dxa"/>
            <w:tcBorders>
              <w:top w:val="single" w:color="000000" w:sz="4" w:space="0"/>
              <w:left w:val="nil"/>
              <w:bottom w:val="single" w:color="000000" w:sz="4" w:space="0"/>
              <w:right w:val="single" w:color="000000" w:sz="4" w:space="0"/>
            </w:tcBorders>
            <w:vAlign w:val="center"/>
          </w:tcPr>
          <w:p>
            <w:pPr>
              <w:autoSpaceDE w:val="0"/>
              <w:autoSpaceDN w:val="0"/>
              <w:spacing w:before="3"/>
              <w:jc w:val="center"/>
              <w:rPr>
                <w:rFonts w:cs="宋体"/>
                <w:color w:val="auto"/>
                <w:sz w:val="21"/>
                <w:szCs w:val="21"/>
                <w:highlight w:val="none"/>
              </w:rPr>
            </w:pPr>
          </w:p>
        </w:tc>
        <w:tc>
          <w:tcPr>
            <w:tcW w:w="2940" w:type="dxa"/>
            <w:tcBorders>
              <w:top w:val="single" w:color="000000" w:sz="4" w:space="0"/>
              <w:left w:val="nil"/>
              <w:bottom w:val="single" w:color="000000" w:sz="4" w:space="0"/>
              <w:right w:val="single" w:color="000000" w:sz="4" w:space="0"/>
            </w:tcBorders>
            <w:vAlign w:val="center"/>
          </w:tcPr>
          <w:p>
            <w:pPr>
              <w:autoSpaceDE w:val="0"/>
              <w:autoSpaceDN w:val="0"/>
              <w:spacing w:before="3"/>
              <w:jc w:val="center"/>
              <w:rPr>
                <w:rFonts w:cs="宋体"/>
                <w:color w:val="auto"/>
                <w:sz w:val="21"/>
                <w:szCs w:val="21"/>
                <w:highlight w:val="none"/>
              </w:rPr>
            </w:pPr>
          </w:p>
        </w:tc>
        <w:tc>
          <w:tcPr>
            <w:tcW w:w="642" w:type="dxa"/>
            <w:tcBorders>
              <w:top w:val="single" w:color="000000" w:sz="4" w:space="0"/>
              <w:left w:val="nil"/>
              <w:bottom w:val="single" w:color="000000" w:sz="4" w:space="0"/>
              <w:right w:val="single" w:color="000000" w:sz="4" w:space="0"/>
            </w:tcBorders>
            <w:vAlign w:val="center"/>
          </w:tcPr>
          <w:p>
            <w:pPr>
              <w:autoSpaceDE w:val="0"/>
              <w:autoSpaceDN w:val="0"/>
              <w:adjustRightInd w:val="0"/>
              <w:jc w:val="center"/>
              <w:rPr>
                <w:rFonts w:cs="宋体"/>
                <w:color w:val="auto"/>
                <w:sz w:val="21"/>
                <w:szCs w:val="21"/>
                <w:highlight w:val="none"/>
              </w:rPr>
            </w:pPr>
          </w:p>
        </w:tc>
        <w:tc>
          <w:tcPr>
            <w:tcW w:w="528" w:type="dxa"/>
            <w:tcBorders>
              <w:top w:val="single" w:color="000000" w:sz="4" w:space="0"/>
              <w:left w:val="nil"/>
              <w:bottom w:val="single" w:color="000000" w:sz="4" w:space="0"/>
              <w:right w:val="single" w:color="000000" w:sz="4" w:space="0"/>
            </w:tcBorders>
            <w:vAlign w:val="center"/>
          </w:tcPr>
          <w:p>
            <w:pPr>
              <w:autoSpaceDE w:val="0"/>
              <w:autoSpaceDN w:val="0"/>
              <w:adjustRightInd w:val="0"/>
              <w:jc w:val="center"/>
              <w:rPr>
                <w:rFonts w:cs="宋体"/>
                <w:color w:val="auto"/>
                <w:sz w:val="21"/>
                <w:szCs w:val="21"/>
                <w:highlight w:val="none"/>
              </w:rPr>
            </w:pPr>
          </w:p>
        </w:tc>
      </w:tr>
      <w:tr>
        <w:tblPrEx>
          <w:tblCellMar>
            <w:top w:w="0" w:type="dxa"/>
            <w:left w:w="108" w:type="dxa"/>
            <w:bottom w:w="0" w:type="dxa"/>
            <w:right w:w="108" w:type="dxa"/>
          </w:tblCellMar>
        </w:tblPrEx>
        <w:trPr>
          <w:trHeight w:val="1659" w:hRule="atLeast"/>
        </w:trPr>
        <w:tc>
          <w:tcPr>
            <w:tcW w:w="850" w:type="dxa"/>
            <w:tcBorders>
              <w:top w:val="single" w:color="000000" w:sz="4" w:space="0"/>
              <w:left w:val="single" w:color="000000" w:sz="4" w:space="0"/>
              <w:bottom w:val="single" w:color="000000" w:sz="4" w:space="0"/>
              <w:right w:val="single" w:color="000000" w:sz="4" w:space="0"/>
            </w:tcBorders>
            <w:vAlign w:val="center"/>
          </w:tcPr>
          <w:p>
            <w:pPr>
              <w:autoSpaceDE w:val="0"/>
              <w:autoSpaceDN w:val="0"/>
              <w:spacing w:before="3"/>
              <w:jc w:val="center"/>
              <w:rPr>
                <w:rFonts w:cs="宋体"/>
                <w:color w:val="auto"/>
                <w:sz w:val="21"/>
                <w:szCs w:val="21"/>
                <w:highlight w:val="none"/>
              </w:rPr>
            </w:pPr>
            <w:r>
              <w:rPr>
                <w:rFonts w:hint="eastAsia" w:cs="宋体"/>
                <w:color w:val="auto"/>
                <w:sz w:val="21"/>
                <w:szCs w:val="21"/>
                <w:highlight w:val="none"/>
              </w:rPr>
              <w:t>最高投标报价限价（元）</w:t>
            </w:r>
          </w:p>
        </w:tc>
        <w:tc>
          <w:tcPr>
            <w:tcW w:w="4452" w:type="dxa"/>
            <w:gridSpan w:val="4"/>
            <w:tcBorders>
              <w:top w:val="single" w:color="000000" w:sz="4" w:space="0"/>
              <w:left w:val="nil"/>
              <w:bottom w:val="single" w:color="000000" w:sz="4" w:space="0"/>
              <w:right w:val="single" w:color="000000" w:sz="4" w:space="0"/>
            </w:tcBorders>
            <w:vAlign w:val="center"/>
          </w:tcPr>
          <w:p>
            <w:pPr>
              <w:autoSpaceDE w:val="0"/>
              <w:autoSpaceDN w:val="0"/>
              <w:spacing w:line="362" w:lineRule="exact"/>
              <w:ind w:left="187" w:right="18"/>
              <w:jc w:val="center"/>
              <w:rPr>
                <w:rFonts w:cs="宋体"/>
                <w:color w:val="auto"/>
                <w:sz w:val="21"/>
                <w:szCs w:val="21"/>
                <w:highlight w:val="none"/>
              </w:rPr>
            </w:pPr>
          </w:p>
        </w:tc>
        <w:tc>
          <w:tcPr>
            <w:tcW w:w="9867" w:type="dxa"/>
            <w:gridSpan w:val="8"/>
            <w:tcBorders>
              <w:top w:val="single" w:color="000000" w:sz="4" w:space="0"/>
              <w:left w:val="nil"/>
              <w:bottom w:val="single" w:color="000000" w:sz="4" w:space="0"/>
              <w:right w:val="single" w:color="000000" w:sz="4" w:space="0"/>
            </w:tcBorders>
            <w:vAlign w:val="center"/>
          </w:tcPr>
          <w:p>
            <w:pPr>
              <w:autoSpaceDE w:val="0"/>
              <w:autoSpaceDN w:val="0"/>
              <w:adjustRightInd w:val="0"/>
              <w:spacing w:line="240" w:lineRule="exact"/>
              <w:rPr>
                <w:rFonts w:cs="宋体"/>
                <w:color w:val="auto"/>
                <w:sz w:val="21"/>
                <w:szCs w:val="21"/>
                <w:highlight w:val="none"/>
              </w:rPr>
            </w:pPr>
          </w:p>
        </w:tc>
      </w:tr>
    </w:tbl>
    <w:p>
      <w:pPr>
        <w:wordWrap w:val="0"/>
        <w:adjustRightInd w:val="0"/>
        <w:snapToGrid w:val="0"/>
        <w:spacing w:line="360" w:lineRule="auto"/>
        <w:ind w:right="480"/>
        <w:textAlignment w:val="baseline"/>
        <w:rPr>
          <w:rFonts w:hAnsi="Times New Roman" w:cs="宋体"/>
          <w:color w:val="auto"/>
          <w:sz w:val="21"/>
          <w:szCs w:val="21"/>
          <w:highlight w:val="none"/>
        </w:rPr>
      </w:pPr>
    </w:p>
    <w:p>
      <w:pPr>
        <w:wordWrap w:val="0"/>
        <w:adjustRightInd w:val="0"/>
        <w:snapToGrid w:val="0"/>
        <w:spacing w:line="360" w:lineRule="auto"/>
        <w:ind w:right="480"/>
        <w:textAlignment w:val="baseline"/>
        <w:rPr>
          <w:rFonts w:cs="宋体"/>
          <w:color w:val="auto"/>
          <w:kern w:val="2"/>
          <w:sz w:val="24"/>
          <w:szCs w:val="24"/>
          <w:highlight w:val="none"/>
        </w:rPr>
      </w:pPr>
      <w:r>
        <w:rPr>
          <w:rFonts w:hint="eastAsia" w:hAnsi="Times New Roman" w:cs="宋体"/>
          <w:color w:val="auto"/>
          <w:sz w:val="21"/>
          <w:szCs w:val="21"/>
          <w:highlight w:val="none"/>
        </w:rPr>
        <w:t xml:space="preserve">招标人电子盖章（或签字）：               </w:t>
      </w:r>
      <w:r>
        <w:rPr>
          <w:rFonts w:hAnsi="Times New Roman" w:cs="宋体"/>
          <w:color w:val="auto"/>
          <w:sz w:val="21"/>
          <w:szCs w:val="21"/>
          <w:highlight w:val="none"/>
        </w:rPr>
        <w:t xml:space="preserve"> </w:t>
      </w:r>
      <w:r>
        <w:rPr>
          <w:rFonts w:hint="eastAsia" w:hAnsi="Times New Roman" w:cs="宋体"/>
          <w:color w:val="auto"/>
          <w:sz w:val="21"/>
          <w:szCs w:val="21"/>
          <w:highlight w:val="none"/>
        </w:rPr>
        <w:t>招标代理机构电子盖章（或签字）：</w:t>
      </w:r>
      <w:r>
        <w:rPr>
          <w:rFonts w:hAnsi="Times New Roman" w:cs="宋体"/>
          <w:color w:val="auto"/>
          <w:sz w:val="21"/>
          <w:szCs w:val="21"/>
          <w:highlight w:val="none"/>
        </w:rPr>
        <w:t xml:space="preserve"> </w:t>
      </w:r>
      <w:r>
        <w:rPr>
          <w:rFonts w:hint="eastAsia" w:hAnsi="Times New Roman" w:cs="宋体"/>
          <w:color w:val="auto"/>
          <w:sz w:val="21"/>
          <w:szCs w:val="21"/>
          <w:highlight w:val="none"/>
        </w:rPr>
        <w:t xml:space="preserve">                 公证处电子盖章（或签字）：</w:t>
      </w:r>
      <w:r>
        <w:rPr>
          <w:rFonts w:hint="eastAsia" w:cs="宋体"/>
          <w:color w:val="auto"/>
          <w:kern w:val="2"/>
          <w:sz w:val="24"/>
          <w:szCs w:val="24"/>
          <w:highlight w:val="none"/>
        </w:rPr>
        <w:t xml:space="preserve"> </w:t>
      </w:r>
    </w:p>
    <w:p>
      <w:pPr>
        <w:adjustRightInd w:val="0"/>
        <w:snapToGrid w:val="0"/>
        <w:spacing w:beforeLines="100" w:line="360" w:lineRule="auto"/>
        <w:ind w:firstLine="1600" w:firstLineChars="500"/>
        <w:jc w:val="left"/>
        <w:textAlignment w:val="baseline"/>
        <w:rPr>
          <w:rFonts w:ascii="黑体" w:eastAsia="黑体" w:cs="宋体"/>
          <w:color w:val="auto"/>
          <w:kern w:val="2"/>
          <w:sz w:val="32"/>
          <w:szCs w:val="32"/>
          <w:highlight w:val="none"/>
        </w:rPr>
      </w:pPr>
      <w:r>
        <w:rPr>
          <w:rFonts w:hint="eastAsia" w:ascii="黑体" w:eastAsia="黑体" w:cs="宋体"/>
          <w:color w:val="auto"/>
          <w:kern w:val="2"/>
          <w:sz w:val="32"/>
          <w:szCs w:val="32"/>
          <w:highlight w:val="none"/>
          <w:u w:val="single"/>
        </w:rPr>
        <w:t xml:space="preserve">                    </w:t>
      </w:r>
      <w:r>
        <w:rPr>
          <w:rFonts w:hint="eastAsia" w:ascii="黑体" w:eastAsia="黑体" w:cs="黑体"/>
          <w:color w:val="auto"/>
          <w:kern w:val="2"/>
          <w:sz w:val="32"/>
          <w:szCs w:val="32"/>
          <w:highlight w:val="none"/>
        </w:rPr>
        <w:t>（项目名称）</w:t>
      </w:r>
      <w:r>
        <w:rPr>
          <w:rFonts w:hint="eastAsia" w:ascii="黑体" w:eastAsia="黑体" w:cs="宋体"/>
          <w:color w:val="auto"/>
          <w:kern w:val="2"/>
          <w:sz w:val="32"/>
          <w:szCs w:val="32"/>
          <w:highlight w:val="none"/>
          <w:u w:val="single"/>
        </w:rPr>
        <w:t xml:space="preserve">    </w:t>
      </w:r>
      <w:r>
        <w:rPr>
          <w:rFonts w:hint="eastAsia" w:ascii="黑体" w:eastAsia="黑体" w:cs="黑体"/>
          <w:color w:val="auto"/>
          <w:kern w:val="2"/>
          <w:sz w:val="32"/>
          <w:szCs w:val="32"/>
          <w:highlight w:val="none"/>
        </w:rPr>
        <w:t>标段施工开标记录表</w:t>
      </w:r>
      <w:r>
        <w:rPr>
          <w:rFonts w:hint="eastAsia" w:ascii="黑体" w:eastAsia="黑体" w:cs="宋体"/>
          <w:color w:val="auto"/>
          <w:kern w:val="2"/>
          <w:sz w:val="32"/>
          <w:szCs w:val="32"/>
          <w:highlight w:val="none"/>
        </w:rPr>
        <w:t>(2)</w:t>
      </w:r>
    </w:p>
    <w:p>
      <w:pPr>
        <w:adjustRightInd w:val="0"/>
        <w:snapToGrid w:val="0"/>
        <w:spacing w:line="420" w:lineRule="atLeast"/>
        <w:ind w:firstLine="420"/>
        <w:jc w:val="right"/>
        <w:textAlignment w:val="baseline"/>
        <w:rPr>
          <w:rFonts w:cs="宋体"/>
          <w:color w:val="auto"/>
          <w:kern w:val="2"/>
          <w:sz w:val="24"/>
          <w:szCs w:val="24"/>
          <w:highlight w:val="none"/>
        </w:rPr>
      </w:pPr>
      <w:r>
        <w:rPr>
          <w:rFonts w:hint="eastAsia" w:cs="宋体"/>
          <w:color w:val="auto"/>
          <w:kern w:val="2"/>
          <w:sz w:val="24"/>
          <w:szCs w:val="24"/>
          <w:highlight w:val="none"/>
        </w:rPr>
        <w:t xml:space="preserve"> </w:t>
      </w:r>
    </w:p>
    <w:tbl>
      <w:tblPr>
        <w:tblStyle w:val="60"/>
        <w:tblW w:w="0" w:type="auto"/>
        <w:jc w:val="center"/>
        <w:tblLayout w:type="fixed"/>
        <w:tblCellMar>
          <w:top w:w="0" w:type="dxa"/>
          <w:left w:w="108" w:type="dxa"/>
          <w:bottom w:w="0" w:type="dxa"/>
          <w:right w:w="108" w:type="dxa"/>
        </w:tblCellMar>
      </w:tblPr>
      <w:tblGrid>
        <w:gridCol w:w="853"/>
        <w:gridCol w:w="3320"/>
        <w:gridCol w:w="679"/>
        <w:gridCol w:w="2796"/>
        <w:gridCol w:w="629"/>
        <w:gridCol w:w="601"/>
        <w:gridCol w:w="750"/>
        <w:gridCol w:w="731"/>
        <w:gridCol w:w="544"/>
        <w:gridCol w:w="1890"/>
        <w:gridCol w:w="465"/>
        <w:gridCol w:w="720"/>
        <w:gridCol w:w="780"/>
      </w:tblGrid>
      <w:tr>
        <w:tblPrEx>
          <w:tblCellMar>
            <w:top w:w="0" w:type="dxa"/>
            <w:left w:w="108" w:type="dxa"/>
            <w:bottom w:w="0" w:type="dxa"/>
            <w:right w:w="108" w:type="dxa"/>
          </w:tblCellMar>
        </w:tblPrEx>
        <w:trPr>
          <w:trHeight w:val="777" w:hRule="atLeast"/>
          <w:jc w:val="center"/>
        </w:trPr>
        <w:tc>
          <w:tcPr>
            <w:tcW w:w="853" w:type="dxa"/>
            <w:vMerge w:val="restart"/>
            <w:tcBorders>
              <w:top w:val="single" w:color="000000" w:sz="4" w:space="0"/>
              <w:left w:val="single" w:color="000000" w:sz="4" w:space="0"/>
              <w:right w:val="single" w:color="000000" w:sz="4" w:space="0"/>
            </w:tcBorders>
            <w:vAlign w:val="center"/>
          </w:tcPr>
          <w:p>
            <w:pPr>
              <w:autoSpaceDE w:val="0"/>
              <w:autoSpaceDN w:val="0"/>
              <w:adjustRightInd w:val="0"/>
              <w:spacing w:line="240" w:lineRule="exact"/>
              <w:jc w:val="center"/>
              <w:rPr>
                <w:rFonts w:cs="宋体"/>
                <w:color w:val="auto"/>
                <w:sz w:val="21"/>
                <w:szCs w:val="21"/>
                <w:highlight w:val="none"/>
              </w:rPr>
            </w:pPr>
            <w:r>
              <w:rPr>
                <w:rFonts w:hint="eastAsia" w:cs="宋体"/>
                <w:color w:val="auto"/>
                <w:sz w:val="21"/>
                <w:szCs w:val="21"/>
                <w:highlight w:val="none"/>
              </w:rPr>
              <w:t>投标顺序号</w:t>
            </w:r>
          </w:p>
        </w:tc>
        <w:tc>
          <w:tcPr>
            <w:tcW w:w="3320" w:type="dxa"/>
            <w:vMerge w:val="restart"/>
            <w:tcBorders>
              <w:top w:val="single" w:color="000000" w:sz="4" w:space="0"/>
              <w:left w:val="single" w:color="000000" w:sz="4" w:space="0"/>
              <w:bottom w:val="nil"/>
              <w:right w:val="single" w:color="000000" w:sz="4" w:space="0"/>
            </w:tcBorders>
            <w:vAlign w:val="center"/>
          </w:tcPr>
          <w:p>
            <w:pPr>
              <w:autoSpaceDE w:val="0"/>
              <w:autoSpaceDN w:val="0"/>
              <w:adjustRightInd w:val="0"/>
              <w:spacing w:line="240" w:lineRule="exact"/>
              <w:jc w:val="center"/>
              <w:rPr>
                <w:rFonts w:cs="宋体"/>
                <w:color w:val="auto"/>
                <w:sz w:val="21"/>
                <w:szCs w:val="21"/>
                <w:highlight w:val="none"/>
              </w:rPr>
            </w:pPr>
            <w:r>
              <w:rPr>
                <w:rFonts w:hint="eastAsia" w:cs="宋体"/>
                <w:color w:val="auto"/>
                <w:sz w:val="21"/>
                <w:szCs w:val="21"/>
                <w:highlight w:val="none"/>
              </w:rPr>
              <w:t>投标人名称</w:t>
            </w:r>
          </w:p>
        </w:tc>
        <w:tc>
          <w:tcPr>
            <w:tcW w:w="4104" w:type="dxa"/>
            <w:gridSpan w:val="3"/>
            <w:tcBorders>
              <w:top w:val="single" w:color="000000" w:sz="4" w:space="0"/>
              <w:left w:val="single" w:color="000000" w:sz="4" w:space="0"/>
              <w:bottom w:val="single" w:color="auto" w:sz="4" w:space="0"/>
              <w:right w:val="single" w:color="000000" w:sz="4" w:space="0"/>
            </w:tcBorders>
            <w:vAlign w:val="center"/>
          </w:tcPr>
          <w:p>
            <w:pPr>
              <w:adjustRightInd w:val="0"/>
              <w:spacing w:line="240" w:lineRule="exact"/>
              <w:jc w:val="center"/>
              <w:textAlignment w:val="baseline"/>
              <w:rPr>
                <w:rFonts w:cs="宋体"/>
                <w:color w:val="auto"/>
                <w:sz w:val="21"/>
                <w:szCs w:val="21"/>
                <w:highlight w:val="none"/>
              </w:rPr>
            </w:pPr>
            <w:r>
              <w:rPr>
                <w:rFonts w:hint="eastAsia" w:cs="宋体"/>
                <w:color w:val="auto"/>
                <w:sz w:val="21"/>
                <w:szCs w:val="21"/>
                <w:highlight w:val="none"/>
              </w:rPr>
              <w:t>上传、解密电子投标文件（开标现场上传、解密电子投标文件的除外）或编制电子投标文件的计算机硬件信息</w:t>
            </w:r>
          </w:p>
        </w:tc>
        <w:tc>
          <w:tcPr>
            <w:tcW w:w="5701" w:type="dxa"/>
            <w:gridSpan w:val="7"/>
            <w:tcBorders>
              <w:top w:val="single" w:color="000000" w:sz="4" w:space="0"/>
              <w:left w:val="single" w:color="000000" w:sz="4" w:space="0"/>
              <w:bottom w:val="single" w:color="auto" w:sz="4" w:space="0"/>
              <w:right w:val="single" w:color="000000" w:sz="4" w:space="0"/>
            </w:tcBorders>
            <w:vAlign w:val="center"/>
          </w:tcPr>
          <w:p>
            <w:pPr>
              <w:adjustRightInd w:val="0"/>
              <w:spacing w:line="240" w:lineRule="exact"/>
              <w:jc w:val="center"/>
              <w:textAlignment w:val="baseline"/>
              <w:rPr>
                <w:rFonts w:cs="宋体"/>
                <w:color w:val="auto"/>
                <w:sz w:val="21"/>
                <w:szCs w:val="21"/>
                <w:highlight w:val="none"/>
              </w:rPr>
            </w:pPr>
            <w:r>
              <w:rPr>
                <w:rFonts w:hint="eastAsia" w:cs="宋体"/>
                <w:color w:val="auto"/>
                <w:sz w:val="21"/>
                <w:szCs w:val="21"/>
                <w:highlight w:val="none"/>
              </w:rPr>
              <w:t>制作已标价工程清单XML电子文档的软硬件信息</w:t>
            </w:r>
          </w:p>
        </w:tc>
        <w:tc>
          <w:tcPr>
            <w:tcW w:w="780" w:type="dxa"/>
            <w:vMerge w:val="restart"/>
            <w:tcBorders>
              <w:top w:val="single" w:color="000000" w:sz="4" w:space="0"/>
              <w:left w:val="single" w:color="000000" w:sz="4" w:space="0"/>
              <w:bottom w:val="single" w:color="auto" w:sz="4" w:space="0"/>
              <w:right w:val="single" w:color="auto" w:sz="4" w:space="0"/>
            </w:tcBorders>
            <w:vAlign w:val="center"/>
          </w:tcPr>
          <w:p>
            <w:pPr>
              <w:autoSpaceDE w:val="0"/>
              <w:autoSpaceDN w:val="0"/>
              <w:adjustRightInd w:val="0"/>
              <w:jc w:val="center"/>
              <w:rPr>
                <w:rFonts w:cs="宋体"/>
                <w:color w:val="auto"/>
                <w:sz w:val="21"/>
                <w:szCs w:val="21"/>
                <w:highlight w:val="none"/>
              </w:rPr>
            </w:pPr>
            <w:r>
              <w:rPr>
                <w:rFonts w:hint="eastAsia" w:cs="宋体"/>
                <w:color w:val="auto"/>
                <w:sz w:val="21"/>
                <w:szCs w:val="21"/>
                <w:highlight w:val="none"/>
              </w:rPr>
              <w:t>备注</w:t>
            </w:r>
          </w:p>
        </w:tc>
      </w:tr>
      <w:tr>
        <w:tblPrEx>
          <w:tblCellMar>
            <w:top w:w="0" w:type="dxa"/>
            <w:left w:w="108" w:type="dxa"/>
            <w:bottom w:w="0" w:type="dxa"/>
            <w:right w:w="108" w:type="dxa"/>
          </w:tblCellMar>
        </w:tblPrEx>
        <w:trPr>
          <w:trHeight w:val="624" w:hRule="atLeast"/>
          <w:jc w:val="center"/>
        </w:trPr>
        <w:tc>
          <w:tcPr>
            <w:tcW w:w="853" w:type="dxa"/>
            <w:vMerge w:val="continue"/>
            <w:tcBorders>
              <w:left w:val="single" w:color="000000" w:sz="4" w:space="0"/>
              <w:bottom w:val="single" w:color="000000" w:sz="4" w:space="0"/>
              <w:right w:val="single" w:color="000000" w:sz="4" w:space="0"/>
            </w:tcBorders>
            <w:vAlign w:val="center"/>
          </w:tcPr>
          <w:p>
            <w:pPr>
              <w:autoSpaceDE w:val="0"/>
              <w:autoSpaceDN w:val="0"/>
              <w:adjustRightInd w:val="0"/>
              <w:spacing w:line="240" w:lineRule="exact"/>
              <w:jc w:val="center"/>
              <w:rPr>
                <w:rFonts w:cs="宋体"/>
                <w:color w:val="auto"/>
                <w:sz w:val="21"/>
                <w:szCs w:val="21"/>
                <w:highlight w:val="none"/>
              </w:rPr>
            </w:pPr>
          </w:p>
        </w:tc>
        <w:tc>
          <w:tcPr>
            <w:tcW w:w="3320" w:type="dxa"/>
            <w:vMerge w:val="continue"/>
            <w:tcBorders>
              <w:top w:val="nil"/>
              <w:left w:val="single" w:color="000000" w:sz="4" w:space="0"/>
              <w:bottom w:val="single" w:color="000000" w:sz="4" w:space="0"/>
              <w:right w:val="single" w:color="000000" w:sz="4" w:space="0"/>
            </w:tcBorders>
            <w:vAlign w:val="center"/>
          </w:tcPr>
          <w:p>
            <w:pPr>
              <w:adjustRightInd w:val="0"/>
              <w:spacing w:line="240" w:lineRule="exact"/>
              <w:textAlignment w:val="baseline"/>
              <w:rPr>
                <w:rFonts w:cs="宋体"/>
                <w:color w:val="auto"/>
                <w:sz w:val="21"/>
                <w:szCs w:val="21"/>
                <w:highlight w:val="none"/>
              </w:rPr>
            </w:pPr>
          </w:p>
        </w:tc>
        <w:tc>
          <w:tcPr>
            <w:tcW w:w="679" w:type="dxa"/>
            <w:vMerge w:val="restart"/>
            <w:tcBorders>
              <w:top w:val="single" w:color="auto" w:sz="4" w:space="0"/>
              <w:left w:val="single" w:color="000000" w:sz="4" w:space="0"/>
              <w:right w:val="single" w:color="auto" w:sz="4" w:space="0"/>
            </w:tcBorders>
            <w:vAlign w:val="center"/>
          </w:tcPr>
          <w:p>
            <w:pPr>
              <w:adjustRightInd w:val="0"/>
              <w:spacing w:line="240" w:lineRule="exact"/>
              <w:jc w:val="center"/>
              <w:textAlignment w:val="baseline"/>
              <w:rPr>
                <w:rFonts w:cs="宋体"/>
                <w:color w:val="auto"/>
                <w:sz w:val="21"/>
                <w:szCs w:val="21"/>
                <w:highlight w:val="none"/>
              </w:rPr>
            </w:pPr>
            <w:r>
              <w:rPr>
                <w:rFonts w:hint="eastAsia" w:cs="宋体"/>
                <w:color w:val="auto"/>
                <w:sz w:val="21"/>
                <w:szCs w:val="21"/>
                <w:highlight w:val="none"/>
              </w:rPr>
              <w:t>记录时间</w:t>
            </w:r>
          </w:p>
        </w:tc>
        <w:tc>
          <w:tcPr>
            <w:tcW w:w="2796" w:type="dxa"/>
            <w:vMerge w:val="restart"/>
            <w:tcBorders>
              <w:top w:val="single" w:color="auto" w:sz="4" w:space="0"/>
              <w:left w:val="single" w:color="auto" w:sz="4" w:space="0"/>
              <w:right w:val="single" w:color="auto" w:sz="4" w:space="0"/>
            </w:tcBorders>
            <w:vAlign w:val="center"/>
          </w:tcPr>
          <w:p>
            <w:pPr>
              <w:adjustRightInd w:val="0"/>
              <w:spacing w:line="240" w:lineRule="exact"/>
              <w:jc w:val="center"/>
              <w:textAlignment w:val="baseline"/>
              <w:rPr>
                <w:rFonts w:cs="宋体"/>
                <w:color w:val="auto"/>
                <w:sz w:val="21"/>
                <w:szCs w:val="21"/>
                <w:highlight w:val="none"/>
              </w:rPr>
            </w:pPr>
            <w:r>
              <w:rPr>
                <w:rFonts w:hint="eastAsia" w:cs="宋体"/>
                <w:color w:val="auto"/>
                <w:sz w:val="21"/>
                <w:szCs w:val="21"/>
                <w:highlight w:val="none"/>
              </w:rPr>
              <w:t>计算机硬件信息(网卡MAC地址、CPU序列号、数据存储设备序列号)</w:t>
            </w:r>
          </w:p>
        </w:tc>
        <w:tc>
          <w:tcPr>
            <w:tcW w:w="629" w:type="dxa"/>
            <w:vMerge w:val="restart"/>
            <w:tcBorders>
              <w:top w:val="single" w:color="auto" w:sz="4" w:space="0"/>
              <w:left w:val="single" w:color="auto" w:sz="4" w:space="0"/>
              <w:right w:val="single" w:color="000000" w:sz="4" w:space="0"/>
            </w:tcBorders>
            <w:vAlign w:val="center"/>
          </w:tcPr>
          <w:p>
            <w:pPr>
              <w:adjustRightInd w:val="0"/>
              <w:spacing w:line="240" w:lineRule="exact"/>
              <w:jc w:val="center"/>
              <w:textAlignment w:val="baseline"/>
              <w:rPr>
                <w:rFonts w:cs="宋体"/>
                <w:color w:val="auto"/>
                <w:sz w:val="21"/>
                <w:szCs w:val="21"/>
                <w:highlight w:val="none"/>
              </w:rPr>
            </w:pPr>
            <w:r>
              <w:rPr>
                <w:rFonts w:hint="eastAsia" w:cs="宋体"/>
                <w:color w:val="auto"/>
                <w:sz w:val="21"/>
                <w:szCs w:val="21"/>
                <w:highlight w:val="none"/>
              </w:rPr>
              <w:t>是否雷同</w:t>
            </w:r>
          </w:p>
        </w:tc>
        <w:tc>
          <w:tcPr>
            <w:tcW w:w="2082" w:type="dxa"/>
            <w:gridSpan w:val="3"/>
            <w:tcBorders>
              <w:top w:val="single" w:color="auto" w:sz="4" w:space="0"/>
              <w:left w:val="single" w:color="000000" w:sz="4" w:space="0"/>
              <w:bottom w:val="single" w:color="auto" w:sz="4" w:space="0"/>
              <w:right w:val="single" w:color="auto" w:sz="4" w:space="0"/>
            </w:tcBorders>
            <w:vAlign w:val="center"/>
          </w:tcPr>
          <w:p>
            <w:pPr>
              <w:adjustRightInd w:val="0"/>
              <w:spacing w:line="240" w:lineRule="exact"/>
              <w:jc w:val="center"/>
              <w:textAlignment w:val="baseline"/>
              <w:rPr>
                <w:rFonts w:cs="宋体"/>
                <w:color w:val="auto"/>
                <w:sz w:val="21"/>
                <w:szCs w:val="21"/>
                <w:highlight w:val="none"/>
              </w:rPr>
            </w:pPr>
            <w:r>
              <w:rPr>
                <w:rFonts w:hint="eastAsia" w:cs="宋体"/>
                <w:color w:val="auto"/>
                <w:sz w:val="21"/>
                <w:szCs w:val="21"/>
                <w:highlight w:val="none"/>
              </w:rPr>
              <w:t>计价软件</w:t>
            </w:r>
          </w:p>
          <w:p>
            <w:pPr>
              <w:adjustRightInd w:val="0"/>
              <w:spacing w:line="240" w:lineRule="exact"/>
              <w:jc w:val="center"/>
              <w:textAlignment w:val="baseline"/>
              <w:rPr>
                <w:rFonts w:cs="宋体"/>
                <w:b/>
                <w:color w:val="auto"/>
                <w:sz w:val="21"/>
                <w:szCs w:val="21"/>
                <w:highlight w:val="none"/>
              </w:rPr>
            </w:pPr>
            <w:r>
              <w:rPr>
                <w:rFonts w:hint="eastAsia" w:cs="宋体"/>
                <w:color w:val="auto"/>
                <w:sz w:val="21"/>
                <w:szCs w:val="21"/>
                <w:highlight w:val="none"/>
              </w:rPr>
              <w:t>加密锁信息</w:t>
            </w:r>
          </w:p>
        </w:tc>
        <w:tc>
          <w:tcPr>
            <w:tcW w:w="2899" w:type="dxa"/>
            <w:gridSpan w:val="3"/>
            <w:tcBorders>
              <w:top w:val="single" w:color="auto" w:sz="4" w:space="0"/>
              <w:left w:val="single" w:color="auto" w:sz="4" w:space="0"/>
              <w:bottom w:val="single" w:color="000000" w:sz="4" w:space="0"/>
              <w:right w:val="single" w:color="auto" w:sz="4" w:space="0"/>
            </w:tcBorders>
            <w:vAlign w:val="center"/>
          </w:tcPr>
          <w:p>
            <w:pPr>
              <w:adjustRightInd w:val="0"/>
              <w:spacing w:line="240" w:lineRule="exact"/>
              <w:jc w:val="center"/>
              <w:textAlignment w:val="baseline"/>
              <w:rPr>
                <w:rFonts w:cs="宋体"/>
                <w:color w:val="auto"/>
                <w:sz w:val="21"/>
                <w:szCs w:val="21"/>
                <w:highlight w:val="none"/>
              </w:rPr>
            </w:pPr>
            <w:r>
              <w:rPr>
                <w:rFonts w:hint="eastAsia" w:cs="宋体"/>
                <w:color w:val="auto"/>
                <w:sz w:val="21"/>
                <w:szCs w:val="21"/>
                <w:highlight w:val="none"/>
              </w:rPr>
              <w:t>计算机硬件信息</w:t>
            </w:r>
          </w:p>
        </w:tc>
        <w:tc>
          <w:tcPr>
            <w:tcW w:w="720" w:type="dxa"/>
            <w:vMerge w:val="restart"/>
            <w:tcBorders>
              <w:top w:val="single" w:color="auto" w:sz="4" w:space="0"/>
              <w:left w:val="single" w:color="auto" w:sz="4" w:space="0"/>
              <w:right w:val="single" w:color="000000" w:sz="4" w:space="0"/>
            </w:tcBorders>
            <w:vAlign w:val="center"/>
          </w:tcPr>
          <w:p>
            <w:pPr>
              <w:adjustRightInd w:val="0"/>
              <w:spacing w:line="240" w:lineRule="exact"/>
              <w:jc w:val="center"/>
              <w:textAlignment w:val="baseline"/>
              <w:rPr>
                <w:rFonts w:cs="宋体"/>
                <w:color w:val="auto"/>
                <w:sz w:val="21"/>
                <w:szCs w:val="21"/>
                <w:highlight w:val="none"/>
              </w:rPr>
            </w:pPr>
            <w:r>
              <w:rPr>
                <w:rFonts w:hint="eastAsia" w:cs="宋体"/>
                <w:color w:val="auto"/>
                <w:sz w:val="21"/>
                <w:szCs w:val="21"/>
                <w:highlight w:val="none"/>
              </w:rPr>
              <w:t>是否存在篡改</w:t>
            </w:r>
          </w:p>
          <w:p>
            <w:pPr>
              <w:adjustRightInd w:val="0"/>
              <w:spacing w:line="240" w:lineRule="exact"/>
              <w:jc w:val="center"/>
              <w:textAlignment w:val="baseline"/>
              <w:rPr>
                <w:rFonts w:cs="宋体"/>
                <w:b/>
                <w:bCs/>
                <w:color w:val="auto"/>
                <w:sz w:val="21"/>
                <w:szCs w:val="21"/>
                <w:highlight w:val="none"/>
              </w:rPr>
            </w:pPr>
          </w:p>
        </w:tc>
        <w:tc>
          <w:tcPr>
            <w:tcW w:w="780" w:type="dxa"/>
            <w:vMerge w:val="continue"/>
            <w:tcBorders>
              <w:left w:val="single" w:color="000000" w:sz="4" w:space="0"/>
              <w:right w:val="single" w:color="auto" w:sz="4" w:space="0"/>
            </w:tcBorders>
            <w:vAlign w:val="center"/>
          </w:tcPr>
          <w:p>
            <w:pPr>
              <w:adjustRightInd w:val="0"/>
              <w:spacing w:line="360" w:lineRule="atLeast"/>
              <w:textAlignment w:val="baseline"/>
              <w:rPr>
                <w:rFonts w:cs="宋体"/>
                <w:color w:val="auto"/>
                <w:sz w:val="21"/>
                <w:szCs w:val="21"/>
                <w:highlight w:val="none"/>
              </w:rPr>
            </w:pPr>
          </w:p>
        </w:tc>
      </w:tr>
      <w:tr>
        <w:tblPrEx>
          <w:tblCellMar>
            <w:top w:w="0" w:type="dxa"/>
            <w:left w:w="108" w:type="dxa"/>
            <w:bottom w:w="0" w:type="dxa"/>
            <w:right w:w="108" w:type="dxa"/>
          </w:tblCellMar>
        </w:tblPrEx>
        <w:trPr>
          <w:trHeight w:val="854" w:hRule="atLeast"/>
          <w:jc w:val="center"/>
        </w:trPr>
        <w:tc>
          <w:tcPr>
            <w:tcW w:w="853" w:type="dxa"/>
            <w:vMerge w:val="continue"/>
            <w:tcBorders>
              <w:left w:val="single" w:color="000000" w:sz="4" w:space="0"/>
              <w:bottom w:val="single" w:color="000000" w:sz="4" w:space="0"/>
              <w:right w:val="single" w:color="000000" w:sz="4" w:space="0"/>
            </w:tcBorders>
            <w:vAlign w:val="center"/>
          </w:tcPr>
          <w:p>
            <w:pPr>
              <w:autoSpaceDE w:val="0"/>
              <w:autoSpaceDN w:val="0"/>
              <w:adjustRightInd w:val="0"/>
              <w:spacing w:line="240" w:lineRule="exact"/>
              <w:jc w:val="center"/>
              <w:rPr>
                <w:rFonts w:cs="宋体"/>
                <w:color w:val="auto"/>
                <w:sz w:val="21"/>
                <w:szCs w:val="21"/>
                <w:highlight w:val="none"/>
              </w:rPr>
            </w:pPr>
          </w:p>
        </w:tc>
        <w:tc>
          <w:tcPr>
            <w:tcW w:w="3320" w:type="dxa"/>
            <w:vMerge w:val="continue"/>
            <w:tcBorders>
              <w:left w:val="single" w:color="000000" w:sz="4" w:space="0"/>
              <w:bottom w:val="single" w:color="000000" w:sz="4" w:space="0"/>
              <w:right w:val="single" w:color="000000" w:sz="4" w:space="0"/>
            </w:tcBorders>
            <w:vAlign w:val="center"/>
          </w:tcPr>
          <w:p>
            <w:pPr>
              <w:adjustRightInd w:val="0"/>
              <w:spacing w:line="240" w:lineRule="exact"/>
              <w:textAlignment w:val="baseline"/>
              <w:rPr>
                <w:rFonts w:cs="宋体"/>
                <w:color w:val="auto"/>
                <w:sz w:val="21"/>
                <w:szCs w:val="21"/>
                <w:highlight w:val="none"/>
              </w:rPr>
            </w:pPr>
          </w:p>
        </w:tc>
        <w:tc>
          <w:tcPr>
            <w:tcW w:w="679" w:type="dxa"/>
            <w:vMerge w:val="continue"/>
            <w:tcBorders>
              <w:left w:val="single" w:color="000000" w:sz="4" w:space="0"/>
              <w:right w:val="single" w:color="auto" w:sz="4" w:space="0"/>
            </w:tcBorders>
            <w:vAlign w:val="center"/>
          </w:tcPr>
          <w:p>
            <w:pPr>
              <w:adjustRightInd w:val="0"/>
              <w:spacing w:line="360" w:lineRule="atLeast"/>
              <w:textAlignment w:val="baseline"/>
              <w:rPr>
                <w:rFonts w:cs="宋体"/>
                <w:color w:val="auto"/>
                <w:sz w:val="21"/>
                <w:szCs w:val="21"/>
                <w:highlight w:val="none"/>
              </w:rPr>
            </w:pPr>
          </w:p>
        </w:tc>
        <w:tc>
          <w:tcPr>
            <w:tcW w:w="2796" w:type="dxa"/>
            <w:vMerge w:val="continue"/>
            <w:tcBorders>
              <w:left w:val="single" w:color="auto" w:sz="4" w:space="0"/>
              <w:right w:val="single" w:color="auto" w:sz="4" w:space="0"/>
            </w:tcBorders>
            <w:vAlign w:val="center"/>
          </w:tcPr>
          <w:p>
            <w:pPr>
              <w:adjustRightInd w:val="0"/>
              <w:spacing w:line="360" w:lineRule="atLeast"/>
              <w:textAlignment w:val="baseline"/>
              <w:rPr>
                <w:rFonts w:cs="宋体"/>
                <w:color w:val="auto"/>
                <w:sz w:val="21"/>
                <w:szCs w:val="21"/>
                <w:highlight w:val="none"/>
              </w:rPr>
            </w:pPr>
          </w:p>
        </w:tc>
        <w:tc>
          <w:tcPr>
            <w:tcW w:w="629" w:type="dxa"/>
            <w:vMerge w:val="continue"/>
            <w:tcBorders>
              <w:left w:val="single" w:color="auto" w:sz="4" w:space="0"/>
              <w:right w:val="single" w:color="000000" w:sz="4" w:space="0"/>
            </w:tcBorders>
            <w:vAlign w:val="center"/>
          </w:tcPr>
          <w:p>
            <w:pPr>
              <w:adjustRightInd w:val="0"/>
              <w:spacing w:line="240" w:lineRule="exact"/>
              <w:jc w:val="center"/>
              <w:textAlignment w:val="baseline"/>
              <w:rPr>
                <w:rFonts w:cs="宋体"/>
                <w:color w:val="auto"/>
                <w:sz w:val="21"/>
                <w:szCs w:val="21"/>
                <w:highlight w:val="none"/>
              </w:rPr>
            </w:pPr>
          </w:p>
        </w:tc>
        <w:tc>
          <w:tcPr>
            <w:tcW w:w="601" w:type="dxa"/>
            <w:tcBorders>
              <w:top w:val="single" w:color="auto" w:sz="4" w:space="0"/>
              <w:left w:val="single" w:color="000000" w:sz="4" w:space="0"/>
              <w:right w:val="single" w:color="auto" w:sz="4" w:space="0"/>
            </w:tcBorders>
            <w:vAlign w:val="center"/>
          </w:tcPr>
          <w:p>
            <w:pPr>
              <w:adjustRightInd w:val="0"/>
              <w:spacing w:line="240" w:lineRule="exact"/>
              <w:jc w:val="center"/>
              <w:textAlignment w:val="baseline"/>
              <w:rPr>
                <w:rFonts w:cs="宋体"/>
                <w:color w:val="auto"/>
                <w:sz w:val="21"/>
                <w:szCs w:val="21"/>
                <w:highlight w:val="none"/>
              </w:rPr>
            </w:pPr>
            <w:r>
              <w:rPr>
                <w:rFonts w:hint="eastAsia" w:cs="宋体"/>
                <w:color w:val="auto"/>
                <w:sz w:val="21"/>
                <w:szCs w:val="21"/>
                <w:highlight w:val="none"/>
              </w:rPr>
              <w:t>记录时间</w:t>
            </w:r>
          </w:p>
        </w:tc>
        <w:tc>
          <w:tcPr>
            <w:tcW w:w="750" w:type="dxa"/>
            <w:tcBorders>
              <w:top w:val="single" w:color="auto" w:sz="4" w:space="0"/>
              <w:left w:val="single" w:color="auto" w:sz="4" w:space="0"/>
              <w:right w:val="single" w:color="auto" w:sz="4" w:space="0"/>
            </w:tcBorders>
            <w:vAlign w:val="center"/>
          </w:tcPr>
          <w:p>
            <w:pPr>
              <w:adjustRightInd w:val="0"/>
              <w:spacing w:line="240" w:lineRule="exact"/>
              <w:jc w:val="center"/>
              <w:textAlignment w:val="baseline"/>
              <w:rPr>
                <w:rFonts w:cs="宋体"/>
                <w:color w:val="auto"/>
                <w:sz w:val="21"/>
                <w:szCs w:val="21"/>
                <w:highlight w:val="none"/>
              </w:rPr>
            </w:pPr>
            <w:r>
              <w:rPr>
                <w:rFonts w:hint="eastAsia" w:cs="宋体"/>
                <w:color w:val="auto"/>
                <w:sz w:val="21"/>
                <w:szCs w:val="21"/>
                <w:highlight w:val="none"/>
              </w:rPr>
              <w:t>加密锁序列号</w:t>
            </w:r>
          </w:p>
        </w:tc>
        <w:tc>
          <w:tcPr>
            <w:tcW w:w="731" w:type="dxa"/>
            <w:tcBorders>
              <w:top w:val="single" w:color="auto" w:sz="4" w:space="0"/>
              <w:left w:val="single" w:color="auto" w:sz="4" w:space="0"/>
              <w:right w:val="single" w:color="000000" w:sz="4" w:space="0"/>
            </w:tcBorders>
            <w:vAlign w:val="center"/>
          </w:tcPr>
          <w:p>
            <w:pPr>
              <w:adjustRightInd w:val="0"/>
              <w:spacing w:line="240" w:lineRule="exact"/>
              <w:jc w:val="center"/>
              <w:textAlignment w:val="baseline"/>
              <w:rPr>
                <w:rFonts w:cs="宋体"/>
                <w:color w:val="auto"/>
                <w:sz w:val="21"/>
                <w:szCs w:val="21"/>
                <w:highlight w:val="none"/>
              </w:rPr>
            </w:pPr>
            <w:r>
              <w:rPr>
                <w:rFonts w:hint="eastAsia" w:cs="宋体"/>
                <w:color w:val="auto"/>
                <w:sz w:val="21"/>
                <w:szCs w:val="21"/>
                <w:highlight w:val="none"/>
              </w:rPr>
              <w:t>是否雷同</w:t>
            </w:r>
          </w:p>
        </w:tc>
        <w:tc>
          <w:tcPr>
            <w:tcW w:w="544" w:type="dxa"/>
            <w:tcBorders>
              <w:top w:val="single" w:color="000000" w:sz="4" w:space="0"/>
              <w:left w:val="single" w:color="000000" w:sz="4" w:space="0"/>
              <w:bottom w:val="single" w:color="000000" w:sz="4" w:space="0"/>
              <w:right w:val="single" w:color="auto" w:sz="4" w:space="0"/>
            </w:tcBorders>
            <w:vAlign w:val="center"/>
          </w:tcPr>
          <w:p>
            <w:pPr>
              <w:adjustRightInd w:val="0"/>
              <w:spacing w:line="240" w:lineRule="exact"/>
              <w:jc w:val="center"/>
              <w:textAlignment w:val="baseline"/>
              <w:rPr>
                <w:rFonts w:cs="宋体"/>
                <w:color w:val="auto"/>
                <w:sz w:val="21"/>
                <w:szCs w:val="21"/>
                <w:highlight w:val="none"/>
              </w:rPr>
            </w:pPr>
            <w:r>
              <w:rPr>
                <w:rFonts w:hint="eastAsia" w:cs="宋体"/>
                <w:color w:val="auto"/>
                <w:sz w:val="21"/>
                <w:szCs w:val="21"/>
                <w:highlight w:val="none"/>
              </w:rPr>
              <w:t>记录时间</w:t>
            </w:r>
          </w:p>
        </w:tc>
        <w:tc>
          <w:tcPr>
            <w:tcW w:w="1890" w:type="dxa"/>
            <w:tcBorders>
              <w:top w:val="single" w:color="000000" w:sz="4" w:space="0"/>
              <w:left w:val="single" w:color="auto" w:sz="4" w:space="0"/>
              <w:bottom w:val="single" w:color="000000" w:sz="4" w:space="0"/>
              <w:right w:val="single" w:color="auto" w:sz="4" w:space="0"/>
            </w:tcBorders>
            <w:vAlign w:val="center"/>
          </w:tcPr>
          <w:p>
            <w:pPr>
              <w:adjustRightInd w:val="0"/>
              <w:spacing w:line="240" w:lineRule="exact"/>
              <w:jc w:val="center"/>
              <w:textAlignment w:val="baseline"/>
              <w:rPr>
                <w:rFonts w:cs="宋体"/>
                <w:color w:val="auto"/>
                <w:sz w:val="21"/>
                <w:szCs w:val="21"/>
                <w:highlight w:val="none"/>
              </w:rPr>
            </w:pPr>
            <w:r>
              <w:rPr>
                <w:rFonts w:hint="eastAsia" w:cs="宋体"/>
                <w:color w:val="auto"/>
                <w:sz w:val="21"/>
                <w:szCs w:val="21"/>
                <w:highlight w:val="none"/>
              </w:rPr>
              <w:t>网卡MAC地址（如有）、CPU序列号、数据存储设备序列号</w:t>
            </w:r>
          </w:p>
        </w:tc>
        <w:tc>
          <w:tcPr>
            <w:tcW w:w="465" w:type="dxa"/>
            <w:tcBorders>
              <w:top w:val="single" w:color="000000" w:sz="4" w:space="0"/>
              <w:left w:val="single" w:color="auto" w:sz="4" w:space="0"/>
              <w:bottom w:val="single" w:color="auto" w:sz="4" w:space="0"/>
              <w:right w:val="single" w:color="000000" w:sz="4" w:space="0"/>
            </w:tcBorders>
            <w:vAlign w:val="center"/>
          </w:tcPr>
          <w:p>
            <w:pPr>
              <w:adjustRightInd w:val="0"/>
              <w:spacing w:line="240" w:lineRule="exact"/>
              <w:jc w:val="center"/>
              <w:textAlignment w:val="baseline"/>
              <w:rPr>
                <w:rFonts w:cs="宋体"/>
                <w:color w:val="auto"/>
                <w:sz w:val="21"/>
                <w:szCs w:val="21"/>
                <w:highlight w:val="none"/>
              </w:rPr>
            </w:pPr>
            <w:r>
              <w:rPr>
                <w:rFonts w:hint="eastAsia" w:cs="宋体"/>
                <w:color w:val="auto"/>
                <w:sz w:val="21"/>
                <w:szCs w:val="21"/>
                <w:highlight w:val="none"/>
              </w:rPr>
              <w:t>是否雷同</w:t>
            </w:r>
          </w:p>
        </w:tc>
        <w:tc>
          <w:tcPr>
            <w:tcW w:w="720" w:type="dxa"/>
            <w:vMerge w:val="continue"/>
            <w:tcBorders>
              <w:left w:val="single" w:color="auto" w:sz="4" w:space="0"/>
              <w:bottom w:val="single" w:color="auto" w:sz="4" w:space="0"/>
              <w:right w:val="single" w:color="000000" w:sz="4" w:space="0"/>
            </w:tcBorders>
            <w:vAlign w:val="center"/>
          </w:tcPr>
          <w:p>
            <w:pPr>
              <w:adjustRightInd w:val="0"/>
              <w:spacing w:line="240" w:lineRule="exact"/>
              <w:jc w:val="center"/>
              <w:textAlignment w:val="baseline"/>
              <w:rPr>
                <w:rFonts w:cs="宋体"/>
                <w:b/>
                <w:bCs/>
                <w:color w:val="auto"/>
                <w:sz w:val="21"/>
                <w:szCs w:val="21"/>
                <w:highlight w:val="none"/>
              </w:rPr>
            </w:pPr>
          </w:p>
        </w:tc>
        <w:tc>
          <w:tcPr>
            <w:tcW w:w="780" w:type="dxa"/>
            <w:tcBorders>
              <w:top w:val="single" w:color="000000" w:sz="4" w:space="0"/>
              <w:left w:val="single" w:color="000000" w:sz="4" w:space="0"/>
              <w:bottom w:val="single" w:color="000000" w:sz="4" w:space="0"/>
              <w:right w:val="single" w:color="000000" w:sz="4" w:space="0"/>
            </w:tcBorders>
            <w:vAlign w:val="center"/>
          </w:tcPr>
          <w:p>
            <w:pPr>
              <w:adjustRightInd w:val="0"/>
              <w:spacing w:line="240" w:lineRule="exact"/>
              <w:jc w:val="center"/>
              <w:textAlignment w:val="baseline"/>
              <w:rPr>
                <w:rFonts w:cs="宋体"/>
                <w:color w:val="auto"/>
                <w:sz w:val="21"/>
                <w:szCs w:val="21"/>
                <w:highlight w:val="none"/>
              </w:rPr>
            </w:pPr>
          </w:p>
        </w:tc>
      </w:tr>
      <w:tr>
        <w:tblPrEx>
          <w:tblCellMar>
            <w:top w:w="0" w:type="dxa"/>
            <w:left w:w="108" w:type="dxa"/>
            <w:bottom w:w="0" w:type="dxa"/>
            <w:right w:w="108" w:type="dxa"/>
          </w:tblCellMar>
        </w:tblPrEx>
        <w:trPr>
          <w:trHeight w:val="645" w:hRule="atLeast"/>
          <w:jc w:val="center"/>
        </w:trPr>
        <w:tc>
          <w:tcPr>
            <w:tcW w:w="853" w:type="dxa"/>
            <w:vMerge w:val="restart"/>
            <w:tcBorders>
              <w:top w:val="single" w:color="000000" w:sz="4" w:space="0"/>
              <w:left w:val="single" w:color="000000" w:sz="4" w:space="0"/>
              <w:right w:val="single" w:color="000000" w:sz="4" w:space="0"/>
            </w:tcBorders>
            <w:vAlign w:val="center"/>
          </w:tcPr>
          <w:p>
            <w:pPr>
              <w:autoSpaceDE w:val="0"/>
              <w:autoSpaceDN w:val="0"/>
              <w:spacing w:before="3"/>
              <w:jc w:val="center"/>
              <w:rPr>
                <w:rFonts w:cs="宋体"/>
                <w:color w:val="auto"/>
                <w:sz w:val="21"/>
                <w:szCs w:val="21"/>
                <w:highlight w:val="none"/>
              </w:rPr>
            </w:pPr>
          </w:p>
          <w:p>
            <w:pPr>
              <w:autoSpaceDE w:val="0"/>
              <w:autoSpaceDN w:val="0"/>
              <w:spacing w:before="3"/>
              <w:jc w:val="center"/>
              <w:rPr>
                <w:rFonts w:cs="宋体"/>
                <w:color w:val="auto"/>
                <w:sz w:val="21"/>
                <w:szCs w:val="21"/>
                <w:highlight w:val="none"/>
              </w:rPr>
            </w:pPr>
            <w:r>
              <w:rPr>
                <w:rFonts w:hint="eastAsia" w:cs="宋体"/>
                <w:color w:val="auto"/>
                <w:sz w:val="21"/>
                <w:szCs w:val="21"/>
                <w:highlight w:val="none"/>
              </w:rPr>
              <w:t>1</w:t>
            </w:r>
          </w:p>
        </w:tc>
        <w:tc>
          <w:tcPr>
            <w:tcW w:w="3320" w:type="dxa"/>
            <w:vMerge w:val="restart"/>
            <w:tcBorders>
              <w:top w:val="single" w:color="000000" w:sz="4" w:space="0"/>
              <w:left w:val="single" w:color="000000" w:sz="4" w:space="0"/>
              <w:right w:val="single" w:color="000000" w:sz="4" w:space="0"/>
            </w:tcBorders>
          </w:tcPr>
          <w:p>
            <w:pPr>
              <w:autoSpaceDE w:val="0"/>
              <w:autoSpaceDN w:val="0"/>
              <w:ind w:right="184"/>
              <w:jc w:val="right"/>
              <w:rPr>
                <w:rFonts w:cs="宋体"/>
                <w:color w:val="auto"/>
                <w:sz w:val="21"/>
                <w:szCs w:val="21"/>
                <w:highlight w:val="none"/>
              </w:rPr>
            </w:pPr>
          </w:p>
        </w:tc>
        <w:tc>
          <w:tcPr>
            <w:tcW w:w="679" w:type="dxa"/>
            <w:tcBorders>
              <w:top w:val="single" w:color="000000" w:sz="4" w:space="0"/>
              <w:left w:val="single" w:color="000000" w:sz="4" w:space="0"/>
              <w:bottom w:val="single" w:color="auto" w:sz="4" w:space="0"/>
              <w:right w:val="single" w:color="auto" w:sz="4" w:space="0"/>
            </w:tcBorders>
            <w:vAlign w:val="center"/>
          </w:tcPr>
          <w:p>
            <w:pPr>
              <w:adjustRightInd w:val="0"/>
              <w:spacing w:line="240" w:lineRule="exact"/>
              <w:jc w:val="center"/>
              <w:textAlignment w:val="baseline"/>
              <w:rPr>
                <w:rFonts w:cs="宋体"/>
                <w:color w:val="auto"/>
                <w:sz w:val="21"/>
                <w:szCs w:val="21"/>
                <w:highlight w:val="none"/>
              </w:rPr>
            </w:pPr>
          </w:p>
        </w:tc>
        <w:tc>
          <w:tcPr>
            <w:tcW w:w="2796" w:type="dxa"/>
            <w:tcBorders>
              <w:top w:val="single" w:color="000000" w:sz="4" w:space="0"/>
              <w:left w:val="single" w:color="auto" w:sz="4" w:space="0"/>
              <w:bottom w:val="single" w:color="auto" w:sz="4" w:space="0"/>
              <w:right w:val="single" w:color="auto" w:sz="4" w:space="0"/>
            </w:tcBorders>
            <w:vAlign w:val="center"/>
          </w:tcPr>
          <w:p>
            <w:pPr>
              <w:adjustRightInd w:val="0"/>
              <w:spacing w:line="240" w:lineRule="exact"/>
              <w:jc w:val="center"/>
              <w:textAlignment w:val="baseline"/>
              <w:rPr>
                <w:rFonts w:cs="宋体"/>
                <w:color w:val="auto"/>
                <w:sz w:val="21"/>
                <w:szCs w:val="21"/>
                <w:highlight w:val="none"/>
              </w:rPr>
            </w:pPr>
          </w:p>
        </w:tc>
        <w:tc>
          <w:tcPr>
            <w:tcW w:w="629" w:type="dxa"/>
            <w:tcBorders>
              <w:top w:val="single" w:color="000000" w:sz="4" w:space="0"/>
              <w:left w:val="single" w:color="auto" w:sz="4" w:space="0"/>
              <w:bottom w:val="single" w:color="auto" w:sz="4" w:space="0"/>
              <w:right w:val="single" w:color="000000" w:sz="4" w:space="0"/>
            </w:tcBorders>
            <w:vAlign w:val="center"/>
          </w:tcPr>
          <w:p>
            <w:pPr>
              <w:adjustRightInd w:val="0"/>
              <w:spacing w:line="240" w:lineRule="exact"/>
              <w:jc w:val="center"/>
              <w:textAlignment w:val="baseline"/>
              <w:rPr>
                <w:rFonts w:cs="宋体"/>
                <w:color w:val="auto"/>
                <w:sz w:val="21"/>
                <w:szCs w:val="21"/>
                <w:highlight w:val="none"/>
              </w:rPr>
            </w:pPr>
          </w:p>
        </w:tc>
        <w:tc>
          <w:tcPr>
            <w:tcW w:w="601" w:type="dxa"/>
            <w:tcBorders>
              <w:top w:val="single" w:color="000000" w:sz="4" w:space="0"/>
              <w:left w:val="single" w:color="000000" w:sz="4" w:space="0"/>
              <w:bottom w:val="single" w:color="auto" w:sz="4" w:space="0"/>
              <w:right w:val="single" w:color="auto" w:sz="4" w:space="0"/>
            </w:tcBorders>
            <w:vAlign w:val="center"/>
          </w:tcPr>
          <w:p>
            <w:pPr>
              <w:autoSpaceDE w:val="0"/>
              <w:autoSpaceDN w:val="0"/>
              <w:adjustRightInd w:val="0"/>
              <w:jc w:val="center"/>
              <w:rPr>
                <w:rFonts w:cs="宋体"/>
                <w:color w:val="auto"/>
                <w:sz w:val="21"/>
                <w:szCs w:val="21"/>
                <w:highlight w:val="none"/>
              </w:rPr>
            </w:pPr>
          </w:p>
        </w:tc>
        <w:tc>
          <w:tcPr>
            <w:tcW w:w="750" w:type="dxa"/>
            <w:tcBorders>
              <w:top w:val="single" w:color="000000" w:sz="4" w:space="0"/>
              <w:left w:val="single" w:color="auto" w:sz="4" w:space="0"/>
              <w:bottom w:val="single" w:color="auto" w:sz="4" w:space="0"/>
              <w:right w:val="single" w:color="auto" w:sz="4" w:space="0"/>
            </w:tcBorders>
            <w:vAlign w:val="center"/>
          </w:tcPr>
          <w:p>
            <w:pPr>
              <w:autoSpaceDE w:val="0"/>
              <w:autoSpaceDN w:val="0"/>
              <w:adjustRightInd w:val="0"/>
              <w:jc w:val="center"/>
              <w:rPr>
                <w:rFonts w:cs="宋体"/>
                <w:color w:val="auto"/>
                <w:sz w:val="21"/>
                <w:szCs w:val="21"/>
                <w:highlight w:val="none"/>
              </w:rPr>
            </w:pPr>
          </w:p>
        </w:tc>
        <w:tc>
          <w:tcPr>
            <w:tcW w:w="731" w:type="dxa"/>
            <w:tcBorders>
              <w:top w:val="single" w:color="000000" w:sz="4" w:space="0"/>
              <w:left w:val="single" w:color="auto" w:sz="4" w:space="0"/>
              <w:bottom w:val="single" w:color="auto" w:sz="4" w:space="0"/>
              <w:right w:val="single" w:color="000000" w:sz="4" w:space="0"/>
            </w:tcBorders>
            <w:vAlign w:val="center"/>
          </w:tcPr>
          <w:p>
            <w:pPr>
              <w:autoSpaceDE w:val="0"/>
              <w:autoSpaceDN w:val="0"/>
              <w:adjustRightInd w:val="0"/>
              <w:jc w:val="center"/>
              <w:rPr>
                <w:rFonts w:cs="宋体"/>
                <w:color w:val="auto"/>
                <w:sz w:val="21"/>
                <w:szCs w:val="21"/>
                <w:highlight w:val="none"/>
              </w:rPr>
            </w:pPr>
          </w:p>
        </w:tc>
        <w:tc>
          <w:tcPr>
            <w:tcW w:w="544" w:type="dxa"/>
            <w:tcBorders>
              <w:top w:val="single" w:color="000000" w:sz="4" w:space="0"/>
              <w:left w:val="single" w:color="000000" w:sz="4" w:space="0"/>
              <w:bottom w:val="single" w:color="auto" w:sz="4" w:space="0"/>
              <w:right w:val="single" w:color="auto" w:sz="4" w:space="0"/>
            </w:tcBorders>
          </w:tcPr>
          <w:p>
            <w:pPr>
              <w:autoSpaceDE w:val="0"/>
              <w:autoSpaceDN w:val="0"/>
              <w:adjustRightInd w:val="0"/>
              <w:jc w:val="center"/>
              <w:rPr>
                <w:rFonts w:cs="宋体"/>
                <w:color w:val="auto"/>
                <w:sz w:val="21"/>
                <w:szCs w:val="21"/>
                <w:highlight w:val="none"/>
              </w:rPr>
            </w:pPr>
          </w:p>
        </w:tc>
        <w:tc>
          <w:tcPr>
            <w:tcW w:w="1890" w:type="dxa"/>
            <w:tcBorders>
              <w:top w:val="single" w:color="000000" w:sz="4" w:space="0"/>
              <w:left w:val="single" w:color="auto" w:sz="4" w:space="0"/>
              <w:bottom w:val="single" w:color="auto" w:sz="4" w:space="0"/>
              <w:right w:val="single" w:color="auto" w:sz="4" w:space="0"/>
            </w:tcBorders>
          </w:tcPr>
          <w:p>
            <w:pPr>
              <w:autoSpaceDE w:val="0"/>
              <w:autoSpaceDN w:val="0"/>
              <w:adjustRightInd w:val="0"/>
              <w:jc w:val="center"/>
              <w:rPr>
                <w:rFonts w:cs="宋体"/>
                <w:color w:val="auto"/>
                <w:sz w:val="21"/>
                <w:szCs w:val="21"/>
                <w:highlight w:val="none"/>
              </w:rPr>
            </w:pPr>
          </w:p>
        </w:tc>
        <w:tc>
          <w:tcPr>
            <w:tcW w:w="465" w:type="dxa"/>
            <w:tcBorders>
              <w:top w:val="single" w:color="000000" w:sz="4" w:space="0"/>
              <w:left w:val="single" w:color="auto" w:sz="4" w:space="0"/>
              <w:bottom w:val="single" w:color="auto" w:sz="4" w:space="0"/>
              <w:right w:val="single" w:color="000000" w:sz="4" w:space="0"/>
            </w:tcBorders>
          </w:tcPr>
          <w:p>
            <w:pPr>
              <w:autoSpaceDE w:val="0"/>
              <w:autoSpaceDN w:val="0"/>
              <w:adjustRightInd w:val="0"/>
              <w:jc w:val="center"/>
              <w:rPr>
                <w:rFonts w:cs="宋体"/>
                <w:color w:val="auto"/>
                <w:sz w:val="21"/>
                <w:szCs w:val="21"/>
                <w:highlight w:val="none"/>
              </w:rPr>
            </w:pPr>
          </w:p>
        </w:tc>
        <w:tc>
          <w:tcPr>
            <w:tcW w:w="720" w:type="dxa"/>
            <w:vMerge w:val="restart"/>
            <w:tcBorders>
              <w:top w:val="single" w:color="000000" w:sz="4" w:space="0"/>
              <w:left w:val="single" w:color="000000" w:sz="4" w:space="0"/>
              <w:right w:val="single" w:color="000000" w:sz="4" w:space="0"/>
            </w:tcBorders>
          </w:tcPr>
          <w:p>
            <w:pPr>
              <w:autoSpaceDE w:val="0"/>
              <w:autoSpaceDN w:val="0"/>
              <w:adjustRightInd w:val="0"/>
              <w:jc w:val="center"/>
              <w:rPr>
                <w:rFonts w:cs="宋体"/>
                <w:color w:val="auto"/>
                <w:sz w:val="21"/>
                <w:szCs w:val="21"/>
                <w:highlight w:val="none"/>
              </w:rPr>
            </w:pPr>
          </w:p>
        </w:tc>
        <w:tc>
          <w:tcPr>
            <w:tcW w:w="780" w:type="dxa"/>
            <w:vMerge w:val="restart"/>
            <w:tcBorders>
              <w:top w:val="single" w:color="000000" w:sz="4" w:space="0"/>
              <w:left w:val="single" w:color="000000" w:sz="4" w:space="0"/>
              <w:right w:val="single" w:color="000000" w:sz="4" w:space="0"/>
            </w:tcBorders>
            <w:vAlign w:val="center"/>
          </w:tcPr>
          <w:p>
            <w:pPr>
              <w:autoSpaceDE w:val="0"/>
              <w:autoSpaceDN w:val="0"/>
              <w:adjustRightInd w:val="0"/>
              <w:jc w:val="center"/>
              <w:rPr>
                <w:rFonts w:cs="宋体"/>
                <w:color w:val="auto"/>
                <w:sz w:val="21"/>
                <w:szCs w:val="21"/>
                <w:highlight w:val="none"/>
              </w:rPr>
            </w:pPr>
          </w:p>
        </w:tc>
      </w:tr>
      <w:tr>
        <w:tblPrEx>
          <w:tblCellMar>
            <w:top w:w="0" w:type="dxa"/>
            <w:left w:w="108" w:type="dxa"/>
            <w:bottom w:w="0" w:type="dxa"/>
            <w:right w:w="108" w:type="dxa"/>
          </w:tblCellMar>
        </w:tblPrEx>
        <w:trPr>
          <w:trHeight w:val="645" w:hRule="atLeast"/>
          <w:jc w:val="center"/>
        </w:trPr>
        <w:tc>
          <w:tcPr>
            <w:tcW w:w="853" w:type="dxa"/>
            <w:vMerge w:val="continue"/>
            <w:tcBorders>
              <w:left w:val="single" w:color="000000" w:sz="4" w:space="0"/>
              <w:bottom w:val="single" w:color="000000" w:sz="4" w:space="0"/>
              <w:right w:val="single" w:color="000000" w:sz="4" w:space="0"/>
            </w:tcBorders>
            <w:vAlign w:val="center"/>
          </w:tcPr>
          <w:p>
            <w:pPr>
              <w:autoSpaceDE w:val="0"/>
              <w:autoSpaceDN w:val="0"/>
              <w:spacing w:before="3"/>
              <w:jc w:val="center"/>
              <w:rPr>
                <w:rFonts w:cs="宋体"/>
                <w:color w:val="auto"/>
                <w:sz w:val="21"/>
                <w:szCs w:val="21"/>
                <w:highlight w:val="none"/>
              </w:rPr>
            </w:pPr>
          </w:p>
        </w:tc>
        <w:tc>
          <w:tcPr>
            <w:tcW w:w="3320" w:type="dxa"/>
            <w:vMerge w:val="continue"/>
            <w:tcBorders>
              <w:left w:val="single" w:color="000000" w:sz="4" w:space="0"/>
              <w:bottom w:val="single" w:color="000000" w:sz="4" w:space="0"/>
              <w:right w:val="single" w:color="000000" w:sz="4" w:space="0"/>
            </w:tcBorders>
          </w:tcPr>
          <w:p>
            <w:pPr>
              <w:autoSpaceDE w:val="0"/>
              <w:autoSpaceDN w:val="0"/>
              <w:ind w:right="184"/>
              <w:jc w:val="right"/>
              <w:rPr>
                <w:rFonts w:cs="宋体"/>
                <w:color w:val="auto"/>
                <w:sz w:val="21"/>
                <w:szCs w:val="21"/>
                <w:highlight w:val="none"/>
              </w:rPr>
            </w:pPr>
          </w:p>
        </w:tc>
        <w:tc>
          <w:tcPr>
            <w:tcW w:w="679" w:type="dxa"/>
            <w:tcBorders>
              <w:top w:val="single" w:color="auto" w:sz="4" w:space="0"/>
              <w:left w:val="single" w:color="000000" w:sz="4" w:space="0"/>
              <w:bottom w:val="single" w:color="auto" w:sz="4" w:space="0"/>
              <w:right w:val="single" w:color="auto" w:sz="4" w:space="0"/>
            </w:tcBorders>
            <w:vAlign w:val="center"/>
          </w:tcPr>
          <w:p>
            <w:pPr>
              <w:adjustRightInd w:val="0"/>
              <w:spacing w:line="240" w:lineRule="exact"/>
              <w:jc w:val="center"/>
              <w:textAlignment w:val="baseline"/>
              <w:rPr>
                <w:rFonts w:cs="宋体"/>
                <w:color w:val="auto"/>
                <w:sz w:val="21"/>
                <w:szCs w:val="21"/>
                <w:highlight w:val="none"/>
              </w:rPr>
            </w:pPr>
          </w:p>
        </w:tc>
        <w:tc>
          <w:tcPr>
            <w:tcW w:w="2796"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textAlignment w:val="baseline"/>
              <w:rPr>
                <w:rFonts w:cs="宋体"/>
                <w:color w:val="auto"/>
                <w:sz w:val="21"/>
                <w:szCs w:val="21"/>
                <w:highlight w:val="none"/>
              </w:rPr>
            </w:pPr>
          </w:p>
        </w:tc>
        <w:tc>
          <w:tcPr>
            <w:tcW w:w="629" w:type="dxa"/>
            <w:tcBorders>
              <w:top w:val="single" w:color="auto" w:sz="4" w:space="0"/>
              <w:left w:val="single" w:color="auto" w:sz="4" w:space="0"/>
              <w:bottom w:val="single" w:color="auto" w:sz="4" w:space="0"/>
              <w:right w:val="single" w:color="000000" w:sz="4" w:space="0"/>
            </w:tcBorders>
            <w:vAlign w:val="center"/>
          </w:tcPr>
          <w:p>
            <w:pPr>
              <w:adjustRightInd w:val="0"/>
              <w:spacing w:line="240" w:lineRule="exact"/>
              <w:jc w:val="center"/>
              <w:textAlignment w:val="baseline"/>
              <w:rPr>
                <w:rFonts w:cs="宋体"/>
                <w:color w:val="auto"/>
                <w:sz w:val="21"/>
                <w:szCs w:val="21"/>
                <w:highlight w:val="none"/>
              </w:rPr>
            </w:pPr>
          </w:p>
        </w:tc>
        <w:tc>
          <w:tcPr>
            <w:tcW w:w="601" w:type="dxa"/>
            <w:tcBorders>
              <w:top w:val="single" w:color="auto" w:sz="4" w:space="0"/>
              <w:left w:val="single" w:color="000000" w:sz="4" w:space="0"/>
              <w:bottom w:val="single" w:color="000000" w:sz="4" w:space="0"/>
              <w:right w:val="single" w:color="auto" w:sz="4" w:space="0"/>
            </w:tcBorders>
            <w:vAlign w:val="center"/>
          </w:tcPr>
          <w:p>
            <w:pPr>
              <w:autoSpaceDE w:val="0"/>
              <w:autoSpaceDN w:val="0"/>
              <w:adjustRightInd w:val="0"/>
              <w:jc w:val="center"/>
              <w:rPr>
                <w:rFonts w:cs="宋体"/>
                <w:color w:val="auto"/>
                <w:sz w:val="21"/>
                <w:szCs w:val="21"/>
                <w:highlight w:val="none"/>
              </w:rPr>
            </w:pPr>
          </w:p>
        </w:tc>
        <w:tc>
          <w:tcPr>
            <w:tcW w:w="750" w:type="dxa"/>
            <w:tcBorders>
              <w:top w:val="single" w:color="auto" w:sz="4" w:space="0"/>
              <w:left w:val="single" w:color="auto" w:sz="4" w:space="0"/>
              <w:bottom w:val="single" w:color="000000" w:sz="4" w:space="0"/>
              <w:right w:val="single" w:color="auto" w:sz="4" w:space="0"/>
            </w:tcBorders>
            <w:vAlign w:val="center"/>
          </w:tcPr>
          <w:p>
            <w:pPr>
              <w:autoSpaceDE w:val="0"/>
              <w:autoSpaceDN w:val="0"/>
              <w:adjustRightInd w:val="0"/>
              <w:jc w:val="center"/>
              <w:rPr>
                <w:rFonts w:cs="宋体"/>
                <w:color w:val="auto"/>
                <w:sz w:val="21"/>
                <w:szCs w:val="21"/>
                <w:highlight w:val="none"/>
              </w:rPr>
            </w:pPr>
          </w:p>
        </w:tc>
        <w:tc>
          <w:tcPr>
            <w:tcW w:w="731" w:type="dxa"/>
            <w:tcBorders>
              <w:top w:val="single" w:color="auto" w:sz="4" w:space="0"/>
              <w:left w:val="single" w:color="auto" w:sz="4" w:space="0"/>
              <w:bottom w:val="single" w:color="000000" w:sz="4" w:space="0"/>
              <w:right w:val="single" w:color="000000" w:sz="4" w:space="0"/>
            </w:tcBorders>
            <w:vAlign w:val="center"/>
          </w:tcPr>
          <w:p>
            <w:pPr>
              <w:autoSpaceDE w:val="0"/>
              <w:autoSpaceDN w:val="0"/>
              <w:adjustRightInd w:val="0"/>
              <w:jc w:val="center"/>
              <w:rPr>
                <w:rFonts w:cs="宋体"/>
                <w:color w:val="auto"/>
                <w:sz w:val="21"/>
                <w:szCs w:val="21"/>
                <w:highlight w:val="none"/>
              </w:rPr>
            </w:pPr>
          </w:p>
        </w:tc>
        <w:tc>
          <w:tcPr>
            <w:tcW w:w="544" w:type="dxa"/>
            <w:tcBorders>
              <w:top w:val="single" w:color="auto" w:sz="4" w:space="0"/>
              <w:left w:val="single" w:color="000000" w:sz="4" w:space="0"/>
              <w:bottom w:val="single" w:color="000000" w:sz="4" w:space="0"/>
              <w:right w:val="single" w:color="auto" w:sz="4" w:space="0"/>
            </w:tcBorders>
          </w:tcPr>
          <w:p>
            <w:pPr>
              <w:autoSpaceDE w:val="0"/>
              <w:autoSpaceDN w:val="0"/>
              <w:adjustRightInd w:val="0"/>
              <w:jc w:val="center"/>
              <w:rPr>
                <w:rFonts w:cs="宋体"/>
                <w:color w:val="auto"/>
                <w:sz w:val="21"/>
                <w:szCs w:val="21"/>
                <w:highlight w:val="none"/>
              </w:rPr>
            </w:pPr>
          </w:p>
        </w:tc>
        <w:tc>
          <w:tcPr>
            <w:tcW w:w="1890" w:type="dxa"/>
            <w:tcBorders>
              <w:top w:val="single" w:color="auto" w:sz="4" w:space="0"/>
              <w:left w:val="single" w:color="auto" w:sz="4" w:space="0"/>
              <w:bottom w:val="single" w:color="000000" w:sz="4" w:space="0"/>
              <w:right w:val="single" w:color="auto" w:sz="4" w:space="0"/>
            </w:tcBorders>
          </w:tcPr>
          <w:p>
            <w:pPr>
              <w:autoSpaceDE w:val="0"/>
              <w:autoSpaceDN w:val="0"/>
              <w:adjustRightInd w:val="0"/>
              <w:jc w:val="center"/>
              <w:rPr>
                <w:rFonts w:cs="宋体"/>
                <w:color w:val="auto"/>
                <w:sz w:val="21"/>
                <w:szCs w:val="21"/>
                <w:highlight w:val="none"/>
              </w:rPr>
            </w:pPr>
          </w:p>
        </w:tc>
        <w:tc>
          <w:tcPr>
            <w:tcW w:w="465" w:type="dxa"/>
            <w:tcBorders>
              <w:top w:val="single" w:color="auto" w:sz="4" w:space="0"/>
              <w:left w:val="single" w:color="auto" w:sz="4" w:space="0"/>
              <w:bottom w:val="single" w:color="auto" w:sz="4" w:space="0"/>
              <w:right w:val="single" w:color="000000" w:sz="4" w:space="0"/>
            </w:tcBorders>
          </w:tcPr>
          <w:p>
            <w:pPr>
              <w:autoSpaceDE w:val="0"/>
              <w:autoSpaceDN w:val="0"/>
              <w:adjustRightInd w:val="0"/>
              <w:jc w:val="center"/>
              <w:rPr>
                <w:rFonts w:cs="宋体"/>
                <w:color w:val="auto"/>
                <w:sz w:val="21"/>
                <w:szCs w:val="21"/>
                <w:highlight w:val="none"/>
              </w:rPr>
            </w:pPr>
          </w:p>
        </w:tc>
        <w:tc>
          <w:tcPr>
            <w:tcW w:w="720" w:type="dxa"/>
            <w:vMerge w:val="continue"/>
            <w:tcBorders>
              <w:left w:val="single" w:color="000000" w:sz="4" w:space="0"/>
              <w:bottom w:val="single" w:color="auto" w:sz="4" w:space="0"/>
              <w:right w:val="single" w:color="000000" w:sz="4" w:space="0"/>
            </w:tcBorders>
          </w:tcPr>
          <w:p>
            <w:pPr>
              <w:autoSpaceDE w:val="0"/>
              <w:autoSpaceDN w:val="0"/>
              <w:adjustRightInd w:val="0"/>
              <w:jc w:val="center"/>
              <w:rPr>
                <w:rFonts w:cs="宋体"/>
                <w:color w:val="auto"/>
                <w:sz w:val="21"/>
                <w:szCs w:val="21"/>
                <w:highlight w:val="none"/>
              </w:rPr>
            </w:pPr>
          </w:p>
        </w:tc>
        <w:tc>
          <w:tcPr>
            <w:tcW w:w="780" w:type="dxa"/>
            <w:vMerge w:val="continue"/>
            <w:tcBorders>
              <w:left w:val="single" w:color="000000" w:sz="4" w:space="0"/>
              <w:bottom w:val="single" w:color="000000" w:sz="4" w:space="0"/>
              <w:right w:val="single" w:color="000000" w:sz="4" w:space="0"/>
            </w:tcBorders>
            <w:vAlign w:val="center"/>
          </w:tcPr>
          <w:p>
            <w:pPr>
              <w:autoSpaceDE w:val="0"/>
              <w:autoSpaceDN w:val="0"/>
              <w:adjustRightInd w:val="0"/>
              <w:jc w:val="center"/>
              <w:rPr>
                <w:rFonts w:cs="宋体"/>
                <w:color w:val="auto"/>
                <w:sz w:val="21"/>
                <w:szCs w:val="21"/>
                <w:highlight w:val="none"/>
              </w:rPr>
            </w:pPr>
          </w:p>
        </w:tc>
      </w:tr>
      <w:tr>
        <w:tblPrEx>
          <w:tblCellMar>
            <w:top w:w="0" w:type="dxa"/>
            <w:left w:w="108" w:type="dxa"/>
            <w:bottom w:w="0" w:type="dxa"/>
            <w:right w:w="108" w:type="dxa"/>
          </w:tblCellMar>
        </w:tblPrEx>
        <w:trPr>
          <w:trHeight w:val="915" w:hRule="atLeast"/>
          <w:jc w:val="center"/>
        </w:trPr>
        <w:tc>
          <w:tcPr>
            <w:tcW w:w="853" w:type="dxa"/>
            <w:vMerge w:val="restart"/>
            <w:tcBorders>
              <w:top w:val="single" w:color="000000" w:sz="4" w:space="0"/>
              <w:left w:val="single" w:color="000000" w:sz="4" w:space="0"/>
              <w:right w:val="single" w:color="000000" w:sz="4" w:space="0"/>
            </w:tcBorders>
            <w:vAlign w:val="center"/>
          </w:tcPr>
          <w:p>
            <w:pPr>
              <w:autoSpaceDE w:val="0"/>
              <w:autoSpaceDN w:val="0"/>
              <w:spacing w:before="3"/>
              <w:jc w:val="center"/>
              <w:rPr>
                <w:rFonts w:cs="宋体"/>
                <w:color w:val="auto"/>
                <w:sz w:val="21"/>
                <w:szCs w:val="21"/>
                <w:highlight w:val="none"/>
              </w:rPr>
            </w:pPr>
            <w:r>
              <w:rPr>
                <w:rFonts w:hint="eastAsia" w:cs="宋体"/>
                <w:color w:val="auto"/>
                <w:sz w:val="21"/>
                <w:szCs w:val="21"/>
                <w:highlight w:val="none"/>
              </w:rPr>
              <w:t>2</w:t>
            </w:r>
          </w:p>
        </w:tc>
        <w:tc>
          <w:tcPr>
            <w:tcW w:w="3320" w:type="dxa"/>
            <w:vMerge w:val="restart"/>
            <w:tcBorders>
              <w:top w:val="single" w:color="000000" w:sz="4" w:space="0"/>
              <w:left w:val="single" w:color="000000" w:sz="4" w:space="0"/>
              <w:right w:val="single" w:color="000000" w:sz="4" w:space="0"/>
            </w:tcBorders>
          </w:tcPr>
          <w:p>
            <w:pPr>
              <w:autoSpaceDE w:val="0"/>
              <w:autoSpaceDN w:val="0"/>
              <w:spacing w:before="3"/>
              <w:jc w:val="left"/>
              <w:rPr>
                <w:rFonts w:cs="宋体"/>
                <w:color w:val="auto"/>
                <w:sz w:val="21"/>
                <w:szCs w:val="21"/>
                <w:highlight w:val="none"/>
              </w:rPr>
            </w:pPr>
          </w:p>
        </w:tc>
        <w:tc>
          <w:tcPr>
            <w:tcW w:w="679" w:type="dxa"/>
            <w:tcBorders>
              <w:top w:val="single" w:color="auto" w:sz="4" w:space="0"/>
              <w:left w:val="single" w:color="000000" w:sz="4" w:space="0"/>
              <w:bottom w:val="single" w:color="auto" w:sz="4" w:space="0"/>
              <w:right w:val="single" w:color="auto" w:sz="4" w:space="0"/>
            </w:tcBorders>
            <w:vAlign w:val="center"/>
          </w:tcPr>
          <w:p>
            <w:pPr>
              <w:autoSpaceDE w:val="0"/>
              <w:autoSpaceDN w:val="0"/>
              <w:adjustRightInd w:val="0"/>
              <w:jc w:val="center"/>
              <w:rPr>
                <w:rFonts w:cs="宋体"/>
                <w:color w:val="auto"/>
                <w:sz w:val="21"/>
                <w:szCs w:val="21"/>
                <w:highlight w:val="none"/>
              </w:rPr>
            </w:pPr>
          </w:p>
        </w:tc>
        <w:tc>
          <w:tcPr>
            <w:tcW w:w="279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cs="宋体"/>
                <w:color w:val="auto"/>
                <w:sz w:val="21"/>
                <w:szCs w:val="21"/>
                <w:highlight w:val="none"/>
              </w:rPr>
            </w:pPr>
          </w:p>
        </w:tc>
        <w:tc>
          <w:tcPr>
            <w:tcW w:w="629" w:type="dxa"/>
            <w:tcBorders>
              <w:top w:val="single" w:color="auto" w:sz="4" w:space="0"/>
              <w:left w:val="single" w:color="auto" w:sz="4" w:space="0"/>
              <w:bottom w:val="single" w:color="auto" w:sz="4" w:space="0"/>
              <w:right w:val="single" w:color="000000" w:sz="4" w:space="0"/>
            </w:tcBorders>
            <w:vAlign w:val="center"/>
          </w:tcPr>
          <w:p>
            <w:pPr>
              <w:autoSpaceDE w:val="0"/>
              <w:autoSpaceDN w:val="0"/>
              <w:adjustRightInd w:val="0"/>
              <w:jc w:val="center"/>
              <w:rPr>
                <w:rFonts w:cs="宋体"/>
                <w:color w:val="auto"/>
                <w:sz w:val="21"/>
                <w:szCs w:val="21"/>
                <w:highlight w:val="none"/>
              </w:rPr>
            </w:pPr>
          </w:p>
        </w:tc>
        <w:tc>
          <w:tcPr>
            <w:tcW w:w="601" w:type="dxa"/>
            <w:tcBorders>
              <w:top w:val="single" w:color="000000" w:sz="4" w:space="0"/>
              <w:left w:val="single" w:color="000000" w:sz="4" w:space="0"/>
              <w:bottom w:val="single" w:color="auto" w:sz="4" w:space="0"/>
              <w:right w:val="single" w:color="auto" w:sz="4" w:space="0"/>
            </w:tcBorders>
            <w:vAlign w:val="center"/>
          </w:tcPr>
          <w:p>
            <w:pPr>
              <w:autoSpaceDE w:val="0"/>
              <w:autoSpaceDN w:val="0"/>
              <w:adjustRightInd w:val="0"/>
              <w:jc w:val="center"/>
              <w:rPr>
                <w:rFonts w:cs="宋体"/>
                <w:color w:val="auto"/>
                <w:sz w:val="21"/>
                <w:szCs w:val="21"/>
                <w:highlight w:val="none"/>
              </w:rPr>
            </w:pPr>
          </w:p>
        </w:tc>
        <w:tc>
          <w:tcPr>
            <w:tcW w:w="750" w:type="dxa"/>
            <w:tcBorders>
              <w:top w:val="single" w:color="000000" w:sz="4" w:space="0"/>
              <w:left w:val="single" w:color="auto" w:sz="4" w:space="0"/>
              <w:bottom w:val="single" w:color="auto" w:sz="4" w:space="0"/>
              <w:right w:val="single" w:color="auto" w:sz="4" w:space="0"/>
            </w:tcBorders>
            <w:vAlign w:val="center"/>
          </w:tcPr>
          <w:p>
            <w:pPr>
              <w:autoSpaceDE w:val="0"/>
              <w:autoSpaceDN w:val="0"/>
              <w:adjustRightInd w:val="0"/>
              <w:jc w:val="center"/>
              <w:rPr>
                <w:rFonts w:cs="宋体"/>
                <w:color w:val="auto"/>
                <w:sz w:val="21"/>
                <w:szCs w:val="21"/>
                <w:highlight w:val="none"/>
              </w:rPr>
            </w:pPr>
          </w:p>
        </w:tc>
        <w:tc>
          <w:tcPr>
            <w:tcW w:w="731" w:type="dxa"/>
            <w:tcBorders>
              <w:top w:val="single" w:color="000000" w:sz="4" w:space="0"/>
              <w:left w:val="single" w:color="auto" w:sz="4" w:space="0"/>
              <w:bottom w:val="single" w:color="auto" w:sz="4" w:space="0"/>
              <w:right w:val="single" w:color="000000" w:sz="4" w:space="0"/>
            </w:tcBorders>
            <w:vAlign w:val="center"/>
          </w:tcPr>
          <w:p>
            <w:pPr>
              <w:autoSpaceDE w:val="0"/>
              <w:autoSpaceDN w:val="0"/>
              <w:adjustRightInd w:val="0"/>
              <w:jc w:val="center"/>
              <w:rPr>
                <w:rFonts w:cs="宋体"/>
                <w:color w:val="auto"/>
                <w:sz w:val="21"/>
                <w:szCs w:val="21"/>
                <w:highlight w:val="none"/>
              </w:rPr>
            </w:pPr>
          </w:p>
        </w:tc>
        <w:tc>
          <w:tcPr>
            <w:tcW w:w="544" w:type="dxa"/>
            <w:tcBorders>
              <w:top w:val="single" w:color="000000" w:sz="4" w:space="0"/>
              <w:left w:val="single" w:color="000000" w:sz="4" w:space="0"/>
              <w:bottom w:val="single" w:color="auto" w:sz="4" w:space="0"/>
              <w:right w:val="single" w:color="auto" w:sz="4" w:space="0"/>
            </w:tcBorders>
          </w:tcPr>
          <w:p>
            <w:pPr>
              <w:autoSpaceDE w:val="0"/>
              <w:autoSpaceDN w:val="0"/>
              <w:adjustRightInd w:val="0"/>
              <w:jc w:val="center"/>
              <w:rPr>
                <w:rFonts w:cs="宋体"/>
                <w:color w:val="auto"/>
                <w:sz w:val="21"/>
                <w:szCs w:val="21"/>
                <w:highlight w:val="none"/>
              </w:rPr>
            </w:pPr>
          </w:p>
        </w:tc>
        <w:tc>
          <w:tcPr>
            <w:tcW w:w="1890" w:type="dxa"/>
            <w:tcBorders>
              <w:top w:val="single" w:color="000000" w:sz="4" w:space="0"/>
              <w:left w:val="single" w:color="auto" w:sz="4" w:space="0"/>
              <w:bottom w:val="single" w:color="auto" w:sz="4" w:space="0"/>
              <w:right w:val="single" w:color="auto" w:sz="4" w:space="0"/>
            </w:tcBorders>
          </w:tcPr>
          <w:p>
            <w:pPr>
              <w:autoSpaceDE w:val="0"/>
              <w:autoSpaceDN w:val="0"/>
              <w:adjustRightInd w:val="0"/>
              <w:jc w:val="center"/>
              <w:rPr>
                <w:rFonts w:cs="宋体"/>
                <w:color w:val="auto"/>
                <w:sz w:val="21"/>
                <w:szCs w:val="21"/>
                <w:highlight w:val="none"/>
              </w:rPr>
            </w:pPr>
          </w:p>
        </w:tc>
        <w:tc>
          <w:tcPr>
            <w:tcW w:w="465" w:type="dxa"/>
            <w:tcBorders>
              <w:top w:val="single" w:color="000000" w:sz="4" w:space="0"/>
              <w:left w:val="single" w:color="auto" w:sz="4" w:space="0"/>
              <w:bottom w:val="single" w:color="auto" w:sz="4" w:space="0"/>
              <w:right w:val="single" w:color="auto" w:sz="4" w:space="0"/>
            </w:tcBorders>
          </w:tcPr>
          <w:p>
            <w:pPr>
              <w:autoSpaceDE w:val="0"/>
              <w:autoSpaceDN w:val="0"/>
              <w:adjustRightInd w:val="0"/>
              <w:jc w:val="center"/>
              <w:rPr>
                <w:rFonts w:cs="宋体"/>
                <w:color w:val="auto"/>
                <w:sz w:val="21"/>
                <w:szCs w:val="21"/>
                <w:highlight w:val="none"/>
              </w:rPr>
            </w:pPr>
          </w:p>
        </w:tc>
        <w:tc>
          <w:tcPr>
            <w:tcW w:w="720" w:type="dxa"/>
            <w:vMerge w:val="restart"/>
            <w:tcBorders>
              <w:top w:val="single" w:color="000000" w:sz="4" w:space="0"/>
              <w:left w:val="single" w:color="auto" w:sz="4" w:space="0"/>
              <w:right w:val="single" w:color="000000" w:sz="4" w:space="0"/>
            </w:tcBorders>
          </w:tcPr>
          <w:p>
            <w:pPr>
              <w:autoSpaceDE w:val="0"/>
              <w:autoSpaceDN w:val="0"/>
              <w:adjustRightInd w:val="0"/>
              <w:jc w:val="center"/>
              <w:rPr>
                <w:rFonts w:cs="宋体"/>
                <w:color w:val="auto"/>
                <w:sz w:val="21"/>
                <w:szCs w:val="21"/>
                <w:highlight w:val="none"/>
              </w:rPr>
            </w:pPr>
          </w:p>
        </w:tc>
        <w:tc>
          <w:tcPr>
            <w:tcW w:w="780" w:type="dxa"/>
            <w:vMerge w:val="restart"/>
            <w:tcBorders>
              <w:top w:val="single" w:color="000000" w:sz="4" w:space="0"/>
              <w:left w:val="single" w:color="000000" w:sz="4" w:space="0"/>
              <w:right w:val="single" w:color="000000" w:sz="4" w:space="0"/>
            </w:tcBorders>
            <w:vAlign w:val="center"/>
          </w:tcPr>
          <w:p>
            <w:pPr>
              <w:autoSpaceDE w:val="0"/>
              <w:autoSpaceDN w:val="0"/>
              <w:adjustRightInd w:val="0"/>
              <w:jc w:val="center"/>
              <w:rPr>
                <w:rFonts w:cs="宋体"/>
                <w:color w:val="auto"/>
                <w:sz w:val="21"/>
                <w:szCs w:val="21"/>
                <w:highlight w:val="none"/>
              </w:rPr>
            </w:pPr>
          </w:p>
        </w:tc>
      </w:tr>
      <w:tr>
        <w:tblPrEx>
          <w:tblCellMar>
            <w:top w:w="0" w:type="dxa"/>
            <w:left w:w="108" w:type="dxa"/>
            <w:bottom w:w="0" w:type="dxa"/>
            <w:right w:w="108" w:type="dxa"/>
          </w:tblCellMar>
        </w:tblPrEx>
        <w:trPr>
          <w:trHeight w:val="675" w:hRule="atLeast"/>
          <w:jc w:val="center"/>
        </w:trPr>
        <w:tc>
          <w:tcPr>
            <w:tcW w:w="853" w:type="dxa"/>
            <w:vMerge w:val="continue"/>
            <w:tcBorders>
              <w:left w:val="single" w:color="000000" w:sz="4" w:space="0"/>
              <w:bottom w:val="single" w:color="000000" w:sz="4" w:space="0"/>
              <w:right w:val="single" w:color="000000" w:sz="4" w:space="0"/>
            </w:tcBorders>
          </w:tcPr>
          <w:p>
            <w:pPr>
              <w:autoSpaceDE w:val="0"/>
              <w:autoSpaceDN w:val="0"/>
              <w:spacing w:before="3"/>
              <w:jc w:val="left"/>
              <w:rPr>
                <w:rFonts w:cs="宋体"/>
                <w:color w:val="auto"/>
                <w:sz w:val="21"/>
                <w:szCs w:val="21"/>
                <w:highlight w:val="none"/>
              </w:rPr>
            </w:pPr>
          </w:p>
        </w:tc>
        <w:tc>
          <w:tcPr>
            <w:tcW w:w="3320" w:type="dxa"/>
            <w:vMerge w:val="continue"/>
            <w:tcBorders>
              <w:left w:val="single" w:color="000000" w:sz="4" w:space="0"/>
              <w:bottom w:val="single" w:color="000000" w:sz="4" w:space="0"/>
              <w:right w:val="single" w:color="000000" w:sz="4" w:space="0"/>
            </w:tcBorders>
          </w:tcPr>
          <w:p>
            <w:pPr>
              <w:autoSpaceDE w:val="0"/>
              <w:autoSpaceDN w:val="0"/>
              <w:spacing w:before="3"/>
              <w:jc w:val="left"/>
              <w:rPr>
                <w:rFonts w:cs="宋体"/>
                <w:color w:val="auto"/>
                <w:sz w:val="21"/>
                <w:szCs w:val="21"/>
                <w:highlight w:val="none"/>
              </w:rPr>
            </w:pPr>
          </w:p>
        </w:tc>
        <w:tc>
          <w:tcPr>
            <w:tcW w:w="679" w:type="dxa"/>
            <w:tcBorders>
              <w:top w:val="single" w:color="auto" w:sz="4" w:space="0"/>
              <w:left w:val="single" w:color="000000" w:sz="4" w:space="0"/>
              <w:bottom w:val="single" w:color="000000" w:sz="4" w:space="0"/>
              <w:right w:val="single" w:color="auto" w:sz="4" w:space="0"/>
            </w:tcBorders>
            <w:vAlign w:val="center"/>
          </w:tcPr>
          <w:p>
            <w:pPr>
              <w:autoSpaceDE w:val="0"/>
              <w:autoSpaceDN w:val="0"/>
              <w:adjustRightInd w:val="0"/>
              <w:jc w:val="center"/>
              <w:rPr>
                <w:rFonts w:cs="宋体"/>
                <w:color w:val="auto"/>
                <w:sz w:val="21"/>
                <w:szCs w:val="21"/>
                <w:highlight w:val="none"/>
              </w:rPr>
            </w:pPr>
          </w:p>
        </w:tc>
        <w:tc>
          <w:tcPr>
            <w:tcW w:w="2796" w:type="dxa"/>
            <w:tcBorders>
              <w:top w:val="single" w:color="auto" w:sz="4" w:space="0"/>
              <w:left w:val="single" w:color="auto" w:sz="4" w:space="0"/>
              <w:bottom w:val="single" w:color="000000" w:sz="4" w:space="0"/>
              <w:right w:val="single" w:color="auto" w:sz="4" w:space="0"/>
            </w:tcBorders>
            <w:vAlign w:val="center"/>
          </w:tcPr>
          <w:p>
            <w:pPr>
              <w:autoSpaceDE w:val="0"/>
              <w:autoSpaceDN w:val="0"/>
              <w:adjustRightInd w:val="0"/>
              <w:jc w:val="center"/>
              <w:rPr>
                <w:rFonts w:cs="宋体"/>
                <w:color w:val="auto"/>
                <w:sz w:val="21"/>
                <w:szCs w:val="21"/>
                <w:highlight w:val="none"/>
              </w:rPr>
            </w:pPr>
          </w:p>
        </w:tc>
        <w:tc>
          <w:tcPr>
            <w:tcW w:w="629" w:type="dxa"/>
            <w:tcBorders>
              <w:top w:val="single" w:color="auto" w:sz="4" w:space="0"/>
              <w:left w:val="single" w:color="auto" w:sz="4" w:space="0"/>
              <w:bottom w:val="single" w:color="000000" w:sz="4" w:space="0"/>
              <w:right w:val="single" w:color="000000" w:sz="4" w:space="0"/>
            </w:tcBorders>
            <w:vAlign w:val="center"/>
          </w:tcPr>
          <w:p>
            <w:pPr>
              <w:autoSpaceDE w:val="0"/>
              <w:autoSpaceDN w:val="0"/>
              <w:adjustRightInd w:val="0"/>
              <w:jc w:val="center"/>
              <w:rPr>
                <w:rFonts w:cs="宋体"/>
                <w:color w:val="auto"/>
                <w:sz w:val="21"/>
                <w:szCs w:val="21"/>
                <w:highlight w:val="none"/>
              </w:rPr>
            </w:pPr>
          </w:p>
        </w:tc>
        <w:tc>
          <w:tcPr>
            <w:tcW w:w="601" w:type="dxa"/>
            <w:tcBorders>
              <w:top w:val="single" w:color="auto" w:sz="4" w:space="0"/>
              <w:left w:val="single" w:color="000000" w:sz="4" w:space="0"/>
              <w:bottom w:val="single" w:color="000000" w:sz="4" w:space="0"/>
              <w:right w:val="single" w:color="auto" w:sz="4" w:space="0"/>
            </w:tcBorders>
            <w:vAlign w:val="center"/>
          </w:tcPr>
          <w:p>
            <w:pPr>
              <w:autoSpaceDE w:val="0"/>
              <w:autoSpaceDN w:val="0"/>
              <w:adjustRightInd w:val="0"/>
              <w:jc w:val="center"/>
              <w:rPr>
                <w:rFonts w:cs="宋体"/>
                <w:color w:val="auto"/>
                <w:sz w:val="21"/>
                <w:szCs w:val="21"/>
                <w:highlight w:val="none"/>
              </w:rPr>
            </w:pPr>
          </w:p>
        </w:tc>
        <w:tc>
          <w:tcPr>
            <w:tcW w:w="750" w:type="dxa"/>
            <w:tcBorders>
              <w:top w:val="single" w:color="auto" w:sz="4" w:space="0"/>
              <w:left w:val="single" w:color="auto" w:sz="4" w:space="0"/>
              <w:bottom w:val="single" w:color="000000" w:sz="4" w:space="0"/>
              <w:right w:val="single" w:color="auto" w:sz="4" w:space="0"/>
            </w:tcBorders>
            <w:vAlign w:val="center"/>
          </w:tcPr>
          <w:p>
            <w:pPr>
              <w:autoSpaceDE w:val="0"/>
              <w:autoSpaceDN w:val="0"/>
              <w:adjustRightInd w:val="0"/>
              <w:jc w:val="center"/>
              <w:rPr>
                <w:rFonts w:cs="宋体"/>
                <w:color w:val="auto"/>
                <w:sz w:val="21"/>
                <w:szCs w:val="21"/>
                <w:highlight w:val="none"/>
              </w:rPr>
            </w:pPr>
          </w:p>
        </w:tc>
        <w:tc>
          <w:tcPr>
            <w:tcW w:w="731" w:type="dxa"/>
            <w:tcBorders>
              <w:top w:val="single" w:color="auto" w:sz="4" w:space="0"/>
              <w:left w:val="single" w:color="auto" w:sz="4" w:space="0"/>
              <w:bottom w:val="single" w:color="000000" w:sz="4" w:space="0"/>
              <w:right w:val="single" w:color="000000" w:sz="4" w:space="0"/>
            </w:tcBorders>
            <w:vAlign w:val="center"/>
          </w:tcPr>
          <w:p>
            <w:pPr>
              <w:autoSpaceDE w:val="0"/>
              <w:autoSpaceDN w:val="0"/>
              <w:adjustRightInd w:val="0"/>
              <w:jc w:val="center"/>
              <w:rPr>
                <w:rFonts w:cs="宋体"/>
                <w:color w:val="auto"/>
                <w:sz w:val="21"/>
                <w:szCs w:val="21"/>
                <w:highlight w:val="none"/>
              </w:rPr>
            </w:pPr>
          </w:p>
        </w:tc>
        <w:tc>
          <w:tcPr>
            <w:tcW w:w="544" w:type="dxa"/>
            <w:tcBorders>
              <w:top w:val="single" w:color="auto" w:sz="4" w:space="0"/>
              <w:left w:val="single" w:color="000000" w:sz="4" w:space="0"/>
              <w:bottom w:val="single" w:color="000000" w:sz="4" w:space="0"/>
              <w:right w:val="single" w:color="auto" w:sz="4" w:space="0"/>
            </w:tcBorders>
          </w:tcPr>
          <w:p>
            <w:pPr>
              <w:autoSpaceDE w:val="0"/>
              <w:autoSpaceDN w:val="0"/>
              <w:adjustRightInd w:val="0"/>
              <w:jc w:val="center"/>
              <w:rPr>
                <w:rFonts w:cs="宋体"/>
                <w:color w:val="auto"/>
                <w:sz w:val="21"/>
                <w:szCs w:val="21"/>
                <w:highlight w:val="none"/>
              </w:rPr>
            </w:pPr>
          </w:p>
        </w:tc>
        <w:tc>
          <w:tcPr>
            <w:tcW w:w="1890" w:type="dxa"/>
            <w:tcBorders>
              <w:top w:val="single" w:color="auto" w:sz="4" w:space="0"/>
              <w:left w:val="single" w:color="auto" w:sz="4" w:space="0"/>
              <w:bottom w:val="single" w:color="000000" w:sz="4" w:space="0"/>
              <w:right w:val="single" w:color="auto" w:sz="4" w:space="0"/>
            </w:tcBorders>
          </w:tcPr>
          <w:p>
            <w:pPr>
              <w:autoSpaceDE w:val="0"/>
              <w:autoSpaceDN w:val="0"/>
              <w:adjustRightInd w:val="0"/>
              <w:jc w:val="center"/>
              <w:rPr>
                <w:rFonts w:cs="宋体"/>
                <w:color w:val="auto"/>
                <w:sz w:val="21"/>
                <w:szCs w:val="21"/>
                <w:highlight w:val="none"/>
              </w:rPr>
            </w:pPr>
          </w:p>
        </w:tc>
        <w:tc>
          <w:tcPr>
            <w:tcW w:w="465" w:type="dxa"/>
            <w:tcBorders>
              <w:top w:val="single" w:color="auto" w:sz="4" w:space="0"/>
              <w:left w:val="single" w:color="auto" w:sz="4" w:space="0"/>
              <w:bottom w:val="single" w:color="000000" w:sz="4" w:space="0"/>
              <w:right w:val="single" w:color="auto" w:sz="4" w:space="0"/>
            </w:tcBorders>
          </w:tcPr>
          <w:p>
            <w:pPr>
              <w:autoSpaceDE w:val="0"/>
              <w:autoSpaceDN w:val="0"/>
              <w:adjustRightInd w:val="0"/>
              <w:jc w:val="center"/>
              <w:rPr>
                <w:rFonts w:cs="宋体"/>
                <w:color w:val="auto"/>
                <w:sz w:val="21"/>
                <w:szCs w:val="21"/>
                <w:highlight w:val="none"/>
              </w:rPr>
            </w:pPr>
          </w:p>
        </w:tc>
        <w:tc>
          <w:tcPr>
            <w:tcW w:w="720" w:type="dxa"/>
            <w:vMerge w:val="continue"/>
            <w:tcBorders>
              <w:left w:val="single" w:color="auto" w:sz="4" w:space="0"/>
              <w:bottom w:val="single" w:color="000000" w:sz="4" w:space="0"/>
              <w:right w:val="single" w:color="000000" w:sz="4" w:space="0"/>
            </w:tcBorders>
          </w:tcPr>
          <w:p>
            <w:pPr>
              <w:autoSpaceDE w:val="0"/>
              <w:autoSpaceDN w:val="0"/>
              <w:adjustRightInd w:val="0"/>
              <w:jc w:val="center"/>
              <w:rPr>
                <w:rFonts w:cs="宋体"/>
                <w:color w:val="auto"/>
                <w:sz w:val="21"/>
                <w:szCs w:val="21"/>
                <w:highlight w:val="none"/>
              </w:rPr>
            </w:pPr>
          </w:p>
        </w:tc>
        <w:tc>
          <w:tcPr>
            <w:tcW w:w="780" w:type="dxa"/>
            <w:vMerge w:val="continue"/>
            <w:tcBorders>
              <w:left w:val="single" w:color="000000" w:sz="4" w:space="0"/>
              <w:bottom w:val="single" w:color="000000" w:sz="4" w:space="0"/>
              <w:right w:val="single" w:color="000000" w:sz="4" w:space="0"/>
            </w:tcBorders>
            <w:vAlign w:val="center"/>
          </w:tcPr>
          <w:p>
            <w:pPr>
              <w:autoSpaceDE w:val="0"/>
              <w:autoSpaceDN w:val="0"/>
              <w:adjustRightInd w:val="0"/>
              <w:jc w:val="center"/>
              <w:rPr>
                <w:rFonts w:cs="宋体"/>
                <w:color w:val="auto"/>
                <w:sz w:val="21"/>
                <w:szCs w:val="21"/>
                <w:highlight w:val="none"/>
              </w:rPr>
            </w:pPr>
          </w:p>
        </w:tc>
      </w:tr>
      <w:tr>
        <w:tblPrEx>
          <w:tblCellMar>
            <w:top w:w="0" w:type="dxa"/>
            <w:left w:w="108" w:type="dxa"/>
            <w:bottom w:w="0" w:type="dxa"/>
            <w:right w:w="108" w:type="dxa"/>
          </w:tblCellMar>
        </w:tblPrEx>
        <w:trPr>
          <w:trHeight w:val="709" w:hRule="atLeast"/>
          <w:jc w:val="center"/>
        </w:trPr>
        <w:tc>
          <w:tcPr>
            <w:tcW w:w="14758" w:type="dxa"/>
            <w:gridSpan w:val="13"/>
            <w:tcBorders>
              <w:top w:val="single" w:color="000000" w:sz="4" w:space="0"/>
              <w:left w:val="single" w:color="000000" w:sz="4" w:space="0"/>
              <w:bottom w:val="single" w:color="000000" w:sz="4" w:space="0"/>
              <w:right w:val="single" w:color="auto" w:sz="4" w:space="0"/>
            </w:tcBorders>
          </w:tcPr>
          <w:p>
            <w:pPr>
              <w:autoSpaceDE w:val="0"/>
              <w:autoSpaceDN w:val="0"/>
              <w:adjustRightInd w:val="0"/>
              <w:jc w:val="left"/>
              <w:rPr>
                <w:rFonts w:cs="宋体"/>
                <w:color w:val="auto"/>
                <w:sz w:val="21"/>
                <w:szCs w:val="21"/>
                <w:highlight w:val="none"/>
              </w:rPr>
            </w:pPr>
            <w:r>
              <w:rPr>
                <w:rFonts w:hint="eastAsia" w:cs="宋体"/>
                <w:color w:val="auto"/>
                <w:sz w:val="21"/>
                <w:szCs w:val="21"/>
                <w:highlight w:val="none"/>
              </w:rPr>
              <w:t>已标价工程清单XML电子文档记录的招标工程量清单的XML格式文件的软硬件信息，无需在开标时公布和比对。</w:t>
            </w:r>
          </w:p>
        </w:tc>
      </w:tr>
    </w:tbl>
    <w:p>
      <w:pPr>
        <w:rPr>
          <w:rFonts w:ascii="黑体" w:eastAsia="黑体" w:cs="黑体"/>
          <w:color w:val="auto"/>
          <w:kern w:val="1"/>
          <w:sz w:val="21"/>
          <w:szCs w:val="21"/>
          <w:highlight w:val="none"/>
        </w:rPr>
      </w:pPr>
    </w:p>
    <w:p>
      <w:pPr>
        <w:pStyle w:val="59"/>
        <w:rPr>
          <w:color w:val="auto"/>
          <w:highlight w:val="none"/>
        </w:rPr>
      </w:pPr>
      <w:r>
        <w:rPr>
          <w:rFonts w:hint="eastAsia" w:cs="宋体"/>
          <w:color w:val="auto"/>
          <w:szCs w:val="21"/>
          <w:highlight w:val="none"/>
        </w:rPr>
        <w:t xml:space="preserve">招标人电子盖章（或签字）：               </w:t>
      </w:r>
      <w:r>
        <w:rPr>
          <w:rFonts w:cs="宋体"/>
          <w:color w:val="auto"/>
          <w:szCs w:val="21"/>
          <w:highlight w:val="none"/>
        </w:rPr>
        <w:t xml:space="preserve"> </w:t>
      </w:r>
      <w:r>
        <w:rPr>
          <w:rFonts w:hint="eastAsia" w:cs="宋体"/>
          <w:color w:val="auto"/>
          <w:szCs w:val="21"/>
          <w:highlight w:val="none"/>
        </w:rPr>
        <w:t>招标代理机构电子盖章（或签字）：</w:t>
      </w:r>
      <w:r>
        <w:rPr>
          <w:rFonts w:cs="宋体"/>
          <w:color w:val="auto"/>
          <w:szCs w:val="21"/>
          <w:highlight w:val="none"/>
        </w:rPr>
        <w:t xml:space="preserve"> </w:t>
      </w:r>
      <w:r>
        <w:rPr>
          <w:rFonts w:hint="eastAsia" w:cs="宋体"/>
          <w:color w:val="auto"/>
          <w:szCs w:val="21"/>
          <w:highlight w:val="none"/>
        </w:rPr>
        <w:t xml:space="preserve">                 公证处电子盖章（或签字）：</w:t>
      </w:r>
    </w:p>
    <w:p>
      <w:pPr>
        <w:pStyle w:val="59"/>
        <w:rPr>
          <w:color w:val="auto"/>
          <w:highlight w:val="none"/>
        </w:rPr>
      </w:pPr>
    </w:p>
    <w:p>
      <w:pPr>
        <w:pStyle w:val="59"/>
        <w:rPr>
          <w:color w:val="auto"/>
          <w:highlight w:val="none"/>
        </w:rPr>
      </w:pPr>
    </w:p>
    <w:p>
      <w:pPr>
        <w:pStyle w:val="59"/>
        <w:rPr>
          <w:color w:val="auto"/>
          <w:highlight w:val="none"/>
        </w:rPr>
      </w:pPr>
    </w:p>
    <w:p>
      <w:pPr>
        <w:adjustRightInd w:val="0"/>
        <w:snapToGrid w:val="0"/>
        <w:spacing w:beforeLines="100" w:line="360" w:lineRule="auto"/>
        <w:ind w:firstLine="1600" w:firstLineChars="500"/>
        <w:textAlignment w:val="baseline"/>
        <w:rPr>
          <w:rFonts w:ascii="黑体" w:eastAsia="黑体" w:cs="宋体"/>
          <w:color w:val="auto"/>
          <w:kern w:val="2"/>
          <w:sz w:val="32"/>
          <w:szCs w:val="32"/>
          <w:highlight w:val="none"/>
        </w:rPr>
      </w:pPr>
      <w:r>
        <w:rPr>
          <w:rFonts w:hint="eastAsia" w:ascii="黑体" w:eastAsia="黑体" w:cs="黑体"/>
          <w:color w:val="auto"/>
          <w:kern w:val="2"/>
          <w:sz w:val="32"/>
          <w:szCs w:val="32"/>
          <w:highlight w:val="none"/>
          <w:u w:val="single"/>
        </w:rPr>
        <w:t xml:space="preserve">                    </w:t>
      </w:r>
      <w:r>
        <w:rPr>
          <w:rFonts w:hint="eastAsia" w:ascii="黑体" w:eastAsia="黑体" w:cs="黑体"/>
          <w:color w:val="auto"/>
          <w:kern w:val="2"/>
          <w:sz w:val="32"/>
          <w:szCs w:val="32"/>
          <w:highlight w:val="none"/>
        </w:rPr>
        <w:t>（项目名称）</w:t>
      </w:r>
      <w:r>
        <w:rPr>
          <w:rFonts w:hint="eastAsia" w:ascii="黑体" w:eastAsia="黑体" w:cs="宋体"/>
          <w:color w:val="auto"/>
          <w:kern w:val="2"/>
          <w:sz w:val="32"/>
          <w:szCs w:val="32"/>
          <w:highlight w:val="none"/>
          <w:u w:val="single"/>
        </w:rPr>
        <w:t xml:space="preserve">    </w:t>
      </w:r>
      <w:r>
        <w:rPr>
          <w:rFonts w:hint="eastAsia" w:ascii="黑体" w:eastAsia="黑体" w:cs="黑体"/>
          <w:color w:val="auto"/>
          <w:kern w:val="2"/>
          <w:sz w:val="32"/>
          <w:szCs w:val="32"/>
          <w:highlight w:val="none"/>
        </w:rPr>
        <w:t>标段施工开标记录表</w:t>
      </w:r>
      <w:r>
        <w:rPr>
          <w:rFonts w:hint="eastAsia" w:ascii="黑体" w:eastAsia="黑体" w:cs="宋体"/>
          <w:color w:val="auto"/>
          <w:kern w:val="2"/>
          <w:sz w:val="32"/>
          <w:szCs w:val="32"/>
          <w:highlight w:val="none"/>
        </w:rPr>
        <w:t>(3)</w:t>
      </w:r>
    </w:p>
    <w:p>
      <w:pPr>
        <w:pStyle w:val="59"/>
        <w:rPr>
          <w:color w:val="auto"/>
          <w:highlight w:val="none"/>
        </w:rPr>
      </w:pPr>
    </w:p>
    <w:tbl>
      <w:tblPr>
        <w:tblStyle w:val="60"/>
        <w:tblW w:w="0" w:type="auto"/>
        <w:jc w:val="center"/>
        <w:tblLayout w:type="fixed"/>
        <w:tblCellMar>
          <w:top w:w="0" w:type="dxa"/>
          <w:left w:w="108" w:type="dxa"/>
          <w:bottom w:w="0" w:type="dxa"/>
          <w:right w:w="108" w:type="dxa"/>
        </w:tblCellMar>
      </w:tblPr>
      <w:tblGrid>
        <w:gridCol w:w="1415"/>
        <w:gridCol w:w="1701"/>
        <w:gridCol w:w="1743"/>
        <w:gridCol w:w="1947"/>
        <w:gridCol w:w="2096"/>
        <w:gridCol w:w="1253"/>
        <w:gridCol w:w="1701"/>
        <w:gridCol w:w="1634"/>
        <w:gridCol w:w="1528"/>
      </w:tblGrid>
      <w:tr>
        <w:tblPrEx>
          <w:tblCellMar>
            <w:top w:w="0" w:type="dxa"/>
            <w:left w:w="108" w:type="dxa"/>
            <w:bottom w:w="0" w:type="dxa"/>
            <w:right w:w="108" w:type="dxa"/>
          </w:tblCellMar>
        </w:tblPrEx>
        <w:trPr>
          <w:trHeight w:val="1229" w:hRule="atLeast"/>
          <w:jc w:val="center"/>
        </w:trPr>
        <w:tc>
          <w:tcPr>
            <w:tcW w:w="1415" w:type="dxa"/>
            <w:tcBorders>
              <w:top w:val="single" w:color="auto" w:sz="4" w:space="0"/>
              <w:left w:val="single" w:color="000000" w:sz="4" w:space="0"/>
              <w:bottom w:val="single" w:color="000000" w:sz="4" w:space="0"/>
              <w:right w:val="single" w:color="000000" w:sz="4" w:space="0"/>
            </w:tcBorders>
            <w:vAlign w:val="center"/>
          </w:tcPr>
          <w:p>
            <w:pPr>
              <w:autoSpaceDE w:val="0"/>
              <w:autoSpaceDN w:val="0"/>
              <w:adjustRightInd w:val="0"/>
              <w:spacing w:line="240" w:lineRule="exact"/>
              <w:jc w:val="center"/>
              <w:rPr>
                <w:rFonts w:cs="宋体"/>
                <w:color w:val="auto"/>
                <w:sz w:val="21"/>
                <w:szCs w:val="21"/>
                <w:highlight w:val="none"/>
              </w:rPr>
            </w:pPr>
            <w:r>
              <w:rPr>
                <w:rFonts w:hint="eastAsia" w:cs="宋体"/>
                <w:color w:val="auto"/>
                <w:sz w:val="21"/>
                <w:szCs w:val="21"/>
                <w:highlight w:val="none"/>
              </w:rPr>
              <w:t>序号</w:t>
            </w:r>
          </w:p>
        </w:tc>
        <w:tc>
          <w:tcPr>
            <w:tcW w:w="1701" w:type="dxa"/>
            <w:tcBorders>
              <w:top w:val="single" w:color="auto" w:sz="4" w:space="0"/>
              <w:left w:val="single" w:color="000000" w:sz="4" w:space="0"/>
              <w:bottom w:val="single" w:color="000000" w:sz="4" w:space="0"/>
              <w:right w:val="single" w:color="000000" w:sz="4" w:space="0"/>
            </w:tcBorders>
            <w:vAlign w:val="center"/>
          </w:tcPr>
          <w:p>
            <w:pPr>
              <w:autoSpaceDE w:val="0"/>
              <w:autoSpaceDN w:val="0"/>
              <w:adjustRightInd w:val="0"/>
              <w:spacing w:line="240" w:lineRule="exact"/>
              <w:jc w:val="center"/>
              <w:rPr>
                <w:rFonts w:cs="宋体"/>
                <w:color w:val="auto"/>
                <w:sz w:val="21"/>
                <w:szCs w:val="21"/>
                <w:highlight w:val="none"/>
              </w:rPr>
            </w:pPr>
            <w:r>
              <w:rPr>
                <w:rFonts w:hint="eastAsia" w:cs="宋体"/>
                <w:color w:val="auto"/>
                <w:sz w:val="21"/>
                <w:szCs w:val="21"/>
                <w:highlight w:val="none"/>
              </w:rPr>
              <w:t>投标人代表号</w:t>
            </w:r>
          </w:p>
        </w:tc>
        <w:tc>
          <w:tcPr>
            <w:tcW w:w="1743" w:type="dxa"/>
            <w:tcBorders>
              <w:top w:val="single" w:color="auto" w:sz="4" w:space="0"/>
              <w:left w:val="single" w:color="000000" w:sz="4" w:space="0"/>
              <w:bottom w:val="single" w:color="000000" w:sz="4" w:space="0"/>
              <w:right w:val="single" w:color="000000" w:sz="4" w:space="0"/>
            </w:tcBorders>
            <w:vAlign w:val="center"/>
          </w:tcPr>
          <w:p>
            <w:pPr>
              <w:adjustRightInd w:val="0"/>
              <w:spacing w:line="240" w:lineRule="exact"/>
              <w:jc w:val="center"/>
              <w:textAlignment w:val="baseline"/>
              <w:rPr>
                <w:rFonts w:cs="宋体"/>
                <w:color w:val="auto"/>
                <w:sz w:val="21"/>
                <w:szCs w:val="21"/>
                <w:highlight w:val="none"/>
              </w:rPr>
            </w:pPr>
            <w:r>
              <w:rPr>
                <w:rFonts w:hint="eastAsia" w:cs="宋体"/>
                <w:color w:val="auto"/>
                <w:sz w:val="21"/>
                <w:szCs w:val="21"/>
                <w:highlight w:val="none"/>
              </w:rPr>
              <w:t>投标人名称</w:t>
            </w:r>
          </w:p>
        </w:tc>
        <w:tc>
          <w:tcPr>
            <w:tcW w:w="1947" w:type="dxa"/>
            <w:tcBorders>
              <w:top w:val="single" w:color="auto" w:sz="4" w:space="0"/>
              <w:left w:val="single" w:color="auto" w:sz="4" w:space="0"/>
              <w:right w:val="single" w:color="auto" w:sz="4" w:space="0"/>
            </w:tcBorders>
            <w:vAlign w:val="center"/>
          </w:tcPr>
          <w:p>
            <w:pPr>
              <w:adjustRightInd w:val="0"/>
              <w:spacing w:line="240" w:lineRule="exact"/>
              <w:jc w:val="center"/>
              <w:textAlignment w:val="baseline"/>
              <w:rPr>
                <w:rFonts w:cs="宋体"/>
                <w:color w:val="auto"/>
                <w:sz w:val="21"/>
                <w:szCs w:val="21"/>
                <w:highlight w:val="none"/>
              </w:rPr>
            </w:pPr>
            <w:r>
              <w:rPr>
                <w:rFonts w:hint="eastAsia" w:cs="宋体"/>
                <w:color w:val="auto"/>
                <w:sz w:val="21"/>
                <w:szCs w:val="21"/>
                <w:highlight w:val="none"/>
              </w:rPr>
              <w:t>加密锁使用人名称</w:t>
            </w:r>
          </w:p>
        </w:tc>
        <w:tc>
          <w:tcPr>
            <w:tcW w:w="2096" w:type="dxa"/>
            <w:tcBorders>
              <w:top w:val="single" w:color="auto" w:sz="4" w:space="0"/>
              <w:left w:val="single" w:color="auto" w:sz="4" w:space="0"/>
              <w:right w:val="single" w:color="auto" w:sz="4" w:space="0"/>
            </w:tcBorders>
            <w:vAlign w:val="center"/>
          </w:tcPr>
          <w:p>
            <w:pPr>
              <w:adjustRightInd w:val="0"/>
              <w:spacing w:line="240" w:lineRule="exact"/>
              <w:jc w:val="center"/>
              <w:textAlignment w:val="baseline"/>
              <w:rPr>
                <w:rFonts w:cs="宋体"/>
                <w:color w:val="auto"/>
                <w:sz w:val="21"/>
                <w:szCs w:val="21"/>
                <w:highlight w:val="none"/>
              </w:rPr>
            </w:pPr>
            <w:r>
              <w:rPr>
                <w:rFonts w:hint="eastAsia" w:cs="宋体"/>
                <w:color w:val="auto"/>
                <w:sz w:val="21"/>
                <w:szCs w:val="21"/>
                <w:highlight w:val="none"/>
              </w:rPr>
              <w:t>统一社会信用代码（身份证号码）</w:t>
            </w:r>
          </w:p>
        </w:tc>
        <w:tc>
          <w:tcPr>
            <w:tcW w:w="1253" w:type="dxa"/>
            <w:tcBorders>
              <w:top w:val="single" w:color="auto" w:sz="4" w:space="0"/>
              <w:left w:val="single" w:color="auto" w:sz="4" w:space="0"/>
              <w:right w:val="single" w:color="auto" w:sz="4" w:space="0"/>
            </w:tcBorders>
            <w:vAlign w:val="center"/>
          </w:tcPr>
          <w:p>
            <w:pPr>
              <w:adjustRightInd w:val="0"/>
              <w:spacing w:line="240" w:lineRule="exact"/>
              <w:jc w:val="center"/>
              <w:textAlignment w:val="baseline"/>
              <w:rPr>
                <w:rFonts w:cs="宋体"/>
                <w:color w:val="auto"/>
                <w:sz w:val="21"/>
                <w:szCs w:val="21"/>
                <w:highlight w:val="none"/>
              </w:rPr>
            </w:pPr>
            <w:r>
              <w:rPr>
                <w:rFonts w:hint="eastAsia" w:cs="宋体"/>
                <w:color w:val="auto"/>
                <w:sz w:val="21"/>
                <w:szCs w:val="21"/>
                <w:highlight w:val="none"/>
              </w:rPr>
              <w:t>软件功能</w:t>
            </w:r>
          </w:p>
        </w:tc>
        <w:tc>
          <w:tcPr>
            <w:tcW w:w="1701" w:type="dxa"/>
            <w:tcBorders>
              <w:top w:val="single" w:color="auto" w:sz="4" w:space="0"/>
              <w:left w:val="single" w:color="auto" w:sz="4" w:space="0"/>
              <w:right w:val="single" w:color="auto" w:sz="4" w:space="0"/>
            </w:tcBorders>
            <w:vAlign w:val="center"/>
          </w:tcPr>
          <w:p>
            <w:pPr>
              <w:adjustRightInd w:val="0"/>
              <w:spacing w:line="240" w:lineRule="exact"/>
              <w:jc w:val="center"/>
              <w:textAlignment w:val="baseline"/>
              <w:rPr>
                <w:rFonts w:cs="宋体"/>
                <w:color w:val="auto"/>
                <w:sz w:val="21"/>
                <w:szCs w:val="21"/>
                <w:highlight w:val="none"/>
              </w:rPr>
            </w:pPr>
            <w:r>
              <w:rPr>
                <w:rFonts w:hint="eastAsia" w:cs="宋体"/>
                <w:color w:val="auto"/>
                <w:sz w:val="21"/>
                <w:szCs w:val="21"/>
                <w:highlight w:val="none"/>
              </w:rPr>
              <w:t>加密锁信息登记或变更时间</w:t>
            </w:r>
          </w:p>
        </w:tc>
        <w:tc>
          <w:tcPr>
            <w:tcW w:w="1634" w:type="dxa"/>
            <w:tcBorders>
              <w:top w:val="single" w:color="auto" w:sz="4" w:space="0"/>
              <w:left w:val="single" w:color="auto" w:sz="4" w:space="0"/>
              <w:bottom w:val="single" w:color="auto" w:sz="4" w:space="0"/>
              <w:right w:val="single" w:color="000000" w:sz="4" w:space="0"/>
            </w:tcBorders>
            <w:vAlign w:val="center"/>
          </w:tcPr>
          <w:p>
            <w:pPr>
              <w:adjustRightInd w:val="0"/>
              <w:spacing w:line="240" w:lineRule="exact"/>
              <w:jc w:val="center"/>
              <w:textAlignment w:val="baseline"/>
              <w:rPr>
                <w:rFonts w:cs="宋体"/>
                <w:color w:val="auto"/>
                <w:sz w:val="21"/>
                <w:szCs w:val="21"/>
                <w:highlight w:val="none"/>
              </w:rPr>
            </w:pPr>
            <w:r>
              <w:rPr>
                <w:rFonts w:hint="eastAsia" w:cs="宋体"/>
                <w:color w:val="auto"/>
                <w:sz w:val="21"/>
                <w:szCs w:val="21"/>
                <w:highlight w:val="none"/>
              </w:rPr>
              <w:t>加密锁序列号</w:t>
            </w:r>
          </w:p>
        </w:tc>
        <w:tc>
          <w:tcPr>
            <w:tcW w:w="1528" w:type="dxa"/>
            <w:tcBorders>
              <w:top w:val="single" w:color="000000" w:sz="4" w:space="0"/>
              <w:left w:val="single" w:color="000000" w:sz="4" w:space="0"/>
              <w:bottom w:val="single" w:color="000000" w:sz="4" w:space="0"/>
              <w:right w:val="single" w:color="000000" w:sz="4" w:space="0"/>
            </w:tcBorders>
            <w:vAlign w:val="center"/>
          </w:tcPr>
          <w:p>
            <w:pPr>
              <w:adjustRightInd w:val="0"/>
              <w:spacing w:line="240" w:lineRule="exact"/>
              <w:jc w:val="center"/>
              <w:textAlignment w:val="baseline"/>
              <w:rPr>
                <w:rFonts w:cs="宋体"/>
                <w:color w:val="auto"/>
                <w:sz w:val="21"/>
                <w:szCs w:val="21"/>
                <w:highlight w:val="none"/>
              </w:rPr>
            </w:pPr>
            <w:r>
              <w:rPr>
                <w:rFonts w:hint="eastAsia" w:cs="宋体"/>
                <w:color w:val="auto"/>
                <w:sz w:val="21"/>
                <w:szCs w:val="21"/>
                <w:highlight w:val="none"/>
              </w:rPr>
              <w:t>备注</w:t>
            </w:r>
          </w:p>
        </w:tc>
      </w:tr>
      <w:tr>
        <w:tblPrEx>
          <w:tblCellMar>
            <w:top w:w="0" w:type="dxa"/>
            <w:left w:w="108" w:type="dxa"/>
            <w:bottom w:w="0" w:type="dxa"/>
            <w:right w:w="108" w:type="dxa"/>
          </w:tblCellMar>
        </w:tblPrEx>
        <w:trPr>
          <w:trHeight w:val="1152" w:hRule="atLeast"/>
          <w:jc w:val="center"/>
        </w:trPr>
        <w:tc>
          <w:tcPr>
            <w:tcW w:w="1415" w:type="dxa"/>
            <w:tcBorders>
              <w:top w:val="single" w:color="000000" w:sz="4" w:space="0"/>
              <w:left w:val="single" w:color="000000" w:sz="4" w:space="0"/>
              <w:bottom w:val="single" w:color="000000" w:sz="4" w:space="0"/>
              <w:right w:val="single" w:color="000000" w:sz="4" w:space="0"/>
            </w:tcBorders>
          </w:tcPr>
          <w:p>
            <w:pPr>
              <w:autoSpaceDE w:val="0"/>
              <w:autoSpaceDN w:val="0"/>
              <w:spacing w:before="3"/>
              <w:jc w:val="left"/>
              <w:rPr>
                <w:rFonts w:cs="宋体"/>
                <w:color w:val="auto"/>
                <w:sz w:val="20"/>
                <w:highlight w:val="none"/>
              </w:rPr>
            </w:pPr>
          </w:p>
        </w:tc>
        <w:tc>
          <w:tcPr>
            <w:tcW w:w="1701" w:type="dxa"/>
            <w:tcBorders>
              <w:top w:val="single" w:color="000000" w:sz="4" w:space="0"/>
              <w:left w:val="single" w:color="000000" w:sz="4" w:space="0"/>
              <w:bottom w:val="single" w:color="000000" w:sz="4" w:space="0"/>
              <w:right w:val="single" w:color="000000" w:sz="4" w:space="0"/>
            </w:tcBorders>
          </w:tcPr>
          <w:p>
            <w:pPr>
              <w:autoSpaceDE w:val="0"/>
              <w:autoSpaceDN w:val="0"/>
              <w:spacing w:before="3"/>
              <w:jc w:val="left"/>
              <w:rPr>
                <w:rFonts w:cs="宋体"/>
                <w:color w:val="auto"/>
                <w:sz w:val="20"/>
                <w:highlight w:val="none"/>
              </w:rPr>
            </w:pPr>
          </w:p>
          <w:p>
            <w:pPr>
              <w:autoSpaceDE w:val="0"/>
              <w:autoSpaceDN w:val="0"/>
              <w:spacing w:before="3"/>
              <w:jc w:val="left"/>
              <w:rPr>
                <w:rFonts w:cs="宋体"/>
                <w:color w:val="auto"/>
                <w:sz w:val="20"/>
                <w:highlight w:val="none"/>
              </w:rPr>
            </w:pPr>
          </w:p>
        </w:tc>
        <w:tc>
          <w:tcPr>
            <w:tcW w:w="1743" w:type="dxa"/>
            <w:tcBorders>
              <w:top w:val="single" w:color="000000" w:sz="4" w:space="0"/>
              <w:left w:val="single" w:color="000000" w:sz="4" w:space="0"/>
              <w:bottom w:val="single" w:color="000000" w:sz="4" w:space="0"/>
              <w:right w:val="single" w:color="000000" w:sz="4" w:space="0"/>
            </w:tcBorders>
          </w:tcPr>
          <w:p>
            <w:pPr>
              <w:autoSpaceDE w:val="0"/>
              <w:autoSpaceDN w:val="0"/>
              <w:ind w:right="184"/>
              <w:jc w:val="right"/>
              <w:rPr>
                <w:rFonts w:cs="宋体"/>
                <w:color w:val="auto"/>
                <w:sz w:val="20"/>
                <w:highlight w:val="none"/>
              </w:rPr>
            </w:pPr>
          </w:p>
        </w:tc>
        <w:tc>
          <w:tcPr>
            <w:tcW w:w="1947" w:type="dxa"/>
            <w:tcBorders>
              <w:top w:val="single" w:color="000000" w:sz="4" w:space="0"/>
              <w:left w:val="single" w:color="auto" w:sz="4" w:space="0"/>
              <w:bottom w:val="single" w:color="000000" w:sz="4" w:space="0"/>
              <w:right w:val="single" w:color="auto" w:sz="4" w:space="0"/>
            </w:tcBorders>
            <w:vAlign w:val="center"/>
          </w:tcPr>
          <w:p>
            <w:pPr>
              <w:autoSpaceDE w:val="0"/>
              <w:autoSpaceDN w:val="0"/>
              <w:adjustRightInd w:val="0"/>
              <w:jc w:val="center"/>
              <w:rPr>
                <w:rFonts w:cs="宋体"/>
                <w:color w:val="auto"/>
                <w:sz w:val="20"/>
                <w:highlight w:val="none"/>
              </w:rPr>
            </w:pPr>
          </w:p>
        </w:tc>
        <w:tc>
          <w:tcPr>
            <w:tcW w:w="2096" w:type="dxa"/>
            <w:tcBorders>
              <w:top w:val="single" w:color="000000" w:sz="4" w:space="0"/>
              <w:left w:val="single" w:color="auto" w:sz="4" w:space="0"/>
              <w:bottom w:val="single" w:color="000000" w:sz="4" w:space="0"/>
              <w:right w:val="single" w:color="auto" w:sz="4" w:space="0"/>
            </w:tcBorders>
            <w:vAlign w:val="center"/>
          </w:tcPr>
          <w:p>
            <w:pPr>
              <w:autoSpaceDE w:val="0"/>
              <w:autoSpaceDN w:val="0"/>
              <w:adjustRightInd w:val="0"/>
              <w:jc w:val="center"/>
              <w:rPr>
                <w:rFonts w:cs="宋体"/>
                <w:color w:val="auto"/>
                <w:sz w:val="20"/>
                <w:highlight w:val="none"/>
              </w:rPr>
            </w:pPr>
          </w:p>
        </w:tc>
        <w:tc>
          <w:tcPr>
            <w:tcW w:w="1253" w:type="dxa"/>
            <w:tcBorders>
              <w:top w:val="single" w:color="000000" w:sz="4" w:space="0"/>
              <w:left w:val="single" w:color="auto" w:sz="4" w:space="0"/>
              <w:bottom w:val="single" w:color="000000" w:sz="4" w:space="0"/>
              <w:right w:val="single" w:color="auto" w:sz="4" w:space="0"/>
            </w:tcBorders>
            <w:vAlign w:val="center"/>
          </w:tcPr>
          <w:p>
            <w:pPr>
              <w:autoSpaceDE w:val="0"/>
              <w:autoSpaceDN w:val="0"/>
              <w:adjustRightInd w:val="0"/>
              <w:jc w:val="center"/>
              <w:rPr>
                <w:rFonts w:cs="宋体"/>
                <w:color w:val="auto"/>
                <w:sz w:val="20"/>
                <w:highlight w:val="none"/>
              </w:rPr>
            </w:pPr>
          </w:p>
        </w:tc>
        <w:tc>
          <w:tcPr>
            <w:tcW w:w="1701" w:type="dxa"/>
            <w:tcBorders>
              <w:top w:val="single" w:color="000000" w:sz="4" w:space="0"/>
              <w:left w:val="single" w:color="auto" w:sz="4" w:space="0"/>
              <w:bottom w:val="single" w:color="000000" w:sz="4" w:space="0"/>
              <w:right w:val="single" w:color="auto" w:sz="4" w:space="0"/>
            </w:tcBorders>
            <w:vAlign w:val="center"/>
          </w:tcPr>
          <w:p>
            <w:pPr>
              <w:autoSpaceDE w:val="0"/>
              <w:autoSpaceDN w:val="0"/>
              <w:adjustRightInd w:val="0"/>
              <w:jc w:val="center"/>
              <w:rPr>
                <w:rFonts w:cs="宋体"/>
                <w:color w:val="auto"/>
                <w:sz w:val="20"/>
                <w:highlight w:val="none"/>
              </w:rPr>
            </w:pPr>
          </w:p>
        </w:tc>
        <w:tc>
          <w:tcPr>
            <w:tcW w:w="1634"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center"/>
              <w:rPr>
                <w:rFonts w:cs="宋体"/>
                <w:color w:val="auto"/>
                <w:kern w:val="2"/>
                <w:sz w:val="21"/>
                <w:szCs w:val="22"/>
                <w:highlight w:val="none"/>
              </w:rPr>
            </w:pPr>
          </w:p>
        </w:tc>
        <w:tc>
          <w:tcPr>
            <w:tcW w:w="1528"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left"/>
              <w:rPr>
                <w:rFonts w:cs="宋体"/>
                <w:color w:val="auto"/>
                <w:kern w:val="2"/>
                <w:sz w:val="21"/>
                <w:szCs w:val="22"/>
                <w:highlight w:val="none"/>
              </w:rPr>
            </w:pPr>
          </w:p>
        </w:tc>
      </w:tr>
      <w:tr>
        <w:tblPrEx>
          <w:tblCellMar>
            <w:top w:w="0" w:type="dxa"/>
            <w:left w:w="108" w:type="dxa"/>
            <w:bottom w:w="0" w:type="dxa"/>
            <w:right w:w="108" w:type="dxa"/>
          </w:tblCellMar>
        </w:tblPrEx>
        <w:trPr>
          <w:trHeight w:val="850" w:hRule="atLeast"/>
          <w:jc w:val="center"/>
        </w:trPr>
        <w:tc>
          <w:tcPr>
            <w:tcW w:w="1415" w:type="dxa"/>
            <w:tcBorders>
              <w:top w:val="single" w:color="000000" w:sz="4" w:space="0"/>
              <w:left w:val="single" w:color="000000" w:sz="4" w:space="0"/>
              <w:bottom w:val="single" w:color="000000" w:sz="4" w:space="0"/>
              <w:right w:val="single" w:color="000000" w:sz="4" w:space="0"/>
            </w:tcBorders>
          </w:tcPr>
          <w:p>
            <w:pPr>
              <w:autoSpaceDE w:val="0"/>
              <w:autoSpaceDN w:val="0"/>
              <w:spacing w:before="3"/>
              <w:jc w:val="left"/>
              <w:rPr>
                <w:rFonts w:cs="宋体"/>
                <w:color w:val="auto"/>
                <w:sz w:val="20"/>
                <w:highlight w:val="none"/>
              </w:rPr>
            </w:pPr>
          </w:p>
        </w:tc>
        <w:tc>
          <w:tcPr>
            <w:tcW w:w="1701" w:type="dxa"/>
            <w:tcBorders>
              <w:top w:val="single" w:color="000000" w:sz="4" w:space="0"/>
              <w:left w:val="single" w:color="000000" w:sz="4" w:space="0"/>
              <w:bottom w:val="single" w:color="000000" w:sz="4" w:space="0"/>
              <w:right w:val="single" w:color="000000" w:sz="4" w:space="0"/>
            </w:tcBorders>
          </w:tcPr>
          <w:p>
            <w:pPr>
              <w:autoSpaceDE w:val="0"/>
              <w:autoSpaceDN w:val="0"/>
              <w:spacing w:before="3"/>
              <w:jc w:val="left"/>
              <w:rPr>
                <w:rFonts w:cs="宋体"/>
                <w:color w:val="auto"/>
                <w:sz w:val="20"/>
                <w:highlight w:val="none"/>
              </w:rPr>
            </w:pPr>
          </w:p>
        </w:tc>
        <w:tc>
          <w:tcPr>
            <w:tcW w:w="1743" w:type="dxa"/>
            <w:tcBorders>
              <w:top w:val="single" w:color="000000" w:sz="4" w:space="0"/>
              <w:left w:val="single" w:color="000000" w:sz="4" w:space="0"/>
              <w:bottom w:val="single" w:color="000000" w:sz="4" w:space="0"/>
              <w:right w:val="single" w:color="000000" w:sz="4" w:space="0"/>
            </w:tcBorders>
          </w:tcPr>
          <w:p>
            <w:pPr>
              <w:autoSpaceDE w:val="0"/>
              <w:autoSpaceDN w:val="0"/>
              <w:spacing w:before="3"/>
              <w:jc w:val="left"/>
              <w:rPr>
                <w:rFonts w:cs="宋体"/>
                <w:color w:val="auto"/>
                <w:sz w:val="20"/>
                <w:highlight w:val="none"/>
              </w:rPr>
            </w:pPr>
          </w:p>
        </w:tc>
        <w:tc>
          <w:tcPr>
            <w:tcW w:w="1947" w:type="dxa"/>
            <w:tcBorders>
              <w:top w:val="single" w:color="000000" w:sz="4" w:space="0"/>
              <w:left w:val="single" w:color="000000" w:sz="4" w:space="0"/>
              <w:bottom w:val="single" w:color="000000" w:sz="4" w:space="0"/>
              <w:right w:val="single" w:color="000000" w:sz="4" w:space="0"/>
            </w:tcBorders>
            <w:vAlign w:val="center"/>
          </w:tcPr>
          <w:p>
            <w:pPr>
              <w:adjustRightInd w:val="0"/>
              <w:spacing w:line="240" w:lineRule="exact"/>
              <w:jc w:val="center"/>
              <w:textAlignment w:val="baseline"/>
              <w:rPr>
                <w:rFonts w:ascii="Times New Roman" w:cs="宋体"/>
                <w:color w:val="auto"/>
                <w:sz w:val="20"/>
                <w:highlight w:val="none"/>
              </w:rPr>
            </w:pPr>
          </w:p>
        </w:tc>
        <w:tc>
          <w:tcPr>
            <w:tcW w:w="2096" w:type="dxa"/>
            <w:tcBorders>
              <w:top w:val="single" w:color="000000" w:sz="4" w:space="0"/>
              <w:left w:val="single" w:color="000000" w:sz="4" w:space="0"/>
              <w:bottom w:val="single" w:color="000000" w:sz="4" w:space="0"/>
              <w:right w:val="single" w:color="000000" w:sz="4" w:space="0"/>
            </w:tcBorders>
            <w:vAlign w:val="center"/>
          </w:tcPr>
          <w:p>
            <w:pPr>
              <w:adjustRightInd w:val="0"/>
              <w:spacing w:line="240" w:lineRule="exact"/>
              <w:jc w:val="center"/>
              <w:textAlignment w:val="baseline"/>
              <w:rPr>
                <w:rFonts w:ascii="Times New Roman" w:cs="宋体"/>
                <w:color w:val="auto"/>
                <w:sz w:val="20"/>
                <w:highlight w:val="none"/>
              </w:rPr>
            </w:pPr>
          </w:p>
        </w:tc>
        <w:tc>
          <w:tcPr>
            <w:tcW w:w="1253" w:type="dxa"/>
            <w:tcBorders>
              <w:top w:val="single" w:color="000000" w:sz="4" w:space="0"/>
              <w:left w:val="single" w:color="000000" w:sz="4" w:space="0"/>
              <w:bottom w:val="single" w:color="000000" w:sz="4" w:space="0"/>
              <w:right w:val="single" w:color="000000" w:sz="4" w:space="0"/>
            </w:tcBorders>
            <w:vAlign w:val="center"/>
          </w:tcPr>
          <w:p>
            <w:pPr>
              <w:adjustRightInd w:val="0"/>
              <w:spacing w:line="240" w:lineRule="exact"/>
              <w:jc w:val="center"/>
              <w:textAlignment w:val="baseline"/>
              <w:rPr>
                <w:rFonts w:ascii="Times New Roman" w:cs="宋体"/>
                <w:color w:val="auto"/>
                <w:sz w:val="20"/>
                <w:highlight w:val="none"/>
              </w:rPr>
            </w:pPr>
          </w:p>
        </w:tc>
        <w:tc>
          <w:tcPr>
            <w:tcW w:w="1701"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rFonts w:cs="宋体"/>
                <w:color w:val="auto"/>
                <w:sz w:val="20"/>
                <w:highlight w:val="none"/>
              </w:rPr>
            </w:pPr>
          </w:p>
        </w:tc>
        <w:tc>
          <w:tcPr>
            <w:tcW w:w="1634"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center"/>
              <w:rPr>
                <w:rFonts w:cs="宋体"/>
                <w:color w:val="auto"/>
                <w:sz w:val="20"/>
                <w:highlight w:val="none"/>
              </w:rPr>
            </w:pPr>
          </w:p>
        </w:tc>
        <w:tc>
          <w:tcPr>
            <w:tcW w:w="1528"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rFonts w:cs="宋体"/>
                <w:color w:val="auto"/>
                <w:sz w:val="20"/>
                <w:highlight w:val="none"/>
              </w:rPr>
            </w:pPr>
          </w:p>
        </w:tc>
      </w:tr>
      <w:tr>
        <w:tblPrEx>
          <w:tblCellMar>
            <w:top w:w="0" w:type="dxa"/>
            <w:left w:w="108" w:type="dxa"/>
            <w:bottom w:w="0" w:type="dxa"/>
            <w:right w:w="108" w:type="dxa"/>
          </w:tblCellMar>
        </w:tblPrEx>
        <w:trPr>
          <w:trHeight w:val="1195" w:hRule="atLeast"/>
          <w:jc w:val="center"/>
        </w:trPr>
        <w:tc>
          <w:tcPr>
            <w:tcW w:w="1415" w:type="dxa"/>
            <w:tcBorders>
              <w:top w:val="single" w:color="000000" w:sz="4" w:space="0"/>
              <w:left w:val="single" w:color="000000" w:sz="4" w:space="0"/>
              <w:bottom w:val="single" w:color="000000" w:sz="4" w:space="0"/>
              <w:right w:val="single" w:color="000000" w:sz="4" w:space="0"/>
            </w:tcBorders>
          </w:tcPr>
          <w:p>
            <w:pPr>
              <w:autoSpaceDE w:val="0"/>
              <w:autoSpaceDN w:val="0"/>
              <w:spacing w:before="3"/>
              <w:jc w:val="left"/>
              <w:rPr>
                <w:rFonts w:cs="宋体"/>
                <w:color w:val="auto"/>
                <w:sz w:val="20"/>
                <w:highlight w:val="none"/>
              </w:rPr>
            </w:pPr>
          </w:p>
        </w:tc>
        <w:tc>
          <w:tcPr>
            <w:tcW w:w="1701" w:type="dxa"/>
            <w:tcBorders>
              <w:top w:val="single" w:color="000000" w:sz="4" w:space="0"/>
              <w:left w:val="single" w:color="000000" w:sz="4" w:space="0"/>
              <w:bottom w:val="single" w:color="000000" w:sz="4" w:space="0"/>
              <w:right w:val="single" w:color="000000" w:sz="4" w:space="0"/>
            </w:tcBorders>
          </w:tcPr>
          <w:p>
            <w:pPr>
              <w:autoSpaceDE w:val="0"/>
              <w:autoSpaceDN w:val="0"/>
              <w:spacing w:before="3"/>
              <w:jc w:val="left"/>
              <w:rPr>
                <w:rFonts w:cs="宋体"/>
                <w:color w:val="auto"/>
                <w:sz w:val="20"/>
                <w:highlight w:val="none"/>
              </w:rPr>
            </w:pPr>
          </w:p>
        </w:tc>
        <w:tc>
          <w:tcPr>
            <w:tcW w:w="1743" w:type="dxa"/>
            <w:tcBorders>
              <w:top w:val="single" w:color="000000" w:sz="4" w:space="0"/>
              <w:left w:val="single" w:color="000000" w:sz="4" w:space="0"/>
              <w:bottom w:val="single" w:color="000000" w:sz="4" w:space="0"/>
              <w:right w:val="single" w:color="000000" w:sz="4" w:space="0"/>
            </w:tcBorders>
          </w:tcPr>
          <w:p>
            <w:pPr>
              <w:autoSpaceDE w:val="0"/>
              <w:autoSpaceDN w:val="0"/>
              <w:spacing w:before="3"/>
              <w:jc w:val="left"/>
              <w:rPr>
                <w:rFonts w:cs="宋体"/>
                <w:color w:val="auto"/>
                <w:sz w:val="20"/>
                <w:highlight w:val="none"/>
              </w:rPr>
            </w:pPr>
          </w:p>
        </w:tc>
        <w:tc>
          <w:tcPr>
            <w:tcW w:w="1947" w:type="dxa"/>
            <w:tcBorders>
              <w:top w:val="single" w:color="000000" w:sz="4" w:space="0"/>
              <w:left w:val="single" w:color="000000" w:sz="4" w:space="0"/>
              <w:bottom w:val="single" w:color="000000" w:sz="4" w:space="0"/>
              <w:right w:val="single" w:color="000000" w:sz="4" w:space="0"/>
            </w:tcBorders>
            <w:vAlign w:val="center"/>
          </w:tcPr>
          <w:p>
            <w:pPr>
              <w:adjustRightInd w:val="0"/>
              <w:spacing w:line="240" w:lineRule="exact"/>
              <w:jc w:val="center"/>
              <w:textAlignment w:val="baseline"/>
              <w:rPr>
                <w:rFonts w:ascii="Times New Roman" w:cs="宋体"/>
                <w:color w:val="auto"/>
                <w:sz w:val="20"/>
                <w:highlight w:val="none"/>
              </w:rPr>
            </w:pPr>
          </w:p>
        </w:tc>
        <w:tc>
          <w:tcPr>
            <w:tcW w:w="2096" w:type="dxa"/>
            <w:tcBorders>
              <w:top w:val="single" w:color="000000" w:sz="4" w:space="0"/>
              <w:left w:val="single" w:color="000000" w:sz="4" w:space="0"/>
              <w:bottom w:val="single" w:color="000000" w:sz="4" w:space="0"/>
              <w:right w:val="single" w:color="000000" w:sz="4" w:space="0"/>
            </w:tcBorders>
            <w:vAlign w:val="center"/>
          </w:tcPr>
          <w:p>
            <w:pPr>
              <w:adjustRightInd w:val="0"/>
              <w:spacing w:line="240" w:lineRule="exact"/>
              <w:jc w:val="center"/>
              <w:textAlignment w:val="baseline"/>
              <w:rPr>
                <w:rFonts w:ascii="Times New Roman" w:cs="宋体"/>
                <w:color w:val="auto"/>
                <w:sz w:val="20"/>
                <w:highlight w:val="none"/>
              </w:rPr>
            </w:pPr>
          </w:p>
        </w:tc>
        <w:tc>
          <w:tcPr>
            <w:tcW w:w="1253" w:type="dxa"/>
            <w:tcBorders>
              <w:top w:val="single" w:color="000000" w:sz="4" w:space="0"/>
              <w:left w:val="single" w:color="000000" w:sz="4" w:space="0"/>
              <w:bottom w:val="single" w:color="000000" w:sz="4" w:space="0"/>
              <w:right w:val="single" w:color="000000" w:sz="4" w:space="0"/>
            </w:tcBorders>
            <w:vAlign w:val="center"/>
          </w:tcPr>
          <w:p>
            <w:pPr>
              <w:adjustRightInd w:val="0"/>
              <w:spacing w:line="240" w:lineRule="exact"/>
              <w:jc w:val="center"/>
              <w:textAlignment w:val="baseline"/>
              <w:rPr>
                <w:rFonts w:ascii="Times New Roman" w:cs="宋体"/>
                <w:color w:val="auto"/>
                <w:sz w:val="20"/>
                <w:highlight w:val="none"/>
              </w:rPr>
            </w:pPr>
          </w:p>
        </w:tc>
        <w:tc>
          <w:tcPr>
            <w:tcW w:w="1701"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rFonts w:cs="宋体"/>
                <w:color w:val="auto"/>
                <w:sz w:val="20"/>
                <w:highlight w:val="none"/>
              </w:rPr>
            </w:pPr>
          </w:p>
        </w:tc>
        <w:tc>
          <w:tcPr>
            <w:tcW w:w="1634"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center"/>
              <w:rPr>
                <w:rFonts w:cs="宋体"/>
                <w:color w:val="auto"/>
                <w:sz w:val="20"/>
                <w:highlight w:val="none"/>
              </w:rPr>
            </w:pPr>
          </w:p>
        </w:tc>
        <w:tc>
          <w:tcPr>
            <w:tcW w:w="1528"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rFonts w:cs="宋体"/>
                <w:color w:val="auto"/>
                <w:sz w:val="20"/>
                <w:highlight w:val="none"/>
              </w:rPr>
            </w:pPr>
          </w:p>
        </w:tc>
      </w:tr>
    </w:tbl>
    <w:p>
      <w:pPr>
        <w:adjustRightInd w:val="0"/>
        <w:spacing w:line="360" w:lineRule="atLeast"/>
        <w:textAlignment w:val="baseline"/>
        <w:rPr>
          <w:rFonts w:cs="宋体"/>
          <w:color w:val="auto"/>
          <w:sz w:val="21"/>
          <w:szCs w:val="21"/>
          <w:highlight w:val="none"/>
        </w:rPr>
      </w:pPr>
      <w:r>
        <w:rPr>
          <w:rFonts w:hint="eastAsia" w:cs="宋体"/>
          <w:color w:val="auto"/>
          <w:sz w:val="21"/>
          <w:szCs w:val="21"/>
          <w:highlight w:val="none"/>
        </w:rPr>
        <w:t>注：1、加密锁使用人为个人的，个人身份证号码的出生日期信息予以隐藏处理。</w:t>
      </w:r>
    </w:p>
    <w:p>
      <w:pPr>
        <w:pStyle w:val="59"/>
        <w:ind w:left="0" w:firstLineChars="200"/>
        <w:rPr>
          <w:rFonts w:ascii="宋体" w:hAnsi="宋体" w:cs="宋体"/>
          <w:color w:val="auto"/>
          <w:kern w:val="0"/>
          <w:szCs w:val="21"/>
          <w:highlight w:val="none"/>
        </w:rPr>
      </w:pPr>
      <w:r>
        <w:rPr>
          <w:rFonts w:hint="eastAsia" w:ascii="宋体" w:hAnsi="宋体" w:cs="宋体"/>
          <w:color w:val="auto"/>
          <w:kern w:val="0"/>
          <w:szCs w:val="21"/>
          <w:highlight w:val="none"/>
        </w:rPr>
        <w:t>2、已标价工程清单XML电子文档记录的招标工程量清单的XML格式文件的加密锁信息，无需在开标时公布。</w:t>
      </w:r>
    </w:p>
    <w:p>
      <w:pPr>
        <w:pStyle w:val="59"/>
        <w:ind w:left="0" w:firstLineChars="200"/>
        <w:rPr>
          <w:rFonts w:ascii="宋体" w:hAnsi="宋体" w:cs="宋体"/>
          <w:color w:val="auto"/>
          <w:kern w:val="0"/>
          <w:szCs w:val="21"/>
          <w:highlight w:val="none"/>
        </w:rPr>
      </w:pPr>
    </w:p>
    <w:p>
      <w:pPr>
        <w:pStyle w:val="59"/>
        <w:ind w:left="0" w:firstLineChars="200"/>
        <w:rPr>
          <w:rFonts w:ascii="宋体" w:hAnsi="宋体" w:cs="宋体"/>
          <w:color w:val="auto"/>
          <w:kern w:val="0"/>
          <w:szCs w:val="21"/>
          <w:highlight w:val="none"/>
        </w:rPr>
      </w:pPr>
    </w:p>
    <w:p>
      <w:pPr>
        <w:pStyle w:val="59"/>
        <w:ind w:left="0" w:firstLineChars="200"/>
        <w:rPr>
          <w:color w:val="auto"/>
          <w:szCs w:val="21"/>
          <w:highlight w:val="none"/>
        </w:rPr>
        <w:sectPr>
          <w:footnotePr>
            <w:numFmt w:val="decimalEnclosedCircleChinese"/>
            <w:numRestart w:val="eachPage"/>
          </w:footnotePr>
          <w:pgSz w:w="16838" w:h="11906" w:orient="landscape"/>
          <w:pgMar w:top="1134" w:right="1440" w:bottom="992" w:left="1440" w:header="851" w:footer="992" w:gutter="0"/>
          <w:pgNumType w:fmt="decimal"/>
          <w:cols w:space="720" w:num="1"/>
          <w:docGrid w:linePitch="312" w:charSpace="0"/>
        </w:sectPr>
      </w:pPr>
      <w:r>
        <w:rPr>
          <w:rFonts w:hint="eastAsia" w:cs="宋体"/>
          <w:color w:val="auto"/>
          <w:szCs w:val="21"/>
          <w:highlight w:val="none"/>
        </w:rPr>
        <w:t xml:space="preserve">招标人电子盖章（或签字）：               </w:t>
      </w:r>
      <w:r>
        <w:rPr>
          <w:rFonts w:cs="宋体"/>
          <w:color w:val="auto"/>
          <w:szCs w:val="21"/>
          <w:highlight w:val="none"/>
        </w:rPr>
        <w:t xml:space="preserve"> </w:t>
      </w:r>
      <w:r>
        <w:rPr>
          <w:rFonts w:hint="eastAsia" w:cs="宋体"/>
          <w:color w:val="auto"/>
          <w:szCs w:val="21"/>
          <w:highlight w:val="none"/>
        </w:rPr>
        <w:t>招标代理机构电子盖章（或签字）：</w:t>
      </w:r>
      <w:r>
        <w:rPr>
          <w:rFonts w:cs="宋体"/>
          <w:color w:val="auto"/>
          <w:szCs w:val="21"/>
          <w:highlight w:val="none"/>
        </w:rPr>
        <w:t xml:space="preserve"> </w:t>
      </w:r>
      <w:r>
        <w:rPr>
          <w:rFonts w:hint="eastAsia" w:cs="宋体"/>
          <w:color w:val="auto"/>
          <w:szCs w:val="21"/>
          <w:highlight w:val="none"/>
        </w:rPr>
        <w:t xml:space="preserve">                 公证处电子盖章（或签字）：</w:t>
      </w:r>
    </w:p>
    <w:p>
      <w:pPr>
        <w:pStyle w:val="5"/>
        <w:widowControl/>
        <w:spacing w:beforeLines="0" w:after="120"/>
        <w:rPr>
          <w:rFonts w:hAnsi="宋体" w:cs="黑体"/>
          <w:color w:val="auto"/>
          <w:sz w:val="21"/>
          <w:szCs w:val="21"/>
          <w:highlight w:val="none"/>
        </w:rPr>
      </w:pPr>
      <w:bookmarkStart w:id="673" w:name="_Toc16377"/>
      <w:bookmarkStart w:id="674" w:name="_Toc61877297"/>
      <w:bookmarkStart w:id="675" w:name="_Toc18692"/>
      <w:bookmarkStart w:id="676" w:name="_Toc3962"/>
      <w:bookmarkStart w:id="677" w:name="_Toc19854"/>
      <w:bookmarkStart w:id="678" w:name="_Toc106703267"/>
      <w:bookmarkStart w:id="679" w:name="_Toc1144"/>
      <w:bookmarkStart w:id="680" w:name="_Toc32192"/>
      <w:r>
        <w:rPr>
          <w:rFonts w:hint="eastAsia" w:hAnsi="宋体" w:cs="黑体"/>
          <w:color w:val="auto"/>
          <w:sz w:val="21"/>
          <w:szCs w:val="21"/>
          <w:highlight w:val="none"/>
        </w:rPr>
        <w:t>附件2-2：定标候选人公示（格式）</w:t>
      </w:r>
      <w:bookmarkEnd w:id="673"/>
      <w:bookmarkEnd w:id="674"/>
      <w:bookmarkEnd w:id="675"/>
      <w:bookmarkEnd w:id="676"/>
      <w:bookmarkEnd w:id="677"/>
      <w:r>
        <w:rPr>
          <w:rFonts w:hint="eastAsia" w:hAnsi="宋体" w:cs="黑体"/>
          <w:color w:val="auto"/>
          <w:sz w:val="21"/>
          <w:szCs w:val="21"/>
          <w:highlight w:val="none"/>
        </w:rPr>
        <w:t>（适用于同时设置类似工程业绩和信用评价作为投标人资格条件的招标项目或其他项目）</w:t>
      </w:r>
      <w:bookmarkEnd w:id="678"/>
      <w:bookmarkEnd w:id="679"/>
      <w:bookmarkEnd w:id="680"/>
    </w:p>
    <w:p>
      <w:pPr>
        <w:spacing w:beforeLines="100" w:afterLines="100" w:line="360" w:lineRule="auto"/>
        <w:jc w:val="center"/>
        <w:rPr>
          <w:rFonts w:ascii="黑体" w:eastAsia="黑体" w:cs="黑体"/>
          <w:color w:val="auto"/>
          <w:sz w:val="32"/>
          <w:szCs w:val="32"/>
          <w:highlight w:val="none"/>
        </w:rPr>
      </w:pPr>
      <w:r>
        <w:rPr>
          <w:rFonts w:hint="eastAsia" w:ascii="黑体" w:eastAsia="黑体" w:cs="黑体"/>
          <w:color w:val="auto"/>
          <w:sz w:val="32"/>
          <w:szCs w:val="32"/>
          <w:highlight w:val="none"/>
        </w:rPr>
        <w:t>定标候选人公示</w:t>
      </w:r>
    </w:p>
    <w:p>
      <w:pPr>
        <w:spacing w:line="360" w:lineRule="auto"/>
        <w:ind w:firstLine="420" w:firstLineChars="200"/>
        <w:rPr>
          <w:rFonts w:cs="宋体"/>
          <w:color w:val="auto"/>
          <w:sz w:val="21"/>
          <w:szCs w:val="21"/>
          <w:highlight w:val="none"/>
        </w:rPr>
      </w:pPr>
      <w:r>
        <w:rPr>
          <w:rFonts w:hint="eastAsia" w:cs="宋体"/>
          <w:color w:val="auto"/>
          <w:sz w:val="21"/>
          <w:szCs w:val="21"/>
          <w:highlight w:val="none"/>
        </w:rPr>
        <w:t>招标项目编号为</w:t>
      </w:r>
      <w:r>
        <w:rPr>
          <w:rFonts w:hint="eastAsia" w:cs="宋体"/>
          <w:color w:val="auto"/>
          <w:sz w:val="21"/>
          <w:szCs w:val="21"/>
          <w:highlight w:val="none"/>
          <w:u w:val="single"/>
        </w:rPr>
        <w:t xml:space="preserve">               </w:t>
      </w:r>
      <w:r>
        <w:rPr>
          <w:rFonts w:hint="eastAsia" w:cs="宋体"/>
          <w:color w:val="auto"/>
          <w:sz w:val="21"/>
          <w:szCs w:val="21"/>
          <w:highlight w:val="none"/>
        </w:rPr>
        <w:t>的</w:t>
      </w:r>
      <w:r>
        <w:rPr>
          <w:rFonts w:hint="eastAsia" w:cs="宋体"/>
          <w:color w:val="auto"/>
          <w:sz w:val="21"/>
          <w:szCs w:val="21"/>
          <w:highlight w:val="none"/>
          <w:u w:val="single"/>
        </w:rPr>
        <w:t xml:space="preserve">                  </w:t>
      </w:r>
      <w:r>
        <w:rPr>
          <w:rFonts w:hint="eastAsia" w:cs="宋体"/>
          <w:color w:val="auto"/>
          <w:sz w:val="21"/>
          <w:szCs w:val="21"/>
          <w:highlight w:val="none"/>
        </w:rPr>
        <w:t>工程建设项目，该工程施工招标于</w:t>
      </w:r>
      <w:r>
        <w:rPr>
          <w:rFonts w:hint="eastAsia" w:cs="宋体"/>
          <w:color w:val="auto"/>
          <w:sz w:val="21"/>
          <w:szCs w:val="21"/>
          <w:highlight w:val="none"/>
          <w:u w:val="single"/>
        </w:rPr>
        <w:t xml:space="preserve">     </w:t>
      </w:r>
      <w:r>
        <w:rPr>
          <w:rFonts w:hint="eastAsia" w:cs="宋体"/>
          <w:color w:val="auto"/>
          <w:sz w:val="21"/>
          <w:szCs w:val="21"/>
          <w:highlight w:val="none"/>
        </w:rPr>
        <w:t>年</w:t>
      </w:r>
      <w:r>
        <w:rPr>
          <w:rFonts w:hint="eastAsia" w:cs="宋体"/>
          <w:color w:val="auto"/>
          <w:sz w:val="21"/>
          <w:szCs w:val="21"/>
          <w:highlight w:val="none"/>
          <w:u w:val="single"/>
        </w:rPr>
        <w:t xml:space="preserve">    </w:t>
      </w:r>
      <w:r>
        <w:rPr>
          <w:rFonts w:hint="eastAsia" w:cs="宋体"/>
          <w:color w:val="auto"/>
          <w:sz w:val="21"/>
          <w:szCs w:val="21"/>
          <w:highlight w:val="none"/>
        </w:rPr>
        <w:t>月</w:t>
      </w:r>
      <w:r>
        <w:rPr>
          <w:rFonts w:hint="eastAsia" w:cs="宋体"/>
          <w:color w:val="auto"/>
          <w:sz w:val="21"/>
          <w:szCs w:val="21"/>
          <w:highlight w:val="none"/>
          <w:u w:val="single"/>
        </w:rPr>
        <w:t xml:space="preserve">    </w:t>
      </w:r>
      <w:r>
        <w:rPr>
          <w:rFonts w:hint="eastAsia" w:cs="宋体"/>
          <w:color w:val="auto"/>
          <w:sz w:val="21"/>
          <w:szCs w:val="21"/>
          <w:highlight w:val="none"/>
        </w:rPr>
        <w:t>日依法公开开标后，资格审查委员会和评标委员会按照招标文件规定的评标标准和方法进行了评审，根据资格审查委员会提交的</w:t>
      </w:r>
      <w:bookmarkStart w:id="681" w:name="_Hlk62024833"/>
      <w:r>
        <w:rPr>
          <w:rFonts w:hint="eastAsia" w:cs="宋体"/>
          <w:color w:val="auto"/>
          <w:sz w:val="21"/>
          <w:szCs w:val="21"/>
          <w:highlight w:val="none"/>
        </w:rPr>
        <w:t>资格审查报告</w:t>
      </w:r>
      <w:bookmarkEnd w:id="681"/>
      <w:r>
        <w:rPr>
          <w:rFonts w:hint="eastAsia" w:cs="宋体"/>
          <w:color w:val="auto"/>
          <w:sz w:val="21"/>
          <w:szCs w:val="21"/>
          <w:highlight w:val="none"/>
        </w:rPr>
        <w:t>和评标委员会提交的评标报告，现将资格审查结果、入围投标人、评标结果、定标候选人名单、否决其投标的投标人及否决原因公示如下：</w:t>
      </w:r>
    </w:p>
    <w:p>
      <w:pPr>
        <w:numPr>
          <w:ilvl w:val="0"/>
          <w:numId w:val="17"/>
        </w:numPr>
        <w:spacing w:line="360" w:lineRule="auto"/>
        <w:ind w:firstLine="420" w:firstLineChars="200"/>
        <w:rPr>
          <w:color w:val="auto"/>
          <w:sz w:val="21"/>
          <w:szCs w:val="21"/>
          <w:highlight w:val="none"/>
        </w:rPr>
      </w:pPr>
      <w:r>
        <w:rPr>
          <w:rFonts w:hint="eastAsia"/>
          <w:color w:val="auto"/>
          <w:sz w:val="21"/>
          <w:szCs w:val="21"/>
          <w:highlight w:val="none"/>
        </w:rPr>
        <w:t>资格审查结果以及入围投标人名单：</w:t>
      </w:r>
    </w:p>
    <w:p>
      <w:pPr>
        <w:spacing w:line="360" w:lineRule="auto"/>
        <w:ind w:left="420"/>
        <w:rPr>
          <w:color w:val="auto"/>
          <w:sz w:val="21"/>
          <w:szCs w:val="21"/>
          <w:highlight w:val="none"/>
        </w:rPr>
      </w:pPr>
      <w:r>
        <w:rPr>
          <w:rFonts w:hint="eastAsia"/>
          <w:color w:val="auto"/>
          <w:sz w:val="21"/>
          <w:szCs w:val="21"/>
          <w:highlight w:val="none"/>
        </w:rPr>
        <w:t>1.1入围投标人名单</w:t>
      </w:r>
    </w:p>
    <w:tbl>
      <w:tblPr>
        <w:tblStyle w:val="60"/>
        <w:tblW w:w="9639" w:type="dxa"/>
        <w:tblInd w:w="108" w:type="dxa"/>
        <w:tblLayout w:type="fixed"/>
        <w:tblCellMar>
          <w:top w:w="0" w:type="dxa"/>
          <w:left w:w="108" w:type="dxa"/>
          <w:bottom w:w="0" w:type="dxa"/>
          <w:right w:w="108" w:type="dxa"/>
        </w:tblCellMar>
      </w:tblPr>
      <w:tblGrid>
        <w:gridCol w:w="885"/>
        <w:gridCol w:w="5778"/>
        <w:gridCol w:w="2976"/>
      </w:tblGrid>
      <w:tr>
        <w:tblPrEx>
          <w:tblCellMar>
            <w:top w:w="0" w:type="dxa"/>
            <w:left w:w="108" w:type="dxa"/>
            <w:bottom w:w="0" w:type="dxa"/>
            <w:right w:w="108" w:type="dxa"/>
          </w:tblCellMar>
        </w:tblPrEx>
        <w:trPr>
          <w:trHeight w:val="556" w:hRule="atLeast"/>
        </w:trPr>
        <w:tc>
          <w:tcPr>
            <w:tcW w:w="8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hAnsi="Times New Roman"/>
                <w:color w:val="auto"/>
                <w:sz w:val="21"/>
                <w:szCs w:val="21"/>
                <w:highlight w:val="none"/>
              </w:rPr>
            </w:pPr>
            <w:r>
              <w:rPr>
                <w:rFonts w:hint="eastAsia" w:hAnsi="Times New Roman"/>
                <w:color w:val="auto"/>
                <w:sz w:val="21"/>
                <w:szCs w:val="21"/>
                <w:highlight w:val="none"/>
              </w:rPr>
              <w:t>序号</w:t>
            </w:r>
            <w:r>
              <w:rPr>
                <w:rFonts w:ascii="Times New Roman" w:hAnsi="Times New Roman"/>
                <w:color w:val="auto"/>
                <w:sz w:val="21"/>
                <w:szCs w:val="21"/>
                <w:highlight w:val="none"/>
              </w:rPr>
              <w:t> </w:t>
            </w:r>
          </w:p>
        </w:tc>
        <w:tc>
          <w:tcPr>
            <w:tcW w:w="5778" w:type="dxa"/>
            <w:tcBorders>
              <w:top w:val="single" w:color="auto" w:sz="4" w:space="0"/>
              <w:left w:val="nil"/>
              <w:bottom w:val="single" w:color="auto" w:sz="4" w:space="0"/>
              <w:right w:val="single" w:color="auto" w:sz="4" w:space="0"/>
            </w:tcBorders>
            <w:vAlign w:val="center"/>
          </w:tcPr>
          <w:p>
            <w:pPr>
              <w:adjustRightInd w:val="0"/>
              <w:snapToGrid w:val="0"/>
              <w:spacing w:line="240" w:lineRule="atLeast"/>
              <w:jc w:val="center"/>
              <w:rPr>
                <w:rFonts w:hAnsi="Times New Roman"/>
                <w:color w:val="auto"/>
                <w:sz w:val="21"/>
                <w:szCs w:val="21"/>
                <w:highlight w:val="none"/>
              </w:rPr>
            </w:pPr>
            <w:r>
              <w:rPr>
                <w:rFonts w:hint="eastAsia" w:hAnsi="Times New Roman"/>
                <w:color w:val="auto"/>
                <w:sz w:val="21"/>
                <w:szCs w:val="21"/>
                <w:highlight w:val="none"/>
              </w:rPr>
              <w:t>投标人名称</w:t>
            </w:r>
          </w:p>
        </w:tc>
        <w:tc>
          <w:tcPr>
            <w:tcW w:w="2976" w:type="dxa"/>
            <w:tcBorders>
              <w:top w:val="single" w:color="auto" w:sz="4" w:space="0"/>
              <w:left w:val="nil"/>
              <w:bottom w:val="single" w:color="auto" w:sz="4" w:space="0"/>
              <w:right w:val="single" w:color="auto" w:sz="4" w:space="0"/>
            </w:tcBorders>
            <w:vAlign w:val="center"/>
          </w:tcPr>
          <w:p>
            <w:pPr>
              <w:adjustRightInd w:val="0"/>
              <w:snapToGrid w:val="0"/>
              <w:spacing w:line="240" w:lineRule="atLeast"/>
              <w:jc w:val="center"/>
              <w:rPr>
                <w:rFonts w:hAnsi="Times New Roman"/>
                <w:color w:val="auto"/>
                <w:sz w:val="21"/>
                <w:szCs w:val="21"/>
                <w:highlight w:val="none"/>
              </w:rPr>
            </w:pPr>
            <w:r>
              <w:rPr>
                <w:rFonts w:hint="eastAsia" w:hAnsi="Times New Roman"/>
                <w:color w:val="auto"/>
                <w:sz w:val="21"/>
                <w:szCs w:val="21"/>
                <w:highlight w:val="none"/>
              </w:rPr>
              <w:t>资格审查结果</w:t>
            </w:r>
          </w:p>
        </w:tc>
      </w:tr>
      <w:tr>
        <w:tblPrEx>
          <w:tblCellMar>
            <w:top w:w="0" w:type="dxa"/>
            <w:left w:w="108" w:type="dxa"/>
            <w:bottom w:w="0" w:type="dxa"/>
            <w:right w:w="108" w:type="dxa"/>
          </w:tblCellMar>
        </w:tblPrEx>
        <w:trPr>
          <w:trHeight w:val="556" w:hRule="atLeast"/>
        </w:trPr>
        <w:tc>
          <w:tcPr>
            <w:tcW w:w="8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hAnsi="Times New Roman"/>
                <w:color w:val="auto"/>
                <w:sz w:val="21"/>
                <w:szCs w:val="21"/>
                <w:highlight w:val="none"/>
              </w:rPr>
            </w:pPr>
          </w:p>
        </w:tc>
        <w:tc>
          <w:tcPr>
            <w:tcW w:w="577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hAnsi="Times New Roman"/>
                <w:color w:val="auto"/>
                <w:sz w:val="21"/>
                <w:szCs w:val="21"/>
                <w:highlight w:val="none"/>
              </w:rPr>
            </w:pPr>
          </w:p>
        </w:tc>
        <w:tc>
          <w:tcPr>
            <w:tcW w:w="297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hAnsi="Times New Roman"/>
                <w:color w:val="auto"/>
                <w:sz w:val="21"/>
                <w:szCs w:val="21"/>
                <w:highlight w:val="none"/>
              </w:rPr>
            </w:pPr>
          </w:p>
        </w:tc>
      </w:tr>
      <w:tr>
        <w:tblPrEx>
          <w:tblCellMar>
            <w:top w:w="0" w:type="dxa"/>
            <w:left w:w="108" w:type="dxa"/>
            <w:bottom w:w="0" w:type="dxa"/>
            <w:right w:w="108" w:type="dxa"/>
          </w:tblCellMar>
        </w:tblPrEx>
        <w:trPr>
          <w:trHeight w:val="556" w:hRule="atLeast"/>
        </w:trPr>
        <w:tc>
          <w:tcPr>
            <w:tcW w:w="8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hAnsi="Times New Roman"/>
                <w:color w:val="auto"/>
                <w:sz w:val="21"/>
                <w:szCs w:val="21"/>
                <w:highlight w:val="none"/>
              </w:rPr>
            </w:pPr>
          </w:p>
        </w:tc>
        <w:tc>
          <w:tcPr>
            <w:tcW w:w="577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hAnsi="Times New Roman"/>
                <w:color w:val="auto"/>
                <w:sz w:val="21"/>
                <w:szCs w:val="21"/>
                <w:highlight w:val="none"/>
              </w:rPr>
            </w:pPr>
          </w:p>
        </w:tc>
        <w:tc>
          <w:tcPr>
            <w:tcW w:w="297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hAnsi="Times New Roman"/>
                <w:color w:val="auto"/>
                <w:sz w:val="21"/>
                <w:szCs w:val="21"/>
                <w:highlight w:val="none"/>
              </w:rPr>
            </w:pPr>
          </w:p>
        </w:tc>
      </w:tr>
      <w:tr>
        <w:tblPrEx>
          <w:tblCellMar>
            <w:top w:w="0" w:type="dxa"/>
            <w:left w:w="108" w:type="dxa"/>
            <w:bottom w:w="0" w:type="dxa"/>
            <w:right w:w="108" w:type="dxa"/>
          </w:tblCellMar>
        </w:tblPrEx>
        <w:trPr>
          <w:trHeight w:val="556" w:hRule="atLeast"/>
        </w:trPr>
        <w:tc>
          <w:tcPr>
            <w:tcW w:w="8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hAnsi="Times New Roman"/>
                <w:color w:val="auto"/>
                <w:sz w:val="21"/>
                <w:szCs w:val="21"/>
                <w:highlight w:val="none"/>
              </w:rPr>
            </w:pPr>
          </w:p>
        </w:tc>
        <w:tc>
          <w:tcPr>
            <w:tcW w:w="577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hAnsi="Times New Roman"/>
                <w:color w:val="auto"/>
                <w:sz w:val="21"/>
                <w:szCs w:val="21"/>
                <w:highlight w:val="none"/>
              </w:rPr>
            </w:pPr>
          </w:p>
        </w:tc>
        <w:tc>
          <w:tcPr>
            <w:tcW w:w="297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hAnsi="Times New Roman"/>
                <w:color w:val="auto"/>
                <w:sz w:val="21"/>
                <w:szCs w:val="21"/>
                <w:highlight w:val="none"/>
              </w:rPr>
            </w:pPr>
          </w:p>
        </w:tc>
      </w:tr>
      <w:tr>
        <w:tblPrEx>
          <w:tblCellMar>
            <w:top w:w="0" w:type="dxa"/>
            <w:left w:w="108" w:type="dxa"/>
            <w:bottom w:w="0" w:type="dxa"/>
            <w:right w:w="108" w:type="dxa"/>
          </w:tblCellMar>
        </w:tblPrEx>
        <w:trPr>
          <w:trHeight w:val="556" w:hRule="atLeast"/>
        </w:trPr>
        <w:tc>
          <w:tcPr>
            <w:tcW w:w="8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hAnsi="Times New Roman"/>
                <w:color w:val="auto"/>
                <w:sz w:val="21"/>
                <w:szCs w:val="21"/>
                <w:highlight w:val="none"/>
              </w:rPr>
            </w:pPr>
          </w:p>
        </w:tc>
        <w:tc>
          <w:tcPr>
            <w:tcW w:w="577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hAnsi="Times New Roman"/>
                <w:color w:val="auto"/>
                <w:sz w:val="21"/>
                <w:szCs w:val="21"/>
                <w:highlight w:val="none"/>
              </w:rPr>
            </w:pPr>
          </w:p>
        </w:tc>
        <w:tc>
          <w:tcPr>
            <w:tcW w:w="297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hAnsi="Times New Roman"/>
                <w:color w:val="auto"/>
                <w:sz w:val="21"/>
                <w:szCs w:val="21"/>
                <w:highlight w:val="none"/>
              </w:rPr>
            </w:pPr>
          </w:p>
        </w:tc>
      </w:tr>
      <w:tr>
        <w:tblPrEx>
          <w:tblCellMar>
            <w:top w:w="0" w:type="dxa"/>
            <w:left w:w="108" w:type="dxa"/>
            <w:bottom w:w="0" w:type="dxa"/>
            <w:right w:w="108" w:type="dxa"/>
          </w:tblCellMar>
        </w:tblPrEx>
        <w:trPr>
          <w:trHeight w:val="556" w:hRule="atLeast"/>
        </w:trPr>
        <w:tc>
          <w:tcPr>
            <w:tcW w:w="8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hAnsi="Times New Roman"/>
                <w:color w:val="auto"/>
                <w:sz w:val="21"/>
                <w:szCs w:val="21"/>
                <w:highlight w:val="none"/>
              </w:rPr>
            </w:pPr>
          </w:p>
        </w:tc>
        <w:tc>
          <w:tcPr>
            <w:tcW w:w="577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hAnsi="Times New Roman"/>
                <w:color w:val="auto"/>
                <w:sz w:val="21"/>
                <w:szCs w:val="21"/>
                <w:highlight w:val="none"/>
              </w:rPr>
            </w:pPr>
          </w:p>
        </w:tc>
        <w:tc>
          <w:tcPr>
            <w:tcW w:w="297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hAnsi="Times New Roman"/>
                <w:color w:val="auto"/>
                <w:sz w:val="21"/>
                <w:szCs w:val="21"/>
                <w:highlight w:val="none"/>
              </w:rPr>
            </w:pPr>
          </w:p>
        </w:tc>
      </w:tr>
      <w:tr>
        <w:tblPrEx>
          <w:tblCellMar>
            <w:top w:w="0" w:type="dxa"/>
            <w:left w:w="108" w:type="dxa"/>
            <w:bottom w:w="0" w:type="dxa"/>
            <w:right w:w="108" w:type="dxa"/>
          </w:tblCellMar>
        </w:tblPrEx>
        <w:trPr>
          <w:trHeight w:val="556" w:hRule="atLeast"/>
        </w:trPr>
        <w:tc>
          <w:tcPr>
            <w:tcW w:w="8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hAnsi="Times New Roman"/>
                <w:color w:val="auto"/>
                <w:sz w:val="21"/>
                <w:szCs w:val="21"/>
                <w:highlight w:val="none"/>
              </w:rPr>
            </w:pPr>
          </w:p>
        </w:tc>
        <w:tc>
          <w:tcPr>
            <w:tcW w:w="577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hAnsi="Times New Roman"/>
                <w:color w:val="auto"/>
                <w:sz w:val="21"/>
                <w:szCs w:val="21"/>
                <w:highlight w:val="none"/>
              </w:rPr>
            </w:pPr>
          </w:p>
        </w:tc>
        <w:tc>
          <w:tcPr>
            <w:tcW w:w="297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hAnsi="Times New Roman"/>
                <w:color w:val="auto"/>
                <w:sz w:val="21"/>
                <w:szCs w:val="21"/>
                <w:highlight w:val="none"/>
              </w:rPr>
            </w:pPr>
          </w:p>
        </w:tc>
      </w:tr>
      <w:tr>
        <w:tblPrEx>
          <w:tblCellMar>
            <w:top w:w="0" w:type="dxa"/>
            <w:left w:w="108" w:type="dxa"/>
            <w:bottom w:w="0" w:type="dxa"/>
            <w:right w:w="108" w:type="dxa"/>
          </w:tblCellMar>
        </w:tblPrEx>
        <w:trPr>
          <w:trHeight w:val="556" w:hRule="atLeast"/>
        </w:trPr>
        <w:tc>
          <w:tcPr>
            <w:tcW w:w="8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hAnsi="Times New Roman"/>
                <w:color w:val="auto"/>
                <w:sz w:val="21"/>
                <w:szCs w:val="21"/>
                <w:highlight w:val="none"/>
              </w:rPr>
            </w:pPr>
          </w:p>
        </w:tc>
        <w:tc>
          <w:tcPr>
            <w:tcW w:w="577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hAnsi="Times New Roman"/>
                <w:color w:val="auto"/>
                <w:sz w:val="21"/>
                <w:szCs w:val="21"/>
                <w:highlight w:val="none"/>
              </w:rPr>
            </w:pPr>
          </w:p>
        </w:tc>
        <w:tc>
          <w:tcPr>
            <w:tcW w:w="297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hAnsi="Times New Roman"/>
                <w:color w:val="auto"/>
                <w:sz w:val="21"/>
                <w:szCs w:val="21"/>
                <w:highlight w:val="none"/>
              </w:rPr>
            </w:pPr>
          </w:p>
        </w:tc>
      </w:tr>
    </w:tbl>
    <w:p>
      <w:pPr>
        <w:spacing w:line="312" w:lineRule="auto"/>
        <w:ind w:left="420"/>
        <w:rPr>
          <w:color w:val="auto"/>
          <w:sz w:val="21"/>
          <w:szCs w:val="21"/>
          <w:highlight w:val="none"/>
        </w:rPr>
      </w:pPr>
      <w:r>
        <w:rPr>
          <w:rFonts w:hint="eastAsia"/>
          <w:color w:val="auto"/>
          <w:sz w:val="21"/>
          <w:szCs w:val="21"/>
          <w:highlight w:val="none"/>
        </w:rPr>
        <w:t>1.2未入围投标人名单</w:t>
      </w:r>
    </w:p>
    <w:tbl>
      <w:tblPr>
        <w:tblStyle w:val="60"/>
        <w:tblW w:w="9639" w:type="dxa"/>
        <w:tblInd w:w="108" w:type="dxa"/>
        <w:tblLayout w:type="fixed"/>
        <w:tblCellMar>
          <w:top w:w="0" w:type="dxa"/>
          <w:left w:w="108" w:type="dxa"/>
          <w:bottom w:w="0" w:type="dxa"/>
          <w:right w:w="108" w:type="dxa"/>
        </w:tblCellMar>
      </w:tblPr>
      <w:tblGrid>
        <w:gridCol w:w="885"/>
        <w:gridCol w:w="3226"/>
        <w:gridCol w:w="2552"/>
        <w:gridCol w:w="2976"/>
      </w:tblGrid>
      <w:tr>
        <w:tblPrEx>
          <w:tblCellMar>
            <w:top w:w="0" w:type="dxa"/>
            <w:left w:w="108" w:type="dxa"/>
            <w:bottom w:w="0" w:type="dxa"/>
            <w:right w:w="108" w:type="dxa"/>
          </w:tblCellMar>
        </w:tblPrEx>
        <w:trPr>
          <w:trHeight w:val="556" w:hRule="atLeast"/>
        </w:trPr>
        <w:tc>
          <w:tcPr>
            <w:tcW w:w="8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hAnsi="Times New Roman"/>
                <w:color w:val="auto"/>
                <w:sz w:val="21"/>
                <w:szCs w:val="21"/>
                <w:highlight w:val="none"/>
              </w:rPr>
            </w:pPr>
            <w:r>
              <w:rPr>
                <w:rFonts w:hint="eastAsia" w:hAnsi="Times New Roman"/>
                <w:color w:val="auto"/>
                <w:sz w:val="21"/>
                <w:szCs w:val="21"/>
                <w:highlight w:val="none"/>
              </w:rPr>
              <w:t>序号</w:t>
            </w:r>
            <w:r>
              <w:rPr>
                <w:rFonts w:ascii="Times New Roman" w:hAnsi="Times New Roman"/>
                <w:color w:val="auto"/>
                <w:sz w:val="21"/>
                <w:szCs w:val="21"/>
                <w:highlight w:val="none"/>
              </w:rPr>
              <w:t> </w:t>
            </w:r>
          </w:p>
        </w:tc>
        <w:tc>
          <w:tcPr>
            <w:tcW w:w="3226" w:type="dxa"/>
            <w:tcBorders>
              <w:top w:val="single" w:color="auto" w:sz="4" w:space="0"/>
              <w:left w:val="nil"/>
              <w:bottom w:val="single" w:color="auto" w:sz="4" w:space="0"/>
              <w:right w:val="single" w:color="auto" w:sz="4" w:space="0"/>
            </w:tcBorders>
            <w:vAlign w:val="center"/>
          </w:tcPr>
          <w:p>
            <w:pPr>
              <w:adjustRightInd w:val="0"/>
              <w:snapToGrid w:val="0"/>
              <w:spacing w:line="240" w:lineRule="atLeast"/>
              <w:jc w:val="center"/>
              <w:rPr>
                <w:rFonts w:hAnsi="Times New Roman"/>
                <w:color w:val="auto"/>
                <w:sz w:val="21"/>
                <w:szCs w:val="21"/>
                <w:highlight w:val="none"/>
              </w:rPr>
            </w:pPr>
            <w:r>
              <w:rPr>
                <w:rFonts w:hint="eastAsia" w:hAnsi="Times New Roman"/>
                <w:color w:val="auto"/>
                <w:sz w:val="21"/>
                <w:szCs w:val="21"/>
                <w:highlight w:val="none"/>
              </w:rPr>
              <w:t>投标人名称</w:t>
            </w:r>
          </w:p>
        </w:tc>
        <w:tc>
          <w:tcPr>
            <w:tcW w:w="2552" w:type="dxa"/>
            <w:tcBorders>
              <w:top w:val="single" w:color="auto" w:sz="4" w:space="0"/>
              <w:left w:val="nil"/>
              <w:bottom w:val="single" w:color="auto" w:sz="4" w:space="0"/>
              <w:right w:val="single" w:color="auto" w:sz="4" w:space="0"/>
            </w:tcBorders>
            <w:vAlign w:val="center"/>
          </w:tcPr>
          <w:p>
            <w:pPr>
              <w:adjustRightInd w:val="0"/>
              <w:snapToGrid w:val="0"/>
              <w:spacing w:line="240" w:lineRule="atLeast"/>
              <w:jc w:val="center"/>
              <w:rPr>
                <w:rFonts w:hAnsi="Times New Roman"/>
                <w:color w:val="auto"/>
                <w:sz w:val="21"/>
                <w:szCs w:val="21"/>
                <w:highlight w:val="none"/>
              </w:rPr>
            </w:pPr>
            <w:r>
              <w:rPr>
                <w:rFonts w:hint="eastAsia" w:hAnsi="Times New Roman"/>
                <w:color w:val="auto"/>
                <w:sz w:val="21"/>
                <w:szCs w:val="21"/>
                <w:highlight w:val="none"/>
              </w:rPr>
              <w:t>资格审查结果</w:t>
            </w:r>
          </w:p>
        </w:tc>
        <w:tc>
          <w:tcPr>
            <w:tcW w:w="2976" w:type="dxa"/>
            <w:tcBorders>
              <w:top w:val="single" w:color="auto" w:sz="4" w:space="0"/>
              <w:left w:val="nil"/>
              <w:bottom w:val="single" w:color="auto" w:sz="4" w:space="0"/>
              <w:right w:val="single" w:color="auto" w:sz="4" w:space="0"/>
            </w:tcBorders>
            <w:vAlign w:val="center"/>
          </w:tcPr>
          <w:p>
            <w:pPr>
              <w:adjustRightInd w:val="0"/>
              <w:snapToGrid w:val="0"/>
              <w:spacing w:line="240" w:lineRule="atLeast"/>
              <w:jc w:val="center"/>
              <w:rPr>
                <w:rFonts w:hAnsi="Times New Roman"/>
                <w:color w:val="auto"/>
                <w:sz w:val="21"/>
                <w:szCs w:val="21"/>
                <w:highlight w:val="none"/>
              </w:rPr>
            </w:pPr>
            <w:r>
              <w:rPr>
                <w:rFonts w:hint="eastAsia" w:hAnsi="Times New Roman"/>
                <w:color w:val="auto"/>
                <w:sz w:val="21"/>
                <w:szCs w:val="21"/>
                <w:highlight w:val="none"/>
              </w:rPr>
              <w:t>未入围</w:t>
            </w:r>
            <w:r>
              <w:rPr>
                <w:rFonts w:hint="eastAsia" w:ascii="Times New Roman" w:hAnsi="Times New Roman"/>
                <w:color w:val="auto"/>
                <w:sz w:val="21"/>
                <w:szCs w:val="21"/>
                <w:highlight w:val="none"/>
              </w:rPr>
              <w:t>原因</w:t>
            </w:r>
          </w:p>
        </w:tc>
      </w:tr>
      <w:tr>
        <w:tblPrEx>
          <w:tblCellMar>
            <w:top w:w="0" w:type="dxa"/>
            <w:left w:w="108" w:type="dxa"/>
            <w:bottom w:w="0" w:type="dxa"/>
            <w:right w:w="108" w:type="dxa"/>
          </w:tblCellMar>
        </w:tblPrEx>
        <w:trPr>
          <w:trHeight w:val="556" w:hRule="atLeast"/>
        </w:trPr>
        <w:tc>
          <w:tcPr>
            <w:tcW w:w="8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hAnsi="Times New Roman"/>
                <w:color w:val="auto"/>
                <w:sz w:val="21"/>
                <w:szCs w:val="21"/>
                <w:highlight w:val="none"/>
              </w:rPr>
            </w:pPr>
          </w:p>
        </w:tc>
        <w:tc>
          <w:tcPr>
            <w:tcW w:w="322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hAnsi="Times New Roman"/>
                <w:color w:val="auto"/>
                <w:sz w:val="21"/>
                <w:szCs w:val="21"/>
                <w:highlight w:val="none"/>
              </w:rPr>
            </w:pPr>
          </w:p>
        </w:tc>
        <w:tc>
          <w:tcPr>
            <w:tcW w:w="25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hAnsi="Times New Roman"/>
                <w:color w:val="auto"/>
                <w:sz w:val="21"/>
                <w:szCs w:val="21"/>
                <w:highlight w:val="none"/>
              </w:rPr>
            </w:pPr>
          </w:p>
        </w:tc>
        <w:tc>
          <w:tcPr>
            <w:tcW w:w="297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hAnsi="Times New Roman"/>
                <w:color w:val="auto"/>
                <w:sz w:val="21"/>
                <w:szCs w:val="21"/>
                <w:highlight w:val="none"/>
              </w:rPr>
            </w:pPr>
          </w:p>
        </w:tc>
      </w:tr>
      <w:tr>
        <w:tblPrEx>
          <w:tblCellMar>
            <w:top w:w="0" w:type="dxa"/>
            <w:left w:w="108" w:type="dxa"/>
            <w:bottom w:w="0" w:type="dxa"/>
            <w:right w:w="108" w:type="dxa"/>
          </w:tblCellMar>
        </w:tblPrEx>
        <w:trPr>
          <w:trHeight w:val="556" w:hRule="atLeast"/>
        </w:trPr>
        <w:tc>
          <w:tcPr>
            <w:tcW w:w="8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hAnsi="Times New Roman"/>
                <w:color w:val="auto"/>
                <w:sz w:val="21"/>
                <w:szCs w:val="21"/>
                <w:highlight w:val="none"/>
              </w:rPr>
            </w:pPr>
          </w:p>
        </w:tc>
        <w:tc>
          <w:tcPr>
            <w:tcW w:w="322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hAnsi="Times New Roman"/>
                <w:color w:val="auto"/>
                <w:sz w:val="21"/>
                <w:szCs w:val="21"/>
                <w:highlight w:val="none"/>
              </w:rPr>
            </w:pPr>
          </w:p>
        </w:tc>
        <w:tc>
          <w:tcPr>
            <w:tcW w:w="25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hAnsi="Times New Roman"/>
                <w:color w:val="auto"/>
                <w:sz w:val="21"/>
                <w:szCs w:val="21"/>
                <w:highlight w:val="none"/>
              </w:rPr>
            </w:pPr>
          </w:p>
        </w:tc>
        <w:tc>
          <w:tcPr>
            <w:tcW w:w="297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hAnsi="Times New Roman"/>
                <w:color w:val="auto"/>
                <w:sz w:val="21"/>
                <w:szCs w:val="21"/>
                <w:highlight w:val="none"/>
              </w:rPr>
            </w:pPr>
          </w:p>
        </w:tc>
      </w:tr>
      <w:tr>
        <w:tblPrEx>
          <w:tblCellMar>
            <w:top w:w="0" w:type="dxa"/>
            <w:left w:w="108" w:type="dxa"/>
            <w:bottom w:w="0" w:type="dxa"/>
            <w:right w:w="108" w:type="dxa"/>
          </w:tblCellMar>
        </w:tblPrEx>
        <w:trPr>
          <w:trHeight w:val="556" w:hRule="atLeast"/>
        </w:trPr>
        <w:tc>
          <w:tcPr>
            <w:tcW w:w="8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hAnsi="Times New Roman"/>
                <w:color w:val="auto"/>
                <w:sz w:val="21"/>
                <w:szCs w:val="21"/>
                <w:highlight w:val="none"/>
              </w:rPr>
            </w:pPr>
          </w:p>
        </w:tc>
        <w:tc>
          <w:tcPr>
            <w:tcW w:w="322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hAnsi="Times New Roman"/>
                <w:color w:val="auto"/>
                <w:sz w:val="21"/>
                <w:szCs w:val="21"/>
                <w:highlight w:val="none"/>
              </w:rPr>
            </w:pPr>
          </w:p>
        </w:tc>
        <w:tc>
          <w:tcPr>
            <w:tcW w:w="25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hAnsi="Times New Roman"/>
                <w:color w:val="auto"/>
                <w:sz w:val="21"/>
                <w:szCs w:val="21"/>
                <w:highlight w:val="none"/>
              </w:rPr>
            </w:pPr>
          </w:p>
        </w:tc>
        <w:tc>
          <w:tcPr>
            <w:tcW w:w="297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hAnsi="Times New Roman"/>
                <w:color w:val="auto"/>
                <w:sz w:val="21"/>
                <w:szCs w:val="21"/>
                <w:highlight w:val="none"/>
              </w:rPr>
            </w:pPr>
          </w:p>
        </w:tc>
      </w:tr>
      <w:tr>
        <w:tblPrEx>
          <w:tblCellMar>
            <w:top w:w="0" w:type="dxa"/>
            <w:left w:w="108" w:type="dxa"/>
            <w:bottom w:w="0" w:type="dxa"/>
            <w:right w:w="108" w:type="dxa"/>
          </w:tblCellMar>
        </w:tblPrEx>
        <w:trPr>
          <w:trHeight w:val="556" w:hRule="atLeast"/>
        </w:trPr>
        <w:tc>
          <w:tcPr>
            <w:tcW w:w="8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hAnsi="Times New Roman"/>
                <w:color w:val="auto"/>
                <w:sz w:val="21"/>
                <w:szCs w:val="21"/>
                <w:highlight w:val="none"/>
              </w:rPr>
            </w:pPr>
          </w:p>
        </w:tc>
        <w:tc>
          <w:tcPr>
            <w:tcW w:w="322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hAnsi="Times New Roman"/>
                <w:color w:val="auto"/>
                <w:sz w:val="21"/>
                <w:szCs w:val="21"/>
                <w:highlight w:val="none"/>
              </w:rPr>
            </w:pPr>
          </w:p>
        </w:tc>
        <w:tc>
          <w:tcPr>
            <w:tcW w:w="25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hAnsi="Times New Roman"/>
                <w:color w:val="auto"/>
                <w:sz w:val="21"/>
                <w:szCs w:val="21"/>
                <w:highlight w:val="none"/>
              </w:rPr>
            </w:pPr>
          </w:p>
        </w:tc>
        <w:tc>
          <w:tcPr>
            <w:tcW w:w="297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hAnsi="Times New Roman"/>
                <w:color w:val="auto"/>
                <w:sz w:val="21"/>
                <w:szCs w:val="21"/>
                <w:highlight w:val="none"/>
              </w:rPr>
            </w:pPr>
          </w:p>
        </w:tc>
      </w:tr>
      <w:tr>
        <w:tblPrEx>
          <w:tblCellMar>
            <w:top w:w="0" w:type="dxa"/>
            <w:left w:w="108" w:type="dxa"/>
            <w:bottom w:w="0" w:type="dxa"/>
            <w:right w:w="108" w:type="dxa"/>
          </w:tblCellMar>
        </w:tblPrEx>
        <w:trPr>
          <w:trHeight w:val="556" w:hRule="atLeast"/>
        </w:trPr>
        <w:tc>
          <w:tcPr>
            <w:tcW w:w="8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hAnsi="Times New Roman"/>
                <w:color w:val="auto"/>
                <w:sz w:val="21"/>
                <w:szCs w:val="21"/>
                <w:highlight w:val="none"/>
              </w:rPr>
            </w:pPr>
          </w:p>
        </w:tc>
        <w:tc>
          <w:tcPr>
            <w:tcW w:w="322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hAnsi="Times New Roman"/>
                <w:color w:val="auto"/>
                <w:sz w:val="21"/>
                <w:szCs w:val="21"/>
                <w:highlight w:val="none"/>
              </w:rPr>
            </w:pPr>
          </w:p>
        </w:tc>
        <w:tc>
          <w:tcPr>
            <w:tcW w:w="25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hAnsi="Times New Roman"/>
                <w:color w:val="auto"/>
                <w:sz w:val="21"/>
                <w:szCs w:val="21"/>
                <w:highlight w:val="none"/>
              </w:rPr>
            </w:pPr>
          </w:p>
        </w:tc>
        <w:tc>
          <w:tcPr>
            <w:tcW w:w="297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hAnsi="Times New Roman"/>
                <w:color w:val="auto"/>
                <w:sz w:val="21"/>
                <w:szCs w:val="21"/>
                <w:highlight w:val="none"/>
              </w:rPr>
            </w:pPr>
          </w:p>
        </w:tc>
      </w:tr>
      <w:tr>
        <w:tblPrEx>
          <w:tblCellMar>
            <w:top w:w="0" w:type="dxa"/>
            <w:left w:w="108" w:type="dxa"/>
            <w:bottom w:w="0" w:type="dxa"/>
            <w:right w:w="108" w:type="dxa"/>
          </w:tblCellMar>
        </w:tblPrEx>
        <w:trPr>
          <w:trHeight w:val="556" w:hRule="atLeast"/>
        </w:trPr>
        <w:tc>
          <w:tcPr>
            <w:tcW w:w="8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hAnsi="Times New Roman"/>
                <w:color w:val="auto"/>
                <w:sz w:val="21"/>
                <w:szCs w:val="21"/>
                <w:highlight w:val="none"/>
              </w:rPr>
            </w:pPr>
          </w:p>
        </w:tc>
        <w:tc>
          <w:tcPr>
            <w:tcW w:w="322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hAnsi="Times New Roman"/>
                <w:color w:val="auto"/>
                <w:sz w:val="21"/>
                <w:szCs w:val="21"/>
                <w:highlight w:val="none"/>
              </w:rPr>
            </w:pPr>
          </w:p>
        </w:tc>
        <w:tc>
          <w:tcPr>
            <w:tcW w:w="25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hAnsi="Times New Roman"/>
                <w:color w:val="auto"/>
                <w:sz w:val="21"/>
                <w:szCs w:val="21"/>
                <w:highlight w:val="none"/>
              </w:rPr>
            </w:pPr>
          </w:p>
        </w:tc>
        <w:tc>
          <w:tcPr>
            <w:tcW w:w="297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hAnsi="Times New Roman"/>
                <w:color w:val="auto"/>
                <w:sz w:val="21"/>
                <w:szCs w:val="21"/>
                <w:highlight w:val="none"/>
              </w:rPr>
            </w:pPr>
          </w:p>
        </w:tc>
      </w:tr>
      <w:tr>
        <w:tblPrEx>
          <w:tblCellMar>
            <w:top w:w="0" w:type="dxa"/>
            <w:left w:w="108" w:type="dxa"/>
            <w:bottom w:w="0" w:type="dxa"/>
            <w:right w:w="108" w:type="dxa"/>
          </w:tblCellMar>
        </w:tblPrEx>
        <w:trPr>
          <w:trHeight w:val="556" w:hRule="atLeast"/>
        </w:trPr>
        <w:tc>
          <w:tcPr>
            <w:tcW w:w="8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hAnsi="Times New Roman"/>
                <w:color w:val="auto"/>
                <w:sz w:val="21"/>
                <w:szCs w:val="21"/>
                <w:highlight w:val="none"/>
              </w:rPr>
            </w:pPr>
          </w:p>
        </w:tc>
        <w:tc>
          <w:tcPr>
            <w:tcW w:w="322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hAnsi="Times New Roman"/>
                <w:color w:val="auto"/>
                <w:sz w:val="21"/>
                <w:szCs w:val="21"/>
                <w:highlight w:val="none"/>
              </w:rPr>
            </w:pPr>
          </w:p>
        </w:tc>
        <w:tc>
          <w:tcPr>
            <w:tcW w:w="2552"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hAnsi="Times New Roman"/>
                <w:color w:val="auto"/>
                <w:sz w:val="21"/>
                <w:szCs w:val="21"/>
                <w:highlight w:val="none"/>
              </w:rPr>
            </w:pPr>
          </w:p>
        </w:tc>
        <w:tc>
          <w:tcPr>
            <w:tcW w:w="2976"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hAnsi="Times New Roman"/>
                <w:color w:val="auto"/>
                <w:sz w:val="21"/>
                <w:szCs w:val="21"/>
                <w:highlight w:val="none"/>
              </w:rPr>
            </w:pPr>
          </w:p>
        </w:tc>
      </w:tr>
    </w:tbl>
    <w:p>
      <w:pPr>
        <w:pStyle w:val="58"/>
        <w:rPr>
          <w:color w:val="auto"/>
          <w:szCs w:val="21"/>
          <w:highlight w:val="none"/>
        </w:rPr>
      </w:pPr>
    </w:p>
    <w:p>
      <w:pPr>
        <w:spacing w:line="360" w:lineRule="auto"/>
        <w:ind w:firstLine="426"/>
        <w:rPr>
          <w:rFonts w:ascii="Calibri" w:hAnsi="Calibri" w:cs="Calibri"/>
          <w:color w:val="auto"/>
          <w:sz w:val="24"/>
          <w:szCs w:val="24"/>
          <w:highlight w:val="none"/>
        </w:rPr>
      </w:pPr>
      <w:r>
        <w:rPr>
          <w:rFonts w:hint="eastAsia" w:cs="宋体"/>
          <w:color w:val="auto"/>
          <w:sz w:val="21"/>
          <w:szCs w:val="21"/>
          <w:highlight w:val="none"/>
        </w:rPr>
        <w:t>二、推荐的定标候选人及主要投标内容：</w:t>
      </w:r>
    </w:p>
    <w:tbl>
      <w:tblPr>
        <w:tblStyle w:val="60"/>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87"/>
        <w:gridCol w:w="1215"/>
        <w:gridCol w:w="1063"/>
        <w:gridCol w:w="911"/>
        <w:gridCol w:w="911"/>
        <w:gridCol w:w="911"/>
        <w:gridCol w:w="911"/>
        <w:gridCol w:w="9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3" w:hRule="atLeast"/>
        </w:trPr>
        <w:tc>
          <w:tcPr>
            <w:tcW w:w="2887" w:type="dxa"/>
            <w:tcBorders>
              <w:top w:val="single" w:color="auto" w:sz="4" w:space="0"/>
              <w:left w:val="single" w:color="auto" w:sz="4" w:space="0"/>
              <w:bottom w:val="single" w:color="auto" w:sz="4" w:space="0"/>
              <w:right w:val="single" w:color="auto" w:sz="4" w:space="0"/>
              <w:tl2br w:val="single" w:color="auto" w:sz="4" w:space="0"/>
            </w:tcBorders>
          </w:tcPr>
          <w:p>
            <w:pPr>
              <w:ind w:left="1020" w:leftChars="300" w:firstLine="420" w:firstLineChars="200"/>
              <w:jc w:val="left"/>
              <w:rPr>
                <w:rFonts w:cs="宋体"/>
                <w:color w:val="auto"/>
                <w:sz w:val="21"/>
                <w:szCs w:val="21"/>
                <w:highlight w:val="none"/>
              </w:rPr>
            </w:pPr>
          </w:p>
          <w:p>
            <w:pPr>
              <w:ind w:left="1020" w:leftChars="300" w:firstLine="420" w:firstLineChars="200"/>
              <w:jc w:val="left"/>
              <w:rPr>
                <w:rFonts w:cs="宋体"/>
                <w:color w:val="auto"/>
                <w:sz w:val="21"/>
                <w:szCs w:val="21"/>
                <w:highlight w:val="none"/>
              </w:rPr>
            </w:pPr>
          </w:p>
          <w:p>
            <w:pPr>
              <w:ind w:firstLine="1260" w:firstLineChars="600"/>
              <w:jc w:val="left"/>
              <w:rPr>
                <w:rFonts w:ascii="Calibri" w:hAnsi="Calibri" w:cs="Calibri"/>
                <w:color w:val="auto"/>
                <w:sz w:val="21"/>
                <w:szCs w:val="21"/>
                <w:highlight w:val="none"/>
              </w:rPr>
            </w:pPr>
            <w:r>
              <w:rPr>
                <w:rFonts w:ascii="Calibri" w:hAnsi="Calibri" w:cs="Calibri"/>
                <w:color w:val="auto"/>
                <w:sz w:val="21"/>
                <w:szCs w:val="21"/>
                <w:highlight w:val="none"/>
              </w:rPr>
              <w:t>投标主要内容</w:t>
            </w:r>
          </w:p>
          <w:p>
            <w:pPr>
              <w:ind w:left="1020" w:leftChars="300" w:firstLine="420" w:firstLineChars="200"/>
              <w:jc w:val="left"/>
              <w:rPr>
                <w:rFonts w:ascii="Calibri" w:hAnsi="Calibri" w:cs="Calibri"/>
                <w:color w:val="auto"/>
                <w:sz w:val="21"/>
                <w:szCs w:val="21"/>
                <w:highlight w:val="none"/>
              </w:rPr>
            </w:pPr>
          </w:p>
          <w:p>
            <w:pPr>
              <w:jc w:val="left"/>
              <w:rPr>
                <w:rFonts w:cs="宋体"/>
                <w:color w:val="auto"/>
                <w:sz w:val="21"/>
                <w:szCs w:val="21"/>
                <w:highlight w:val="none"/>
              </w:rPr>
            </w:pPr>
          </w:p>
          <w:p>
            <w:pPr>
              <w:jc w:val="left"/>
              <w:rPr>
                <w:rFonts w:cs="宋体"/>
                <w:color w:val="auto"/>
                <w:sz w:val="21"/>
                <w:szCs w:val="21"/>
                <w:highlight w:val="none"/>
              </w:rPr>
            </w:pPr>
          </w:p>
          <w:p>
            <w:pPr>
              <w:jc w:val="left"/>
              <w:rPr>
                <w:rFonts w:ascii="Calibri" w:hAnsi="Calibri" w:cs="Calibri"/>
                <w:color w:val="auto"/>
                <w:sz w:val="21"/>
                <w:szCs w:val="21"/>
                <w:highlight w:val="none"/>
              </w:rPr>
            </w:pPr>
            <w:r>
              <w:rPr>
                <w:rFonts w:hint="eastAsia" w:cs="宋体"/>
                <w:color w:val="auto"/>
                <w:sz w:val="21"/>
                <w:szCs w:val="21"/>
                <w:highlight w:val="none"/>
              </w:rPr>
              <w:t>定标候选人名称</w:t>
            </w:r>
          </w:p>
        </w:tc>
        <w:tc>
          <w:tcPr>
            <w:tcW w:w="1215" w:type="dxa"/>
            <w:tcBorders>
              <w:top w:val="single" w:color="auto" w:sz="4" w:space="0"/>
              <w:left w:val="nil"/>
              <w:bottom w:val="single" w:color="auto" w:sz="4" w:space="0"/>
              <w:right w:val="single" w:color="auto" w:sz="4" w:space="0"/>
            </w:tcBorders>
            <w:vAlign w:val="center"/>
          </w:tcPr>
          <w:p>
            <w:pPr>
              <w:jc w:val="center"/>
              <w:rPr>
                <w:rFonts w:ascii="Calibri" w:hAnsi="Calibri" w:cs="Calibri"/>
                <w:color w:val="auto"/>
                <w:sz w:val="21"/>
                <w:szCs w:val="21"/>
                <w:highlight w:val="none"/>
              </w:rPr>
            </w:pPr>
            <w:r>
              <w:rPr>
                <w:rFonts w:hint="eastAsia" w:cs="宋体"/>
                <w:color w:val="auto"/>
                <w:sz w:val="21"/>
                <w:szCs w:val="21"/>
                <w:highlight w:val="none"/>
              </w:rPr>
              <w:t>投标报价总价（元）</w:t>
            </w:r>
          </w:p>
        </w:tc>
        <w:tc>
          <w:tcPr>
            <w:tcW w:w="1063" w:type="dxa"/>
            <w:tcBorders>
              <w:top w:val="single" w:color="auto" w:sz="4" w:space="0"/>
              <w:left w:val="nil"/>
              <w:bottom w:val="single" w:color="auto" w:sz="4" w:space="0"/>
              <w:right w:val="single" w:color="auto" w:sz="4" w:space="0"/>
            </w:tcBorders>
            <w:vAlign w:val="center"/>
          </w:tcPr>
          <w:p>
            <w:pPr>
              <w:jc w:val="center"/>
              <w:rPr>
                <w:rFonts w:ascii="Calibri" w:hAnsi="Calibri" w:cs="Calibri"/>
                <w:color w:val="auto"/>
                <w:sz w:val="21"/>
                <w:szCs w:val="21"/>
                <w:highlight w:val="none"/>
              </w:rPr>
            </w:pPr>
            <w:r>
              <w:rPr>
                <w:rFonts w:hint="eastAsia" w:cs="宋体"/>
                <w:color w:val="auto"/>
                <w:sz w:val="21"/>
                <w:szCs w:val="21"/>
                <w:highlight w:val="none"/>
              </w:rPr>
              <w:t>工期（日历天）</w:t>
            </w:r>
          </w:p>
        </w:tc>
        <w:tc>
          <w:tcPr>
            <w:tcW w:w="911" w:type="dxa"/>
            <w:tcBorders>
              <w:top w:val="single" w:color="auto" w:sz="4" w:space="0"/>
              <w:left w:val="nil"/>
              <w:bottom w:val="single" w:color="auto" w:sz="4" w:space="0"/>
              <w:right w:val="single" w:color="auto" w:sz="4" w:space="0"/>
            </w:tcBorders>
            <w:vAlign w:val="center"/>
          </w:tcPr>
          <w:p>
            <w:pPr>
              <w:jc w:val="center"/>
              <w:rPr>
                <w:rFonts w:ascii="Calibri" w:hAnsi="Calibri" w:cs="Calibri"/>
                <w:color w:val="auto"/>
                <w:sz w:val="21"/>
                <w:szCs w:val="21"/>
                <w:highlight w:val="none"/>
              </w:rPr>
            </w:pPr>
            <w:r>
              <w:rPr>
                <w:rFonts w:hint="eastAsia" w:cs="宋体"/>
                <w:color w:val="auto"/>
                <w:sz w:val="21"/>
                <w:szCs w:val="21"/>
                <w:highlight w:val="none"/>
              </w:rPr>
              <w:t>质量标准</w:t>
            </w:r>
          </w:p>
        </w:tc>
        <w:tc>
          <w:tcPr>
            <w:tcW w:w="911" w:type="dxa"/>
            <w:tcBorders>
              <w:top w:val="single" w:color="auto" w:sz="4" w:space="0"/>
              <w:left w:val="nil"/>
              <w:bottom w:val="single" w:color="auto" w:sz="4" w:space="0"/>
              <w:right w:val="single" w:color="auto" w:sz="4" w:space="0"/>
            </w:tcBorders>
            <w:vAlign w:val="center"/>
          </w:tcPr>
          <w:p>
            <w:pPr>
              <w:jc w:val="center"/>
              <w:rPr>
                <w:rFonts w:ascii="Calibri" w:hAnsi="Calibri" w:cs="Calibri"/>
                <w:color w:val="auto"/>
                <w:sz w:val="21"/>
                <w:szCs w:val="21"/>
                <w:highlight w:val="none"/>
              </w:rPr>
            </w:pPr>
            <w:r>
              <w:rPr>
                <w:rFonts w:hint="eastAsia" w:cs="宋体"/>
                <w:color w:val="auto"/>
                <w:sz w:val="21"/>
                <w:szCs w:val="21"/>
                <w:highlight w:val="none"/>
              </w:rPr>
              <w:t>项目负责人</w:t>
            </w:r>
          </w:p>
        </w:tc>
        <w:tc>
          <w:tcPr>
            <w:tcW w:w="911" w:type="dxa"/>
            <w:tcBorders>
              <w:top w:val="single" w:color="auto" w:sz="4" w:space="0"/>
              <w:left w:val="nil"/>
              <w:bottom w:val="single" w:color="auto" w:sz="4" w:space="0"/>
              <w:right w:val="single" w:color="auto" w:sz="4" w:space="0"/>
            </w:tcBorders>
            <w:vAlign w:val="center"/>
          </w:tcPr>
          <w:p>
            <w:pPr>
              <w:jc w:val="center"/>
              <w:rPr>
                <w:rFonts w:ascii="Calibri" w:hAnsi="Calibri" w:cs="Calibri"/>
                <w:color w:val="auto"/>
                <w:sz w:val="21"/>
                <w:szCs w:val="21"/>
                <w:highlight w:val="none"/>
              </w:rPr>
            </w:pPr>
            <w:r>
              <w:rPr>
                <w:rFonts w:hint="eastAsia" w:cs="宋体"/>
                <w:color w:val="auto"/>
                <w:sz w:val="21"/>
                <w:szCs w:val="21"/>
                <w:highlight w:val="none"/>
              </w:rPr>
              <w:t>项目负责人执业资格（职称）证书或职称证书名称</w:t>
            </w:r>
          </w:p>
        </w:tc>
        <w:tc>
          <w:tcPr>
            <w:tcW w:w="911" w:type="dxa"/>
            <w:tcBorders>
              <w:top w:val="single" w:color="auto" w:sz="4" w:space="0"/>
              <w:left w:val="nil"/>
              <w:bottom w:val="single" w:color="auto" w:sz="4" w:space="0"/>
              <w:right w:val="single" w:color="auto" w:sz="4" w:space="0"/>
            </w:tcBorders>
            <w:vAlign w:val="center"/>
          </w:tcPr>
          <w:p>
            <w:pPr>
              <w:jc w:val="center"/>
              <w:rPr>
                <w:rFonts w:ascii="Calibri" w:hAnsi="Calibri" w:cs="Calibri"/>
                <w:color w:val="auto"/>
                <w:sz w:val="21"/>
                <w:szCs w:val="21"/>
                <w:highlight w:val="none"/>
              </w:rPr>
            </w:pPr>
            <w:r>
              <w:rPr>
                <w:rFonts w:hint="eastAsia" w:cs="宋体"/>
                <w:color w:val="auto"/>
                <w:sz w:val="21"/>
                <w:szCs w:val="21"/>
                <w:highlight w:val="none"/>
              </w:rPr>
              <w:t>项目负责人执业资格证书注册（证书）或职称证书编号</w:t>
            </w:r>
          </w:p>
        </w:tc>
        <w:tc>
          <w:tcPr>
            <w:tcW w:w="911" w:type="dxa"/>
            <w:tcBorders>
              <w:top w:val="single" w:color="auto" w:sz="4" w:space="0"/>
              <w:left w:val="nil"/>
              <w:bottom w:val="single" w:color="auto" w:sz="4" w:space="0"/>
              <w:right w:val="single" w:color="auto" w:sz="4" w:space="0"/>
            </w:tcBorders>
            <w:vAlign w:val="center"/>
          </w:tcPr>
          <w:p>
            <w:pPr>
              <w:jc w:val="center"/>
              <w:rPr>
                <w:rFonts w:cs="宋体"/>
                <w:color w:val="auto"/>
                <w:sz w:val="21"/>
                <w:szCs w:val="21"/>
                <w:highlight w:val="none"/>
              </w:rPr>
            </w:pPr>
            <w:r>
              <w:rPr>
                <w:rFonts w:hint="eastAsia" w:cs="宋体"/>
                <w:color w:val="auto"/>
                <w:sz w:val="21"/>
                <w:szCs w:val="21"/>
                <w:highlight w:val="none"/>
              </w:rPr>
              <w:t>定标候选人的类似工程业绩（如有时）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2887"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sz w:val="21"/>
                <w:szCs w:val="21"/>
                <w:highlight w:val="none"/>
              </w:rPr>
            </w:pPr>
          </w:p>
        </w:tc>
        <w:tc>
          <w:tcPr>
            <w:tcW w:w="1215" w:type="dxa"/>
            <w:tcBorders>
              <w:top w:val="single" w:color="auto" w:sz="4" w:space="0"/>
              <w:left w:val="nil"/>
              <w:bottom w:val="single" w:color="auto" w:sz="4" w:space="0"/>
              <w:right w:val="single" w:color="auto" w:sz="4" w:space="0"/>
            </w:tcBorders>
          </w:tcPr>
          <w:p>
            <w:pPr>
              <w:spacing w:line="400" w:lineRule="exact"/>
              <w:jc w:val="center"/>
              <w:rPr>
                <w:rFonts w:cs="宋体"/>
                <w:color w:val="auto"/>
                <w:sz w:val="21"/>
                <w:szCs w:val="21"/>
                <w:highlight w:val="none"/>
              </w:rPr>
            </w:pPr>
          </w:p>
        </w:tc>
        <w:tc>
          <w:tcPr>
            <w:tcW w:w="1063" w:type="dxa"/>
            <w:tcBorders>
              <w:top w:val="single" w:color="auto" w:sz="4" w:space="0"/>
              <w:left w:val="nil"/>
              <w:bottom w:val="single" w:color="auto" w:sz="4" w:space="0"/>
              <w:right w:val="single" w:color="auto" w:sz="4" w:space="0"/>
            </w:tcBorders>
          </w:tcPr>
          <w:p>
            <w:pPr>
              <w:spacing w:line="400" w:lineRule="exact"/>
              <w:jc w:val="center"/>
              <w:rPr>
                <w:rFonts w:cs="宋体"/>
                <w:color w:val="auto"/>
                <w:sz w:val="21"/>
                <w:szCs w:val="21"/>
                <w:highlight w:val="none"/>
              </w:rPr>
            </w:pPr>
          </w:p>
        </w:tc>
        <w:tc>
          <w:tcPr>
            <w:tcW w:w="911" w:type="dxa"/>
            <w:tcBorders>
              <w:top w:val="single" w:color="auto" w:sz="4" w:space="0"/>
              <w:left w:val="nil"/>
              <w:bottom w:val="single" w:color="auto" w:sz="4" w:space="0"/>
              <w:right w:val="single" w:color="auto" w:sz="4" w:space="0"/>
            </w:tcBorders>
          </w:tcPr>
          <w:p>
            <w:pPr>
              <w:spacing w:line="400" w:lineRule="exact"/>
              <w:jc w:val="center"/>
              <w:rPr>
                <w:rFonts w:cs="宋体"/>
                <w:color w:val="auto"/>
                <w:sz w:val="21"/>
                <w:szCs w:val="21"/>
                <w:highlight w:val="none"/>
              </w:rPr>
            </w:pPr>
          </w:p>
        </w:tc>
        <w:tc>
          <w:tcPr>
            <w:tcW w:w="911" w:type="dxa"/>
            <w:tcBorders>
              <w:top w:val="single" w:color="auto" w:sz="4" w:space="0"/>
              <w:left w:val="nil"/>
              <w:bottom w:val="single" w:color="auto" w:sz="4" w:space="0"/>
              <w:right w:val="single" w:color="auto" w:sz="4" w:space="0"/>
            </w:tcBorders>
            <w:vAlign w:val="center"/>
          </w:tcPr>
          <w:p>
            <w:pPr>
              <w:spacing w:line="400" w:lineRule="exact"/>
              <w:jc w:val="center"/>
              <w:rPr>
                <w:rFonts w:cs="宋体"/>
                <w:color w:val="auto"/>
                <w:sz w:val="21"/>
                <w:szCs w:val="21"/>
                <w:highlight w:val="none"/>
              </w:rPr>
            </w:pPr>
          </w:p>
        </w:tc>
        <w:tc>
          <w:tcPr>
            <w:tcW w:w="911" w:type="dxa"/>
            <w:tcBorders>
              <w:top w:val="single" w:color="auto" w:sz="4" w:space="0"/>
              <w:left w:val="nil"/>
              <w:bottom w:val="single" w:color="auto" w:sz="4" w:space="0"/>
              <w:right w:val="single" w:color="auto" w:sz="4" w:space="0"/>
            </w:tcBorders>
            <w:vAlign w:val="center"/>
          </w:tcPr>
          <w:p>
            <w:pPr>
              <w:spacing w:line="400" w:lineRule="exact"/>
              <w:jc w:val="center"/>
              <w:rPr>
                <w:rFonts w:cs="宋体"/>
                <w:color w:val="auto"/>
                <w:sz w:val="21"/>
                <w:szCs w:val="21"/>
                <w:highlight w:val="none"/>
              </w:rPr>
            </w:pPr>
          </w:p>
        </w:tc>
        <w:tc>
          <w:tcPr>
            <w:tcW w:w="911" w:type="dxa"/>
            <w:tcBorders>
              <w:top w:val="single" w:color="auto" w:sz="4" w:space="0"/>
              <w:left w:val="nil"/>
              <w:bottom w:val="single" w:color="auto" w:sz="4" w:space="0"/>
              <w:right w:val="single" w:color="auto" w:sz="4" w:space="0"/>
            </w:tcBorders>
            <w:vAlign w:val="center"/>
          </w:tcPr>
          <w:p>
            <w:pPr>
              <w:spacing w:line="400" w:lineRule="exact"/>
              <w:jc w:val="center"/>
              <w:rPr>
                <w:rFonts w:cs="宋体"/>
                <w:color w:val="auto"/>
                <w:sz w:val="21"/>
                <w:szCs w:val="21"/>
                <w:highlight w:val="none"/>
              </w:rPr>
            </w:pPr>
          </w:p>
        </w:tc>
        <w:tc>
          <w:tcPr>
            <w:tcW w:w="911" w:type="dxa"/>
            <w:tcBorders>
              <w:top w:val="single" w:color="auto" w:sz="4" w:space="0"/>
              <w:left w:val="nil"/>
              <w:bottom w:val="single" w:color="auto" w:sz="4" w:space="0"/>
              <w:right w:val="single" w:color="auto" w:sz="4" w:space="0"/>
            </w:tcBorders>
            <w:vAlign w:val="center"/>
          </w:tcPr>
          <w:p>
            <w:pPr>
              <w:spacing w:line="400" w:lineRule="exact"/>
              <w:jc w:val="center"/>
              <w:rPr>
                <w:rFonts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2887" w:type="dxa"/>
            <w:tcBorders>
              <w:top w:val="single" w:color="auto" w:sz="4" w:space="0"/>
              <w:left w:val="single" w:color="auto" w:sz="4" w:space="0"/>
              <w:bottom w:val="single" w:color="auto" w:sz="4" w:space="0"/>
              <w:right w:val="single" w:color="auto" w:sz="4" w:space="0"/>
            </w:tcBorders>
            <w:vAlign w:val="center"/>
          </w:tcPr>
          <w:p>
            <w:pPr>
              <w:jc w:val="center"/>
              <w:rPr>
                <w:rFonts w:ascii="Calibri" w:hAnsi="Calibri" w:cs="Calibri"/>
                <w:color w:val="auto"/>
                <w:sz w:val="21"/>
                <w:szCs w:val="21"/>
                <w:highlight w:val="none"/>
              </w:rPr>
            </w:pPr>
          </w:p>
        </w:tc>
        <w:tc>
          <w:tcPr>
            <w:tcW w:w="1215" w:type="dxa"/>
            <w:tcBorders>
              <w:top w:val="single" w:color="auto" w:sz="4" w:space="0"/>
              <w:left w:val="nil"/>
              <w:bottom w:val="single" w:color="auto" w:sz="4" w:space="0"/>
              <w:right w:val="single" w:color="auto" w:sz="4" w:space="0"/>
            </w:tcBorders>
            <w:vAlign w:val="center"/>
          </w:tcPr>
          <w:p>
            <w:pPr>
              <w:spacing w:before="100" w:after="100"/>
              <w:jc w:val="center"/>
              <w:rPr>
                <w:rFonts w:cs="宋体"/>
                <w:color w:val="auto"/>
                <w:sz w:val="21"/>
                <w:szCs w:val="21"/>
                <w:highlight w:val="none"/>
              </w:rPr>
            </w:pPr>
          </w:p>
        </w:tc>
        <w:tc>
          <w:tcPr>
            <w:tcW w:w="1063" w:type="dxa"/>
            <w:tcBorders>
              <w:top w:val="single" w:color="auto" w:sz="4" w:space="0"/>
              <w:left w:val="nil"/>
              <w:bottom w:val="single" w:color="auto" w:sz="4" w:space="0"/>
              <w:right w:val="single" w:color="auto" w:sz="4" w:space="0"/>
            </w:tcBorders>
            <w:vAlign w:val="center"/>
          </w:tcPr>
          <w:p>
            <w:pPr>
              <w:jc w:val="center"/>
              <w:rPr>
                <w:rFonts w:cs="宋体"/>
                <w:color w:val="auto"/>
                <w:sz w:val="21"/>
                <w:szCs w:val="21"/>
                <w:highlight w:val="none"/>
              </w:rPr>
            </w:pPr>
          </w:p>
        </w:tc>
        <w:tc>
          <w:tcPr>
            <w:tcW w:w="911" w:type="dxa"/>
            <w:tcBorders>
              <w:top w:val="single" w:color="auto" w:sz="4" w:space="0"/>
              <w:left w:val="nil"/>
              <w:bottom w:val="single" w:color="auto" w:sz="4" w:space="0"/>
              <w:right w:val="single" w:color="auto" w:sz="4" w:space="0"/>
            </w:tcBorders>
            <w:vAlign w:val="center"/>
          </w:tcPr>
          <w:p>
            <w:pPr>
              <w:jc w:val="center"/>
              <w:rPr>
                <w:rFonts w:cs="宋体"/>
                <w:color w:val="auto"/>
                <w:sz w:val="21"/>
                <w:szCs w:val="21"/>
                <w:highlight w:val="none"/>
              </w:rPr>
            </w:pPr>
          </w:p>
        </w:tc>
        <w:tc>
          <w:tcPr>
            <w:tcW w:w="911" w:type="dxa"/>
            <w:tcBorders>
              <w:top w:val="single" w:color="auto" w:sz="4" w:space="0"/>
              <w:left w:val="nil"/>
              <w:bottom w:val="single" w:color="auto" w:sz="4" w:space="0"/>
              <w:right w:val="single" w:color="auto" w:sz="4" w:space="0"/>
            </w:tcBorders>
            <w:vAlign w:val="center"/>
          </w:tcPr>
          <w:p>
            <w:pPr>
              <w:jc w:val="center"/>
              <w:rPr>
                <w:rFonts w:cs="宋体"/>
                <w:color w:val="auto"/>
                <w:sz w:val="21"/>
                <w:szCs w:val="21"/>
                <w:highlight w:val="none"/>
              </w:rPr>
            </w:pPr>
          </w:p>
        </w:tc>
        <w:tc>
          <w:tcPr>
            <w:tcW w:w="911" w:type="dxa"/>
            <w:tcBorders>
              <w:top w:val="single" w:color="auto" w:sz="4" w:space="0"/>
              <w:left w:val="nil"/>
              <w:bottom w:val="single" w:color="auto" w:sz="4" w:space="0"/>
              <w:right w:val="single" w:color="auto" w:sz="4" w:space="0"/>
            </w:tcBorders>
            <w:vAlign w:val="center"/>
          </w:tcPr>
          <w:p>
            <w:pPr>
              <w:jc w:val="center"/>
              <w:rPr>
                <w:rFonts w:cs="宋体"/>
                <w:color w:val="auto"/>
                <w:sz w:val="21"/>
                <w:szCs w:val="21"/>
                <w:highlight w:val="none"/>
              </w:rPr>
            </w:pPr>
          </w:p>
        </w:tc>
        <w:tc>
          <w:tcPr>
            <w:tcW w:w="911" w:type="dxa"/>
            <w:tcBorders>
              <w:top w:val="single" w:color="auto" w:sz="4" w:space="0"/>
              <w:left w:val="nil"/>
              <w:bottom w:val="single" w:color="auto" w:sz="4" w:space="0"/>
              <w:right w:val="single" w:color="auto" w:sz="4" w:space="0"/>
            </w:tcBorders>
            <w:vAlign w:val="center"/>
          </w:tcPr>
          <w:p>
            <w:pPr>
              <w:jc w:val="center"/>
              <w:rPr>
                <w:rFonts w:cs="宋体"/>
                <w:color w:val="auto"/>
                <w:sz w:val="21"/>
                <w:szCs w:val="21"/>
                <w:highlight w:val="none"/>
              </w:rPr>
            </w:pPr>
          </w:p>
        </w:tc>
        <w:tc>
          <w:tcPr>
            <w:tcW w:w="911" w:type="dxa"/>
            <w:tcBorders>
              <w:top w:val="single" w:color="auto" w:sz="4" w:space="0"/>
              <w:left w:val="nil"/>
              <w:bottom w:val="single" w:color="auto" w:sz="4" w:space="0"/>
              <w:right w:val="single" w:color="auto" w:sz="4" w:space="0"/>
            </w:tcBorders>
            <w:vAlign w:val="center"/>
          </w:tcPr>
          <w:p>
            <w:pPr>
              <w:jc w:val="center"/>
              <w:rPr>
                <w:rFonts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2887"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sz w:val="21"/>
                <w:szCs w:val="21"/>
                <w:highlight w:val="none"/>
              </w:rPr>
            </w:pPr>
          </w:p>
        </w:tc>
        <w:tc>
          <w:tcPr>
            <w:tcW w:w="1215" w:type="dxa"/>
            <w:tcBorders>
              <w:top w:val="single" w:color="auto" w:sz="4" w:space="0"/>
              <w:left w:val="nil"/>
              <w:bottom w:val="single" w:color="auto" w:sz="4" w:space="0"/>
              <w:right w:val="single" w:color="auto" w:sz="4" w:space="0"/>
            </w:tcBorders>
            <w:vAlign w:val="center"/>
          </w:tcPr>
          <w:p>
            <w:pPr>
              <w:spacing w:before="100" w:after="100"/>
              <w:jc w:val="center"/>
              <w:rPr>
                <w:rFonts w:cs="宋体"/>
                <w:color w:val="auto"/>
                <w:sz w:val="21"/>
                <w:szCs w:val="21"/>
                <w:highlight w:val="none"/>
              </w:rPr>
            </w:pPr>
          </w:p>
        </w:tc>
        <w:tc>
          <w:tcPr>
            <w:tcW w:w="1063" w:type="dxa"/>
            <w:tcBorders>
              <w:top w:val="single" w:color="auto" w:sz="4" w:space="0"/>
              <w:left w:val="nil"/>
              <w:bottom w:val="single" w:color="auto" w:sz="4" w:space="0"/>
              <w:right w:val="single" w:color="auto" w:sz="4" w:space="0"/>
            </w:tcBorders>
            <w:vAlign w:val="center"/>
          </w:tcPr>
          <w:p>
            <w:pPr>
              <w:jc w:val="center"/>
              <w:rPr>
                <w:rFonts w:cs="宋体"/>
                <w:color w:val="auto"/>
                <w:sz w:val="21"/>
                <w:szCs w:val="21"/>
                <w:highlight w:val="none"/>
              </w:rPr>
            </w:pPr>
          </w:p>
        </w:tc>
        <w:tc>
          <w:tcPr>
            <w:tcW w:w="911" w:type="dxa"/>
            <w:tcBorders>
              <w:top w:val="single" w:color="auto" w:sz="4" w:space="0"/>
              <w:left w:val="nil"/>
              <w:bottom w:val="single" w:color="auto" w:sz="4" w:space="0"/>
              <w:right w:val="single" w:color="auto" w:sz="4" w:space="0"/>
            </w:tcBorders>
            <w:vAlign w:val="center"/>
          </w:tcPr>
          <w:p>
            <w:pPr>
              <w:jc w:val="center"/>
              <w:rPr>
                <w:rFonts w:cs="宋体"/>
                <w:color w:val="auto"/>
                <w:sz w:val="21"/>
                <w:szCs w:val="21"/>
                <w:highlight w:val="none"/>
              </w:rPr>
            </w:pPr>
          </w:p>
        </w:tc>
        <w:tc>
          <w:tcPr>
            <w:tcW w:w="911" w:type="dxa"/>
            <w:tcBorders>
              <w:top w:val="single" w:color="auto" w:sz="4" w:space="0"/>
              <w:left w:val="nil"/>
              <w:bottom w:val="single" w:color="auto" w:sz="4" w:space="0"/>
              <w:right w:val="single" w:color="auto" w:sz="4" w:space="0"/>
            </w:tcBorders>
            <w:vAlign w:val="center"/>
          </w:tcPr>
          <w:p>
            <w:pPr>
              <w:jc w:val="center"/>
              <w:rPr>
                <w:rFonts w:cs="宋体"/>
                <w:color w:val="auto"/>
                <w:sz w:val="21"/>
                <w:szCs w:val="21"/>
                <w:highlight w:val="none"/>
              </w:rPr>
            </w:pPr>
          </w:p>
        </w:tc>
        <w:tc>
          <w:tcPr>
            <w:tcW w:w="911" w:type="dxa"/>
            <w:tcBorders>
              <w:top w:val="single" w:color="auto" w:sz="4" w:space="0"/>
              <w:left w:val="nil"/>
              <w:bottom w:val="single" w:color="auto" w:sz="4" w:space="0"/>
              <w:right w:val="single" w:color="auto" w:sz="4" w:space="0"/>
            </w:tcBorders>
            <w:vAlign w:val="center"/>
          </w:tcPr>
          <w:p>
            <w:pPr>
              <w:jc w:val="center"/>
              <w:rPr>
                <w:rFonts w:cs="宋体"/>
                <w:color w:val="auto"/>
                <w:sz w:val="21"/>
                <w:szCs w:val="21"/>
                <w:highlight w:val="none"/>
              </w:rPr>
            </w:pPr>
          </w:p>
        </w:tc>
        <w:tc>
          <w:tcPr>
            <w:tcW w:w="911" w:type="dxa"/>
            <w:tcBorders>
              <w:top w:val="single" w:color="auto" w:sz="4" w:space="0"/>
              <w:left w:val="nil"/>
              <w:bottom w:val="single" w:color="auto" w:sz="4" w:space="0"/>
              <w:right w:val="single" w:color="auto" w:sz="4" w:space="0"/>
            </w:tcBorders>
            <w:vAlign w:val="center"/>
          </w:tcPr>
          <w:p>
            <w:pPr>
              <w:jc w:val="center"/>
              <w:rPr>
                <w:rFonts w:cs="宋体"/>
                <w:color w:val="auto"/>
                <w:sz w:val="21"/>
                <w:szCs w:val="21"/>
                <w:highlight w:val="none"/>
              </w:rPr>
            </w:pPr>
          </w:p>
        </w:tc>
        <w:tc>
          <w:tcPr>
            <w:tcW w:w="911" w:type="dxa"/>
            <w:tcBorders>
              <w:top w:val="single" w:color="auto" w:sz="4" w:space="0"/>
              <w:left w:val="nil"/>
              <w:bottom w:val="single" w:color="auto" w:sz="4" w:space="0"/>
              <w:right w:val="single" w:color="auto" w:sz="4" w:space="0"/>
            </w:tcBorders>
            <w:vAlign w:val="center"/>
          </w:tcPr>
          <w:p>
            <w:pPr>
              <w:jc w:val="center"/>
              <w:rPr>
                <w:rFonts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2887"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sz w:val="21"/>
                <w:szCs w:val="21"/>
                <w:highlight w:val="none"/>
              </w:rPr>
            </w:pPr>
          </w:p>
        </w:tc>
        <w:tc>
          <w:tcPr>
            <w:tcW w:w="1215" w:type="dxa"/>
            <w:tcBorders>
              <w:top w:val="single" w:color="auto" w:sz="4" w:space="0"/>
              <w:left w:val="nil"/>
              <w:bottom w:val="single" w:color="auto" w:sz="4" w:space="0"/>
              <w:right w:val="single" w:color="auto" w:sz="4" w:space="0"/>
            </w:tcBorders>
            <w:vAlign w:val="center"/>
          </w:tcPr>
          <w:p>
            <w:pPr>
              <w:spacing w:line="400" w:lineRule="exact"/>
              <w:jc w:val="center"/>
              <w:rPr>
                <w:rFonts w:cs="宋体"/>
                <w:color w:val="auto"/>
                <w:sz w:val="24"/>
                <w:szCs w:val="24"/>
                <w:highlight w:val="none"/>
              </w:rPr>
            </w:pPr>
          </w:p>
        </w:tc>
        <w:tc>
          <w:tcPr>
            <w:tcW w:w="1063" w:type="dxa"/>
            <w:tcBorders>
              <w:top w:val="single" w:color="auto" w:sz="4" w:space="0"/>
              <w:left w:val="nil"/>
              <w:bottom w:val="single" w:color="auto" w:sz="4" w:space="0"/>
              <w:right w:val="single" w:color="auto" w:sz="4" w:space="0"/>
            </w:tcBorders>
            <w:vAlign w:val="center"/>
          </w:tcPr>
          <w:p>
            <w:pPr>
              <w:spacing w:line="400" w:lineRule="exact"/>
              <w:jc w:val="center"/>
              <w:rPr>
                <w:rFonts w:ascii="Arial" w:hAnsi="Arial" w:cs="Arial"/>
                <w:color w:val="auto"/>
                <w:sz w:val="25"/>
                <w:szCs w:val="25"/>
                <w:highlight w:val="none"/>
              </w:rPr>
            </w:pPr>
          </w:p>
        </w:tc>
        <w:tc>
          <w:tcPr>
            <w:tcW w:w="911" w:type="dxa"/>
            <w:tcBorders>
              <w:top w:val="single" w:color="auto" w:sz="4" w:space="0"/>
              <w:left w:val="nil"/>
              <w:bottom w:val="single" w:color="auto" w:sz="4" w:space="0"/>
              <w:right w:val="single" w:color="auto" w:sz="4" w:space="0"/>
            </w:tcBorders>
            <w:vAlign w:val="center"/>
          </w:tcPr>
          <w:p>
            <w:pPr>
              <w:spacing w:line="400" w:lineRule="exact"/>
              <w:jc w:val="center"/>
              <w:rPr>
                <w:rFonts w:cs="宋体"/>
                <w:color w:val="auto"/>
                <w:sz w:val="24"/>
                <w:szCs w:val="24"/>
                <w:highlight w:val="none"/>
              </w:rPr>
            </w:pPr>
          </w:p>
        </w:tc>
        <w:tc>
          <w:tcPr>
            <w:tcW w:w="911" w:type="dxa"/>
            <w:tcBorders>
              <w:top w:val="single" w:color="auto" w:sz="4" w:space="0"/>
              <w:left w:val="nil"/>
              <w:bottom w:val="single" w:color="auto" w:sz="4" w:space="0"/>
              <w:right w:val="single" w:color="auto" w:sz="4" w:space="0"/>
            </w:tcBorders>
            <w:vAlign w:val="center"/>
          </w:tcPr>
          <w:p>
            <w:pPr>
              <w:spacing w:line="400" w:lineRule="exact"/>
              <w:jc w:val="center"/>
              <w:rPr>
                <w:rFonts w:cs="宋体"/>
                <w:color w:val="auto"/>
                <w:sz w:val="24"/>
                <w:szCs w:val="24"/>
                <w:highlight w:val="none"/>
              </w:rPr>
            </w:pPr>
          </w:p>
        </w:tc>
        <w:tc>
          <w:tcPr>
            <w:tcW w:w="911" w:type="dxa"/>
            <w:tcBorders>
              <w:top w:val="single" w:color="auto" w:sz="4" w:space="0"/>
              <w:left w:val="nil"/>
              <w:bottom w:val="single" w:color="auto" w:sz="4" w:space="0"/>
              <w:right w:val="single" w:color="auto" w:sz="4" w:space="0"/>
            </w:tcBorders>
            <w:vAlign w:val="center"/>
          </w:tcPr>
          <w:p>
            <w:pPr>
              <w:spacing w:line="400" w:lineRule="exact"/>
              <w:jc w:val="center"/>
              <w:rPr>
                <w:rFonts w:cs="宋体"/>
                <w:color w:val="auto"/>
                <w:sz w:val="24"/>
                <w:szCs w:val="24"/>
                <w:highlight w:val="none"/>
              </w:rPr>
            </w:pPr>
          </w:p>
        </w:tc>
        <w:tc>
          <w:tcPr>
            <w:tcW w:w="911" w:type="dxa"/>
            <w:tcBorders>
              <w:top w:val="single" w:color="auto" w:sz="4" w:space="0"/>
              <w:left w:val="nil"/>
              <w:bottom w:val="single" w:color="auto" w:sz="4" w:space="0"/>
              <w:right w:val="single" w:color="auto" w:sz="4" w:space="0"/>
            </w:tcBorders>
            <w:vAlign w:val="center"/>
          </w:tcPr>
          <w:p>
            <w:pPr>
              <w:spacing w:line="400" w:lineRule="exact"/>
              <w:jc w:val="center"/>
              <w:rPr>
                <w:rFonts w:cs="宋体"/>
                <w:color w:val="auto"/>
                <w:sz w:val="24"/>
                <w:szCs w:val="24"/>
                <w:highlight w:val="none"/>
              </w:rPr>
            </w:pPr>
          </w:p>
        </w:tc>
        <w:tc>
          <w:tcPr>
            <w:tcW w:w="911" w:type="dxa"/>
            <w:tcBorders>
              <w:top w:val="single" w:color="auto" w:sz="4" w:space="0"/>
              <w:left w:val="nil"/>
              <w:bottom w:val="single" w:color="auto" w:sz="4" w:space="0"/>
              <w:right w:val="single" w:color="auto" w:sz="4" w:space="0"/>
            </w:tcBorders>
            <w:vAlign w:val="center"/>
          </w:tcPr>
          <w:p>
            <w:pPr>
              <w:spacing w:line="400" w:lineRule="exact"/>
              <w:jc w:val="center"/>
              <w:rPr>
                <w:rFonts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2887" w:type="dxa"/>
            <w:tcBorders>
              <w:top w:val="single" w:color="auto" w:sz="4" w:space="0"/>
              <w:left w:val="single" w:color="auto" w:sz="4" w:space="0"/>
              <w:bottom w:val="single" w:color="auto" w:sz="4" w:space="0"/>
              <w:right w:val="single" w:color="auto" w:sz="4" w:space="0"/>
            </w:tcBorders>
            <w:vAlign w:val="center"/>
          </w:tcPr>
          <w:p>
            <w:pPr>
              <w:jc w:val="center"/>
              <w:rPr>
                <w:rFonts w:ascii="Calibri" w:hAnsi="Calibri" w:cs="Calibri"/>
                <w:color w:val="auto"/>
                <w:sz w:val="21"/>
                <w:szCs w:val="21"/>
                <w:highlight w:val="none"/>
              </w:rPr>
            </w:pPr>
          </w:p>
        </w:tc>
        <w:tc>
          <w:tcPr>
            <w:tcW w:w="1215" w:type="dxa"/>
            <w:tcBorders>
              <w:top w:val="single" w:color="auto" w:sz="4" w:space="0"/>
              <w:left w:val="nil"/>
              <w:bottom w:val="single" w:color="auto" w:sz="4" w:space="0"/>
              <w:right w:val="single" w:color="auto" w:sz="4" w:space="0"/>
            </w:tcBorders>
            <w:vAlign w:val="center"/>
          </w:tcPr>
          <w:p>
            <w:pPr>
              <w:spacing w:line="400" w:lineRule="exact"/>
              <w:jc w:val="center"/>
              <w:rPr>
                <w:rFonts w:cs="宋体"/>
                <w:color w:val="auto"/>
                <w:sz w:val="21"/>
                <w:szCs w:val="21"/>
                <w:highlight w:val="none"/>
              </w:rPr>
            </w:pPr>
          </w:p>
        </w:tc>
        <w:tc>
          <w:tcPr>
            <w:tcW w:w="1063" w:type="dxa"/>
            <w:tcBorders>
              <w:top w:val="single" w:color="auto" w:sz="4" w:space="0"/>
              <w:left w:val="nil"/>
              <w:bottom w:val="single" w:color="auto" w:sz="4" w:space="0"/>
              <w:right w:val="single" w:color="auto" w:sz="4" w:space="0"/>
            </w:tcBorders>
            <w:vAlign w:val="center"/>
          </w:tcPr>
          <w:p>
            <w:pPr>
              <w:spacing w:line="400" w:lineRule="exact"/>
              <w:jc w:val="center"/>
              <w:rPr>
                <w:rFonts w:cs="宋体"/>
                <w:color w:val="auto"/>
                <w:sz w:val="21"/>
                <w:szCs w:val="21"/>
                <w:highlight w:val="none"/>
              </w:rPr>
            </w:pPr>
          </w:p>
        </w:tc>
        <w:tc>
          <w:tcPr>
            <w:tcW w:w="911" w:type="dxa"/>
            <w:tcBorders>
              <w:top w:val="single" w:color="auto" w:sz="4" w:space="0"/>
              <w:left w:val="nil"/>
              <w:bottom w:val="single" w:color="auto" w:sz="4" w:space="0"/>
              <w:right w:val="single" w:color="auto" w:sz="4" w:space="0"/>
            </w:tcBorders>
            <w:vAlign w:val="center"/>
          </w:tcPr>
          <w:p>
            <w:pPr>
              <w:spacing w:line="400" w:lineRule="exact"/>
              <w:jc w:val="center"/>
              <w:rPr>
                <w:rFonts w:cs="宋体"/>
                <w:color w:val="auto"/>
                <w:sz w:val="21"/>
                <w:szCs w:val="21"/>
                <w:highlight w:val="none"/>
              </w:rPr>
            </w:pPr>
          </w:p>
        </w:tc>
        <w:tc>
          <w:tcPr>
            <w:tcW w:w="911" w:type="dxa"/>
            <w:tcBorders>
              <w:top w:val="single" w:color="auto" w:sz="4" w:space="0"/>
              <w:left w:val="nil"/>
              <w:bottom w:val="single" w:color="auto" w:sz="4" w:space="0"/>
              <w:right w:val="single" w:color="auto" w:sz="4" w:space="0"/>
            </w:tcBorders>
            <w:vAlign w:val="center"/>
          </w:tcPr>
          <w:p>
            <w:pPr>
              <w:spacing w:line="400" w:lineRule="exact"/>
              <w:jc w:val="center"/>
              <w:rPr>
                <w:rFonts w:cs="宋体"/>
                <w:color w:val="auto"/>
                <w:sz w:val="21"/>
                <w:szCs w:val="21"/>
                <w:highlight w:val="none"/>
              </w:rPr>
            </w:pPr>
          </w:p>
        </w:tc>
        <w:tc>
          <w:tcPr>
            <w:tcW w:w="911" w:type="dxa"/>
            <w:tcBorders>
              <w:top w:val="single" w:color="auto" w:sz="4" w:space="0"/>
              <w:left w:val="nil"/>
              <w:bottom w:val="single" w:color="auto" w:sz="4" w:space="0"/>
              <w:right w:val="single" w:color="auto" w:sz="4" w:space="0"/>
            </w:tcBorders>
            <w:vAlign w:val="center"/>
          </w:tcPr>
          <w:p>
            <w:pPr>
              <w:spacing w:line="400" w:lineRule="exact"/>
              <w:jc w:val="center"/>
              <w:rPr>
                <w:rFonts w:cs="宋体"/>
                <w:color w:val="auto"/>
                <w:sz w:val="21"/>
                <w:szCs w:val="21"/>
                <w:highlight w:val="none"/>
              </w:rPr>
            </w:pPr>
          </w:p>
        </w:tc>
        <w:tc>
          <w:tcPr>
            <w:tcW w:w="911" w:type="dxa"/>
            <w:tcBorders>
              <w:top w:val="single" w:color="auto" w:sz="4" w:space="0"/>
              <w:left w:val="nil"/>
              <w:bottom w:val="single" w:color="auto" w:sz="4" w:space="0"/>
              <w:right w:val="single" w:color="auto" w:sz="4" w:space="0"/>
            </w:tcBorders>
            <w:vAlign w:val="center"/>
          </w:tcPr>
          <w:p>
            <w:pPr>
              <w:spacing w:line="400" w:lineRule="exact"/>
              <w:jc w:val="center"/>
              <w:rPr>
                <w:rFonts w:cs="宋体"/>
                <w:color w:val="auto"/>
                <w:sz w:val="21"/>
                <w:szCs w:val="21"/>
                <w:highlight w:val="none"/>
              </w:rPr>
            </w:pPr>
          </w:p>
        </w:tc>
        <w:tc>
          <w:tcPr>
            <w:tcW w:w="911" w:type="dxa"/>
            <w:tcBorders>
              <w:top w:val="single" w:color="auto" w:sz="4" w:space="0"/>
              <w:left w:val="nil"/>
              <w:bottom w:val="single" w:color="auto" w:sz="4" w:space="0"/>
              <w:right w:val="single" w:color="auto" w:sz="4" w:space="0"/>
            </w:tcBorders>
            <w:vAlign w:val="center"/>
          </w:tcPr>
          <w:p>
            <w:pPr>
              <w:spacing w:line="400" w:lineRule="exact"/>
              <w:jc w:val="center"/>
              <w:rPr>
                <w:rFonts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2887"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sz w:val="21"/>
                <w:szCs w:val="21"/>
                <w:highlight w:val="none"/>
              </w:rPr>
            </w:pPr>
          </w:p>
        </w:tc>
        <w:tc>
          <w:tcPr>
            <w:tcW w:w="1215" w:type="dxa"/>
            <w:tcBorders>
              <w:top w:val="single" w:color="auto" w:sz="4" w:space="0"/>
              <w:left w:val="nil"/>
              <w:bottom w:val="single" w:color="auto" w:sz="4" w:space="0"/>
              <w:right w:val="single" w:color="auto" w:sz="4" w:space="0"/>
            </w:tcBorders>
            <w:vAlign w:val="center"/>
          </w:tcPr>
          <w:p>
            <w:pPr>
              <w:spacing w:before="100" w:after="100" w:line="360" w:lineRule="exact"/>
              <w:jc w:val="center"/>
              <w:rPr>
                <w:rFonts w:cs="宋体"/>
                <w:color w:val="auto"/>
                <w:sz w:val="21"/>
                <w:szCs w:val="21"/>
                <w:highlight w:val="none"/>
              </w:rPr>
            </w:pPr>
          </w:p>
        </w:tc>
        <w:tc>
          <w:tcPr>
            <w:tcW w:w="1063" w:type="dxa"/>
            <w:tcBorders>
              <w:top w:val="single" w:color="auto" w:sz="4" w:space="0"/>
              <w:left w:val="nil"/>
              <w:bottom w:val="single" w:color="auto" w:sz="4" w:space="0"/>
              <w:right w:val="single" w:color="auto" w:sz="4" w:space="0"/>
            </w:tcBorders>
            <w:vAlign w:val="center"/>
          </w:tcPr>
          <w:p>
            <w:pPr>
              <w:spacing w:line="400" w:lineRule="exact"/>
              <w:jc w:val="center"/>
              <w:rPr>
                <w:rFonts w:cs="宋体"/>
                <w:color w:val="auto"/>
                <w:sz w:val="21"/>
                <w:szCs w:val="21"/>
                <w:highlight w:val="none"/>
              </w:rPr>
            </w:pPr>
          </w:p>
        </w:tc>
        <w:tc>
          <w:tcPr>
            <w:tcW w:w="911" w:type="dxa"/>
            <w:tcBorders>
              <w:top w:val="single" w:color="auto" w:sz="4" w:space="0"/>
              <w:left w:val="nil"/>
              <w:bottom w:val="single" w:color="auto" w:sz="4" w:space="0"/>
              <w:right w:val="single" w:color="auto" w:sz="4" w:space="0"/>
            </w:tcBorders>
            <w:vAlign w:val="center"/>
          </w:tcPr>
          <w:p>
            <w:pPr>
              <w:spacing w:line="400" w:lineRule="exact"/>
              <w:jc w:val="center"/>
              <w:rPr>
                <w:rFonts w:cs="宋体"/>
                <w:color w:val="auto"/>
                <w:sz w:val="21"/>
                <w:szCs w:val="21"/>
                <w:highlight w:val="none"/>
              </w:rPr>
            </w:pPr>
          </w:p>
        </w:tc>
        <w:tc>
          <w:tcPr>
            <w:tcW w:w="911" w:type="dxa"/>
            <w:tcBorders>
              <w:top w:val="single" w:color="auto" w:sz="4" w:space="0"/>
              <w:left w:val="nil"/>
              <w:bottom w:val="single" w:color="auto" w:sz="4" w:space="0"/>
              <w:right w:val="single" w:color="auto" w:sz="4" w:space="0"/>
            </w:tcBorders>
            <w:vAlign w:val="center"/>
          </w:tcPr>
          <w:p>
            <w:pPr>
              <w:spacing w:line="400" w:lineRule="exact"/>
              <w:jc w:val="center"/>
              <w:rPr>
                <w:rFonts w:cs="宋体"/>
                <w:color w:val="auto"/>
                <w:sz w:val="21"/>
                <w:szCs w:val="21"/>
                <w:highlight w:val="none"/>
              </w:rPr>
            </w:pPr>
          </w:p>
        </w:tc>
        <w:tc>
          <w:tcPr>
            <w:tcW w:w="911" w:type="dxa"/>
            <w:tcBorders>
              <w:top w:val="single" w:color="auto" w:sz="4" w:space="0"/>
              <w:left w:val="nil"/>
              <w:bottom w:val="single" w:color="auto" w:sz="4" w:space="0"/>
              <w:right w:val="single" w:color="auto" w:sz="4" w:space="0"/>
            </w:tcBorders>
            <w:vAlign w:val="center"/>
          </w:tcPr>
          <w:p>
            <w:pPr>
              <w:spacing w:line="400" w:lineRule="exact"/>
              <w:jc w:val="center"/>
              <w:rPr>
                <w:rFonts w:cs="宋体"/>
                <w:color w:val="auto"/>
                <w:sz w:val="21"/>
                <w:szCs w:val="21"/>
                <w:highlight w:val="none"/>
              </w:rPr>
            </w:pPr>
          </w:p>
        </w:tc>
        <w:tc>
          <w:tcPr>
            <w:tcW w:w="911" w:type="dxa"/>
            <w:tcBorders>
              <w:top w:val="single" w:color="auto" w:sz="4" w:space="0"/>
              <w:left w:val="nil"/>
              <w:bottom w:val="single" w:color="auto" w:sz="4" w:space="0"/>
              <w:right w:val="single" w:color="auto" w:sz="4" w:space="0"/>
            </w:tcBorders>
            <w:vAlign w:val="center"/>
          </w:tcPr>
          <w:p>
            <w:pPr>
              <w:spacing w:line="400" w:lineRule="exact"/>
              <w:jc w:val="center"/>
              <w:rPr>
                <w:rFonts w:cs="宋体"/>
                <w:color w:val="auto"/>
                <w:sz w:val="21"/>
                <w:szCs w:val="21"/>
                <w:highlight w:val="none"/>
              </w:rPr>
            </w:pPr>
          </w:p>
        </w:tc>
        <w:tc>
          <w:tcPr>
            <w:tcW w:w="911" w:type="dxa"/>
            <w:tcBorders>
              <w:top w:val="single" w:color="auto" w:sz="4" w:space="0"/>
              <w:left w:val="nil"/>
              <w:bottom w:val="single" w:color="auto" w:sz="4" w:space="0"/>
              <w:right w:val="single" w:color="auto" w:sz="4" w:space="0"/>
            </w:tcBorders>
            <w:vAlign w:val="center"/>
          </w:tcPr>
          <w:p>
            <w:pPr>
              <w:spacing w:line="400" w:lineRule="exact"/>
              <w:jc w:val="center"/>
              <w:rPr>
                <w:rFonts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2887"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sz w:val="21"/>
                <w:szCs w:val="21"/>
                <w:highlight w:val="none"/>
              </w:rPr>
            </w:pPr>
          </w:p>
        </w:tc>
        <w:tc>
          <w:tcPr>
            <w:tcW w:w="1215" w:type="dxa"/>
            <w:tcBorders>
              <w:top w:val="single" w:color="auto" w:sz="4" w:space="0"/>
              <w:left w:val="nil"/>
              <w:bottom w:val="single" w:color="auto" w:sz="4" w:space="0"/>
              <w:right w:val="single" w:color="auto" w:sz="4" w:space="0"/>
            </w:tcBorders>
            <w:vAlign w:val="center"/>
          </w:tcPr>
          <w:p>
            <w:pPr>
              <w:spacing w:before="100" w:after="100" w:line="360" w:lineRule="exact"/>
              <w:jc w:val="center"/>
              <w:rPr>
                <w:rFonts w:cs="宋体"/>
                <w:color w:val="auto"/>
                <w:sz w:val="21"/>
                <w:szCs w:val="21"/>
                <w:highlight w:val="none"/>
              </w:rPr>
            </w:pPr>
          </w:p>
        </w:tc>
        <w:tc>
          <w:tcPr>
            <w:tcW w:w="1063" w:type="dxa"/>
            <w:tcBorders>
              <w:top w:val="single" w:color="auto" w:sz="4" w:space="0"/>
              <w:left w:val="nil"/>
              <w:bottom w:val="single" w:color="auto" w:sz="4" w:space="0"/>
              <w:right w:val="single" w:color="auto" w:sz="4" w:space="0"/>
            </w:tcBorders>
            <w:vAlign w:val="center"/>
          </w:tcPr>
          <w:p>
            <w:pPr>
              <w:spacing w:line="400" w:lineRule="exact"/>
              <w:jc w:val="center"/>
              <w:rPr>
                <w:rFonts w:cs="宋体"/>
                <w:color w:val="auto"/>
                <w:sz w:val="21"/>
                <w:szCs w:val="21"/>
                <w:highlight w:val="none"/>
              </w:rPr>
            </w:pPr>
          </w:p>
        </w:tc>
        <w:tc>
          <w:tcPr>
            <w:tcW w:w="911" w:type="dxa"/>
            <w:tcBorders>
              <w:top w:val="single" w:color="auto" w:sz="4" w:space="0"/>
              <w:left w:val="nil"/>
              <w:bottom w:val="single" w:color="auto" w:sz="4" w:space="0"/>
              <w:right w:val="single" w:color="auto" w:sz="4" w:space="0"/>
            </w:tcBorders>
            <w:vAlign w:val="center"/>
          </w:tcPr>
          <w:p>
            <w:pPr>
              <w:spacing w:line="400" w:lineRule="exact"/>
              <w:jc w:val="center"/>
              <w:rPr>
                <w:rFonts w:cs="宋体"/>
                <w:color w:val="auto"/>
                <w:sz w:val="21"/>
                <w:szCs w:val="21"/>
                <w:highlight w:val="none"/>
              </w:rPr>
            </w:pPr>
          </w:p>
        </w:tc>
        <w:tc>
          <w:tcPr>
            <w:tcW w:w="911" w:type="dxa"/>
            <w:tcBorders>
              <w:top w:val="single" w:color="auto" w:sz="4" w:space="0"/>
              <w:left w:val="nil"/>
              <w:bottom w:val="single" w:color="auto" w:sz="4" w:space="0"/>
              <w:right w:val="single" w:color="auto" w:sz="4" w:space="0"/>
            </w:tcBorders>
            <w:vAlign w:val="center"/>
          </w:tcPr>
          <w:p>
            <w:pPr>
              <w:spacing w:line="400" w:lineRule="exact"/>
              <w:jc w:val="center"/>
              <w:rPr>
                <w:rFonts w:cs="宋体"/>
                <w:color w:val="auto"/>
                <w:sz w:val="21"/>
                <w:szCs w:val="21"/>
                <w:highlight w:val="none"/>
              </w:rPr>
            </w:pPr>
          </w:p>
        </w:tc>
        <w:tc>
          <w:tcPr>
            <w:tcW w:w="911" w:type="dxa"/>
            <w:tcBorders>
              <w:top w:val="single" w:color="auto" w:sz="4" w:space="0"/>
              <w:left w:val="nil"/>
              <w:bottom w:val="single" w:color="auto" w:sz="4" w:space="0"/>
              <w:right w:val="single" w:color="auto" w:sz="4" w:space="0"/>
            </w:tcBorders>
            <w:vAlign w:val="center"/>
          </w:tcPr>
          <w:p>
            <w:pPr>
              <w:spacing w:line="400" w:lineRule="exact"/>
              <w:jc w:val="center"/>
              <w:rPr>
                <w:rFonts w:cs="宋体"/>
                <w:color w:val="auto"/>
                <w:sz w:val="21"/>
                <w:szCs w:val="21"/>
                <w:highlight w:val="none"/>
              </w:rPr>
            </w:pPr>
          </w:p>
        </w:tc>
        <w:tc>
          <w:tcPr>
            <w:tcW w:w="911" w:type="dxa"/>
            <w:tcBorders>
              <w:top w:val="single" w:color="auto" w:sz="4" w:space="0"/>
              <w:left w:val="nil"/>
              <w:bottom w:val="single" w:color="auto" w:sz="4" w:space="0"/>
              <w:right w:val="single" w:color="auto" w:sz="4" w:space="0"/>
            </w:tcBorders>
            <w:vAlign w:val="center"/>
          </w:tcPr>
          <w:p>
            <w:pPr>
              <w:spacing w:line="400" w:lineRule="exact"/>
              <w:jc w:val="center"/>
              <w:rPr>
                <w:rFonts w:cs="宋体"/>
                <w:color w:val="auto"/>
                <w:sz w:val="21"/>
                <w:szCs w:val="21"/>
                <w:highlight w:val="none"/>
              </w:rPr>
            </w:pPr>
          </w:p>
        </w:tc>
        <w:tc>
          <w:tcPr>
            <w:tcW w:w="911" w:type="dxa"/>
            <w:tcBorders>
              <w:top w:val="single" w:color="auto" w:sz="4" w:space="0"/>
              <w:left w:val="nil"/>
              <w:bottom w:val="single" w:color="auto" w:sz="4" w:space="0"/>
              <w:right w:val="single" w:color="auto" w:sz="4" w:space="0"/>
            </w:tcBorders>
            <w:vAlign w:val="center"/>
          </w:tcPr>
          <w:p>
            <w:pPr>
              <w:spacing w:line="400" w:lineRule="exact"/>
              <w:jc w:val="center"/>
              <w:rPr>
                <w:rFonts w:cs="宋体"/>
                <w:color w:val="auto"/>
                <w:sz w:val="21"/>
                <w:szCs w:val="21"/>
                <w:highlight w:val="none"/>
              </w:rPr>
            </w:pPr>
          </w:p>
        </w:tc>
      </w:tr>
    </w:tbl>
    <w:p>
      <w:pPr>
        <w:spacing w:line="360" w:lineRule="auto"/>
        <w:ind w:firstLine="420" w:firstLineChars="200"/>
        <w:rPr>
          <w:rFonts w:cs="宋体"/>
          <w:color w:val="auto"/>
          <w:sz w:val="21"/>
          <w:szCs w:val="21"/>
          <w:highlight w:val="none"/>
        </w:rPr>
      </w:pPr>
    </w:p>
    <w:p>
      <w:pPr>
        <w:spacing w:line="360" w:lineRule="auto"/>
        <w:ind w:firstLine="420" w:firstLineChars="200"/>
        <w:rPr>
          <w:rFonts w:cs="宋体"/>
          <w:color w:val="auto"/>
          <w:sz w:val="21"/>
          <w:szCs w:val="21"/>
          <w:highlight w:val="none"/>
          <w:u w:val="single"/>
        </w:rPr>
      </w:pPr>
      <w:r>
        <w:rPr>
          <w:rFonts w:hint="eastAsia" w:cs="宋体"/>
          <w:color w:val="auto"/>
          <w:sz w:val="21"/>
          <w:szCs w:val="21"/>
          <w:highlight w:val="none"/>
        </w:rPr>
        <w:t>三、否决其投标的投标人及原因：</w:t>
      </w:r>
      <w:r>
        <w:rPr>
          <w:rFonts w:hint="eastAsia" w:cs="宋体"/>
          <w:color w:val="auto"/>
          <w:sz w:val="21"/>
          <w:szCs w:val="21"/>
          <w:highlight w:val="none"/>
          <w:u w:val="single"/>
        </w:rPr>
        <w:t xml:space="preserve">                                                            </w:t>
      </w:r>
    </w:p>
    <w:p>
      <w:pPr>
        <w:spacing w:line="360" w:lineRule="auto"/>
        <w:ind w:firstLine="420" w:firstLineChars="200"/>
        <w:rPr>
          <w:rFonts w:cs="宋体"/>
          <w:color w:val="auto"/>
          <w:sz w:val="21"/>
          <w:szCs w:val="21"/>
          <w:highlight w:val="none"/>
        </w:rPr>
      </w:pPr>
      <w:r>
        <w:rPr>
          <w:rFonts w:hint="eastAsia" w:cs="宋体"/>
          <w:color w:val="auto"/>
          <w:sz w:val="21"/>
          <w:szCs w:val="21"/>
          <w:highlight w:val="none"/>
        </w:rPr>
        <w:t>四、评标委员会对投标报价给予修正的原因、依据和修正结果（如有时）：</w:t>
      </w:r>
      <w:r>
        <w:rPr>
          <w:rFonts w:hint="eastAsia" w:cs="宋体"/>
          <w:color w:val="auto"/>
          <w:sz w:val="21"/>
          <w:szCs w:val="21"/>
          <w:highlight w:val="none"/>
          <w:u w:val="single"/>
        </w:rPr>
        <w:t xml:space="preserve">                       </w:t>
      </w:r>
    </w:p>
    <w:p>
      <w:pPr>
        <w:spacing w:line="360" w:lineRule="auto"/>
        <w:ind w:firstLine="420" w:firstLineChars="200"/>
        <w:rPr>
          <w:rFonts w:cs="宋体"/>
          <w:color w:val="auto"/>
          <w:sz w:val="21"/>
          <w:szCs w:val="21"/>
          <w:highlight w:val="none"/>
          <w:u w:val="single"/>
        </w:rPr>
      </w:pPr>
      <w:r>
        <w:rPr>
          <w:rFonts w:hint="eastAsia" w:cs="宋体"/>
          <w:color w:val="auto"/>
          <w:sz w:val="21"/>
          <w:szCs w:val="21"/>
          <w:highlight w:val="none"/>
        </w:rPr>
        <w:t>五、评标委员会成员名单：</w:t>
      </w:r>
      <w:r>
        <w:rPr>
          <w:rFonts w:hint="eastAsia" w:cs="宋体"/>
          <w:color w:val="auto"/>
          <w:sz w:val="21"/>
          <w:szCs w:val="21"/>
          <w:highlight w:val="none"/>
          <w:u w:val="single"/>
        </w:rPr>
        <w:t xml:space="preserve">                                                                  </w:t>
      </w:r>
    </w:p>
    <w:p>
      <w:pPr>
        <w:spacing w:line="360" w:lineRule="auto"/>
        <w:ind w:firstLine="420" w:firstLineChars="200"/>
        <w:rPr>
          <w:rFonts w:ascii="Calibri" w:hAnsi="Calibri" w:cs="Calibri"/>
          <w:color w:val="auto"/>
          <w:sz w:val="21"/>
          <w:szCs w:val="21"/>
          <w:highlight w:val="none"/>
        </w:rPr>
      </w:pPr>
      <w:r>
        <w:rPr>
          <w:rFonts w:hint="eastAsia" w:cs="宋体"/>
          <w:color w:val="auto"/>
          <w:sz w:val="21"/>
          <w:szCs w:val="21"/>
          <w:highlight w:val="none"/>
        </w:rPr>
        <w:t>六、公示时间：</w:t>
      </w:r>
      <w:r>
        <w:rPr>
          <w:rFonts w:hint="eastAsia" w:cs="宋体"/>
          <w:color w:val="auto"/>
          <w:sz w:val="21"/>
          <w:szCs w:val="21"/>
          <w:highlight w:val="none"/>
          <w:u w:val="single"/>
        </w:rPr>
        <w:t xml:space="preserve">    </w:t>
      </w:r>
      <w:r>
        <w:rPr>
          <w:rFonts w:hint="eastAsia" w:cs="宋体"/>
          <w:color w:val="auto"/>
          <w:sz w:val="21"/>
          <w:szCs w:val="21"/>
          <w:highlight w:val="none"/>
        </w:rPr>
        <w:t>年</w:t>
      </w:r>
      <w:r>
        <w:rPr>
          <w:rFonts w:hint="eastAsia" w:cs="宋体"/>
          <w:color w:val="auto"/>
          <w:sz w:val="21"/>
          <w:szCs w:val="21"/>
          <w:highlight w:val="none"/>
          <w:u w:val="single"/>
        </w:rPr>
        <w:t xml:space="preserve">   </w:t>
      </w:r>
      <w:r>
        <w:rPr>
          <w:rFonts w:hint="eastAsia" w:cs="宋体"/>
          <w:color w:val="auto"/>
          <w:sz w:val="21"/>
          <w:szCs w:val="21"/>
          <w:highlight w:val="none"/>
        </w:rPr>
        <w:t>月</w:t>
      </w:r>
      <w:r>
        <w:rPr>
          <w:rFonts w:hint="eastAsia" w:cs="宋体"/>
          <w:color w:val="auto"/>
          <w:sz w:val="21"/>
          <w:szCs w:val="21"/>
          <w:highlight w:val="none"/>
          <w:u w:val="single"/>
        </w:rPr>
        <w:t xml:space="preserve">   </w:t>
      </w:r>
      <w:r>
        <w:rPr>
          <w:rFonts w:hint="eastAsia" w:cs="宋体"/>
          <w:color w:val="auto"/>
          <w:sz w:val="21"/>
          <w:szCs w:val="21"/>
          <w:highlight w:val="none"/>
        </w:rPr>
        <w:t>日至</w:t>
      </w:r>
      <w:r>
        <w:rPr>
          <w:rFonts w:hint="eastAsia" w:cs="宋体"/>
          <w:color w:val="auto"/>
          <w:sz w:val="21"/>
          <w:szCs w:val="21"/>
          <w:highlight w:val="none"/>
          <w:u w:val="single"/>
        </w:rPr>
        <w:t xml:space="preserve">    </w:t>
      </w:r>
      <w:r>
        <w:rPr>
          <w:rFonts w:hint="eastAsia" w:cs="宋体"/>
          <w:color w:val="auto"/>
          <w:sz w:val="21"/>
          <w:szCs w:val="21"/>
          <w:highlight w:val="none"/>
        </w:rPr>
        <w:t>年</w:t>
      </w:r>
      <w:r>
        <w:rPr>
          <w:rFonts w:hint="eastAsia" w:cs="宋体"/>
          <w:color w:val="auto"/>
          <w:sz w:val="21"/>
          <w:szCs w:val="21"/>
          <w:highlight w:val="none"/>
          <w:u w:val="single"/>
        </w:rPr>
        <w:t xml:space="preserve">   </w:t>
      </w:r>
      <w:r>
        <w:rPr>
          <w:rFonts w:hint="eastAsia" w:cs="宋体"/>
          <w:color w:val="auto"/>
          <w:sz w:val="21"/>
          <w:szCs w:val="21"/>
          <w:highlight w:val="none"/>
        </w:rPr>
        <w:t>月</w:t>
      </w:r>
      <w:r>
        <w:rPr>
          <w:rFonts w:hint="eastAsia" w:cs="宋体"/>
          <w:color w:val="auto"/>
          <w:sz w:val="21"/>
          <w:szCs w:val="21"/>
          <w:highlight w:val="none"/>
          <w:u w:val="single"/>
        </w:rPr>
        <w:t xml:space="preserve">   </w:t>
      </w:r>
      <w:r>
        <w:rPr>
          <w:rFonts w:hint="eastAsia" w:cs="宋体"/>
          <w:color w:val="auto"/>
          <w:sz w:val="21"/>
          <w:szCs w:val="21"/>
          <w:highlight w:val="none"/>
        </w:rPr>
        <w:t>日。投标人或者其他利害关系人对评标结果有异议的，应当在公示期间书面向招标人提出。</w:t>
      </w:r>
    </w:p>
    <w:p>
      <w:pPr>
        <w:spacing w:line="360" w:lineRule="auto"/>
        <w:ind w:firstLine="424" w:firstLineChars="202"/>
        <w:rPr>
          <w:rFonts w:ascii="Calibri" w:hAnsi="Calibri" w:cs="Calibri"/>
          <w:color w:val="auto"/>
          <w:sz w:val="21"/>
          <w:szCs w:val="21"/>
          <w:highlight w:val="none"/>
        </w:rPr>
      </w:pPr>
      <w:r>
        <w:rPr>
          <w:rFonts w:hint="eastAsia" w:cs="宋体"/>
          <w:color w:val="auto"/>
          <w:sz w:val="21"/>
          <w:szCs w:val="21"/>
          <w:highlight w:val="none"/>
        </w:rPr>
        <w:t xml:space="preserve">七、异议的渠道和方式：                                       </w:t>
      </w:r>
    </w:p>
    <w:p>
      <w:pPr>
        <w:spacing w:line="360" w:lineRule="auto"/>
        <w:ind w:firstLine="424" w:firstLineChars="202"/>
        <w:rPr>
          <w:rFonts w:ascii="Calibri" w:hAnsi="Calibri" w:cs="Calibri"/>
          <w:color w:val="auto"/>
          <w:sz w:val="21"/>
          <w:szCs w:val="21"/>
          <w:highlight w:val="none"/>
        </w:rPr>
      </w:pPr>
      <w:r>
        <w:rPr>
          <w:rFonts w:hint="eastAsia" w:cs="宋体"/>
          <w:color w:val="auto"/>
          <w:sz w:val="21"/>
          <w:szCs w:val="21"/>
          <w:highlight w:val="none"/>
        </w:rPr>
        <w:t>招标人名称：</w:t>
      </w:r>
      <w:r>
        <w:rPr>
          <w:rFonts w:hint="eastAsia" w:cs="宋体"/>
          <w:color w:val="auto"/>
          <w:sz w:val="21"/>
          <w:szCs w:val="21"/>
          <w:highlight w:val="none"/>
          <w:u w:val="single"/>
        </w:rPr>
        <w:t xml:space="preserve">                            </w:t>
      </w:r>
    </w:p>
    <w:p>
      <w:pPr>
        <w:spacing w:line="360" w:lineRule="auto"/>
        <w:ind w:firstLine="424" w:firstLineChars="202"/>
        <w:rPr>
          <w:rFonts w:ascii="Calibri" w:hAnsi="Calibri" w:cs="Calibri"/>
          <w:color w:val="auto"/>
          <w:sz w:val="21"/>
          <w:szCs w:val="21"/>
          <w:highlight w:val="none"/>
        </w:rPr>
      </w:pPr>
      <w:r>
        <w:rPr>
          <w:rFonts w:hint="eastAsia" w:cs="宋体"/>
          <w:color w:val="auto"/>
          <w:sz w:val="21"/>
          <w:szCs w:val="21"/>
          <w:highlight w:val="none"/>
        </w:rPr>
        <w:t>招标人地址：</w:t>
      </w:r>
      <w:r>
        <w:rPr>
          <w:rFonts w:hint="eastAsia" w:cs="宋体"/>
          <w:color w:val="auto"/>
          <w:sz w:val="21"/>
          <w:szCs w:val="21"/>
          <w:highlight w:val="none"/>
          <w:u w:val="single"/>
        </w:rPr>
        <w:t xml:space="preserve">                            </w:t>
      </w:r>
    </w:p>
    <w:p>
      <w:pPr>
        <w:spacing w:line="360" w:lineRule="auto"/>
        <w:ind w:firstLine="424" w:firstLineChars="202"/>
        <w:rPr>
          <w:rFonts w:ascii="Calibri" w:hAnsi="Calibri" w:cs="Calibri"/>
          <w:color w:val="auto"/>
          <w:sz w:val="21"/>
          <w:szCs w:val="21"/>
          <w:highlight w:val="none"/>
        </w:rPr>
      </w:pPr>
      <w:r>
        <w:rPr>
          <w:rFonts w:hint="eastAsia" w:cs="宋体"/>
          <w:color w:val="auto"/>
          <w:sz w:val="21"/>
          <w:szCs w:val="21"/>
          <w:highlight w:val="none"/>
        </w:rPr>
        <w:t>招标人联系方式：</w:t>
      </w:r>
      <w:r>
        <w:rPr>
          <w:rFonts w:hint="eastAsia" w:cs="宋体"/>
          <w:color w:val="auto"/>
          <w:sz w:val="21"/>
          <w:szCs w:val="21"/>
          <w:highlight w:val="none"/>
          <w:u w:val="single"/>
        </w:rPr>
        <w:t xml:space="preserve">                        </w:t>
      </w:r>
    </w:p>
    <w:p>
      <w:pPr>
        <w:spacing w:line="360" w:lineRule="auto"/>
        <w:rPr>
          <w:rFonts w:ascii="Calibri" w:hAnsi="Calibri" w:cs="Calibri"/>
          <w:color w:val="auto"/>
          <w:sz w:val="21"/>
          <w:szCs w:val="21"/>
          <w:highlight w:val="none"/>
        </w:rPr>
      </w:pPr>
      <w:r>
        <w:rPr>
          <w:rFonts w:ascii="Calibri" w:hAnsi="Calibri" w:cs="Calibri"/>
          <w:color w:val="auto"/>
          <w:sz w:val="21"/>
          <w:szCs w:val="21"/>
          <w:highlight w:val="none"/>
        </w:rPr>
        <w:t xml:space="preserve"> </w:t>
      </w:r>
    </w:p>
    <w:p>
      <w:pPr>
        <w:spacing w:line="360" w:lineRule="auto"/>
        <w:ind w:firstLine="424" w:firstLineChars="202"/>
        <w:rPr>
          <w:rFonts w:ascii="Calibri" w:hAnsi="Calibri" w:cs="Calibri"/>
          <w:color w:val="auto"/>
          <w:sz w:val="21"/>
          <w:szCs w:val="21"/>
          <w:highlight w:val="none"/>
          <w:u w:val="single"/>
        </w:rPr>
      </w:pPr>
      <w:r>
        <w:rPr>
          <w:rFonts w:hint="eastAsia" w:cs="宋体"/>
          <w:color w:val="auto"/>
          <w:sz w:val="21"/>
          <w:szCs w:val="21"/>
          <w:highlight w:val="none"/>
        </w:rPr>
        <w:t>招标人：</w:t>
      </w:r>
      <w:r>
        <w:rPr>
          <w:rFonts w:hint="eastAsia" w:cs="宋体"/>
          <w:color w:val="auto"/>
          <w:sz w:val="21"/>
          <w:szCs w:val="21"/>
          <w:highlight w:val="none"/>
          <w:u w:val="single"/>
        </w:rPr>
        <w:t xml:space="preserve">     （电子签名专用章）</w:t>
      </w:r>
      <w:r>
        <w:rPr>
          <w:rFonts w:hint="eastAsia" w:cs="宋体"/>
          <w:color w:val="auto"/>
          <w:sz w:val="21"/>
          <w:szCs w:val="21"/>
          <w:highlight w:val="none"/>
        </w:rPr>
        <w:t xml:space="preserve"> 招标代理机构：</w:t>
      </w:r>
      <w:r>
        <w:rPr>
          <w:rFonts w:hint="eastAsia" w:cs="宋体"/>
          <w:color w:val="auto"/>
          <w:sz w:val="21"/>
          <w:szCs w:val="21"/>
          <w:highlight w:val="none"/>
          <w:u w:val="single"/>
        </w:rPr>
        <w:t xml:space="preserve">     （电子签名专用章）</w:t>
      </w:r>
    </w:p>
    <w:p>
      <w:pPr>
        <w:spacing w:line="360" w:lineRule="auto"/>
        <w:ind w:firstLine="424" w:firstLineChars="202"/>
        <w:rPr>
          <w:rFonts w:ascii="Calibri" w:hAnsi="Calibri" w:cs="Calibri"/>
          <w:color w:val="auto"/>
          <w:sz w:val="21"/>
          <w:szCs w:val="21"/>
          <w:highlight w:val="none"/>
        </w:rPr>
      </w:pPr>
      <w:r>
        <w:rPr>
          <w:rFonts w:hint="eastAsia" w:cs="宋体"/>
          <w:color w:val="auto"/>
          <w:sz w:val="21"/>
          <w:szCs w:val="21"/>
          <w:highlight w:val="none"/>
        </w:rPr>
        <w:t>法定代表人或                    法定代表人或</w:t>
      </w:r>
    </w:p>
    <w:p>
      <w:pPr>
        <w:spacing w:line="360" w:lineRule="auto"/>
        <w:ind w:firstLine="424" w:firstLineChars="202"/>
        <w:rPr>
          <w:rFonts w:cs="宋体"/>
          <w:color w:val="auto"/>
          <w:sz w:val="21"/>
          <w:szCs w:val="21"/>
          <w:highlight w:val="none"/>
          <w:u w:val="single"/>
        </w:rPr>
      </w:pPr>
      <w:r>
        <w:rPr>
          <w:rFonts w:hint="eastAsia" w:cs="宋体"/>
          <w:color w:val="auto"/>
          <w:sz w:val="21"/>
          <w:szCs w:val="21"/>
          <w:highlight w:val="none"/>
        </w:rPr>
        <w:t>其委托代理人：</w:t>
      </w:r>
      <w:r>
        <w:rPr>
          <w:rFonts w:hint="eastAsia" w:cs="宋体"/>
          <w:color w:val="auto"/>
          <w:sz w:val="21"/>
          <w:szCs w:val="21"/>
          <w:highlight w:val="none"/>
          <w:u w:val="single"/>
        </w:rPr>
        <w:t>（电子签名专用章）</w:t>
      </w:r>
      <w:r>
        <w:rPr>
          <w:rFonts w:hint="eastAsia" w:cs="宋体"/>
          <w:color w:val="auto"/>
          <w:sz w:val="21"/>
          <w:szCs w:val="21"/>
          <w:highlight w:val="none"/>
        </w:rPr>
        <w:t xml:space="preserve"> 其委托代理人：</w:t>
      </w:r>
      <w:r>
        <w:rPr>
          <w:rFonts w:hint="eastAsia" w:cs="宋体"/>
          <w:color w:val="auto"/>
          <w:sz w:val="21"/>
          <w:szCs w:val="21"/>
          <w:highlight w:val="none"/>
          <w:u w:val="single"/>
        </w:rPr>
        <w:t xml:space="preserve">     （电子签名专用章）</w:t>
      </w:r>
      <w:bookmarkStart w:id="682" w:name="_Toc10662"/>
      <w:bookmarkStart w:id="683" w:name="_Toc61877298"/>
      <w:bookmarkStart w:id="684" w:name="_Toc9856"/>
      <w:bookmarkStart w:id="685" w:name="_Toc22532"/>
      <w:bookmarkStart w:id="686" w:name="_Toc10169"/>
    </w:p>
    <w:p>
      <w:pPr>
        <w:pStyle w:val="59"/>
        <w:rPr>
          <w:color w:val="auto"/>
          <w:highlight w:val="none"/>
        </w:rPr>
      </w:pPr>
    </w:p>
    <w:p>
      <w:pPr>
        <w:pStyle w:val="5"/>
        <w:widowControl/>
        <w:spacing w:beforeLines="0" w:after="120"/>
        <w:rPr>
          <w:rFonts w:hAnsi="宋体" w:cs="黑体"/>
          <w:color w:val="auto"/>
          <w:sz w:val="21"/>
          <w:szCs w:val="21"/>
          <w:highlight w:val="none"/>
        </w:rPr>
      </w:pPr>
      <w:bookmarkStart w:id="687" w:name="_Toc106703268"/>
      <w:bookmarkStart w:id="688" w:name="_Toc27793"/>
      <w:bookmarkStart w:id="689" w:name="_Toc20709"/>
      <w:r>
        <w:rPr>
          <w:rFonts w:hint="eastAsia" w:hAnsi="宋体" w:cs="黑体"/>
          <w:color w:val="auto"/>
          <w:sz w:val="21"/>
          <w:szCs w:val="21"/>
          <w:highlight w:val="none"/>
        </w:rPr>
        <w:t>附件2-2：定标候选人公示（格式）（适用于简易程序招标项目）</w:t>
      </w:r>
      <w:bookmarkEnd w:id="687"/>
      <w:bookmarkEnd w:id="688"/>
      <w:bookmarkEnd w:id="689"/>
    </w:p>
    <w:p>
      <w:pPr>
        <w:spacing w:beforeLines="100" w:afterLines="100" w:line="360" w:lineRule="auto"/>
        <w:jc w:val="center"/>
        <w:rPr>
          <w:rFonts w:ascii="黑体" w:eastAsia="黑体" w:cs="黑体"/>
          <w:color w:val="auto"/>
          <w:sz w:val="32"/>
          <w:szCs w:val="32"/>
          <w:highlight w:val="none"/>
        </w:rPr>
      </w:pPr>
      <w:r>
        <w:rPr>
          <w:rFonts w:hint="eastAsia" w:ascii="黑体" w:eastAsia="黑体" w:cs="黑体"/>
          <w:color w:val="auto"/>
          <w:sz w:val="32"/>
          <w:szCs w:val="32"/>
          <w:highlight w:val="none"/>
        </w:rPr>
        <w:t>定标候选人公示</w:t>
      </w:r>
    </w:p>
    <w:p>
      <w:pPr>
        <w:spacing w:line="360" w:lineRule="auto"/>
        <w:ind w:firstLine="420" w:firstLineChars="200"/>
        <w:rPr>
          <w:rFonts w:cs="宋体"/>
          <w:color w:val="auto"/>
          <w:sz w:val="21"/>
          <w:szCs w:val="21"/>
          <w:highlight w:val="none"/>
        </w:rPr>
      </w:pPr>
      <w:r>
        <w:rPr>
          <w:rFonts w:hint="eastAsia" w:cs="宋体"/>
          <w:color w:val="auto"/>
          <w:sz w:val="21"/>
          <w:szCs w:val="21"/>
          <w:highlight w:val="none"/>
        </w:rPr>
        <w:t>招标项目编号为</w:t>
      </w:r>
      <w:r>
        <w:rPr>
          <w:rFonts w:hint="eastAsia" w:cs="宋体"/>
          <w:color w:val="auto"/>
          <w:sz w:val="21"/>
          <w:szCs w:val="21"/>
          <w:highlight w:val="none"/>
          <w:u w:val="single"/>
        </w:rPr>
        <w:t xml:space="preserve">               </w:t>
      </w:r>
      <w:r>
        <w:rPr>
          <w:rFonts w:hint="eastAsia" w:cs="宋体"/>
          <w:color w:val="auto"/>
          <w:sz w:val="21"/>
          <w:szCs w:val="21"/>
          <w:highlight w:val="none"/>
        </w:rPr>
        <w:t>的</w:t>
      </w:r>
      <w:r>
        <w:rPr>
          <w:rFonts w:hint="eastAsia" w:cs="宋体"/>
          <w:color w:val="auto"/>
          <w:sz w:val="21"/>
          <w:szCs w:val="21"/>
          <w:highlight w:val="none"/>
          <w:u w:val="single"/>
        </w:rPr>
        <w:t xml:space="preserve">                     </w:t>
      </w:r>
      <w:r>
        <w:rPr>
          <w:rFonts w:hint="eastAsia" w:cs="宋体"/>
          <w:color w:val="auto"/>
          <w:sz w:val="21"/>
          <w:szCs w:val="21"/>
          <w:highlight w:val="none"/>
        </w:rPr>
        <w:t>工程建设项目，该工程施工招标于</w:t>
      </w:r>
      <w:r>
        <w:rPr>
          <w:rFonts w:hint="eastAsia" w:cs="宋体"/>
          <w:color w:val="auto"/>
          <w:sz w:val="21"/>
          <w:szCs w:val="21"/>
          <w:highlight w:val="none"/>
          <w:u w:val="single"/>
        </w:rPr>
        <w:t xml:space="preserve">     </w:t>
      </w:r>
      <w:r>
        <w:rPr>
          <w:rFonts w:hint="eastAsia" w:cs="宋体"/>
          <w:color w:val="auto"/>
          <w:sz w:val="21"/>
          <w:szCs w:val="21"/>
          <w:highlight w:val="none"/>
        </w:rPr>
        <w:t>年</w:t>
      </w:r>
    </w:p>
    <w:p>
      <w:pPr>
        <w:spacing w:line="360" w:lineRule="auto"/>
        <w:rPr>
          <w:rFonts w:cs="宋体"/>
          <w:color w:val="auto"/>
          <w:sz w:val="21"/>
          <w:szCs w:val="21"/>
          <w:highlight w:val="none"/>
        </w:rPr>
      </w:pPr>
      <w:r>
        <w:rPr>
          <w:rFonts w:hint="eastAsia" w:cs="宋体"/>
          <w:color w:val="auto"/>
          <w:sz w:val="21"/>
          <w:szCs w:val="21"/>
          <w:highlight w:val="none"/>
          <w:u w:val="single"/>
        </w:rPr>
        <w:t xml:space="preserve">    </w:t>
      </w:r>
      <w:r>
        <w:rPr>
          <w:rFonts w:hint="eastAsia" w:cs="宋体"/>
          <w:color w:val="auto"/>
          <w:sz w:val="21"/>
          <w:szCs w:val="21"/>
          <w:highlight w:val="none"/>
        </w:rPr>
        <w:t>月</w:t>
      </w:r>
      <w:r>
        <w:rPr>
          <w:rFonts w:hint="eastAsia" w:cs="宋体"/>
          <w:color w:val="auto"/>
          <w:sz w:val="21"/>
          <w:szCs w:val="21"/>
          <w:highlight w:val="none"/>
          <w:u w:val="single"/>
        </w:rPr>
        <w:t xml:space="preserve">    </w:t>
      </w:r>
      <w:r>
        <w:rPr>
          <w:rFonts w:hint="eastAsia" w:cs="宋体"/>
          <w:color w:val="auto"/>
          <w:sz w:val="21"/>
          <w:szCs w:val="21"/>
          <w:highlight w:val="none"/>
        </w:rPr>
        <w:t>日依法公开开标后，资格审查委员会按照招标文件规定的评标标准和方法进行了审查，根据资格审查委员会提交的资格审查报告，现将入围投标人、资格审查结果、定标候选人名单、否决其投标的投标人及否决原因公示如下：</w:t>
      </w:r>
    </w:p>
    <w:p>
      <w:pPr>
        <w:numPr>
          <w:ilvl w:val="0"/>
          <w:numId w:val="17"/>
        </w:numPr>
        <w:spacing w:line="360" w:lineRule="auto"/>
        <w:ind w:firstLine="420" w:firstLineChars="200"/>
        <w:rPr>
          <w:color w:val="auto"/>
          <w:sz w:val="21"/>
          <w:szCs w:val="21"/>
          <w:highlight w:val="none"/>
        </w:rPr>
      </w:pPr>
      <w:r>
        <w:rPr>
          <w:rFonts w:hint="eastAsia"/>
          <w:color w:val="auto"/>
          <w:sz w:val="21"/>
          <w:szCs w:val="21"/>
          <w:highlight w:val="none"/>
        </w:rPr>
        <w:t>入围投标人名单：</w:t>
      </w:r>
    </w:p>
    <w:tbl>
      <w:tblPr>
        <w:tblStyle w:val="60"/>
        <w:tblW w:w="0" w:type="auto"/>
        <w:tblInd w:w="108" w:type="dxa"/>
        <w:tblLayout w:type="fixed"/>
        <w:tblCellMar>
          <w:top w:w="0" w:type="dxa"/>
          <w:left w:w="108" w:type="dxa"/>
          <w:bottom w:w="0" w:type="dxa"/>
          <w:right w:w="108" w:type="dxa"/>
        </w:tblCellMar>
      </w:tblPr>
      <w:tblGrid>
        <w:gridCol w:w="1369"/>
        <w:gridCol w:w="8283"/>
      </w:tblGrid>
      <w:tr>
        <w:tblPrEx>
          <w:tblCellMar>
            <w:top w:w="0" w:type="dxa"/>
            <w:left w:w="108" w:type="dxa"/>
            <w:bottom w:w="0" w:type="dxa"/>
            <w:right w:w="108" w:type="dxa"/>
          </w:tblCellMar>
        </w:tblPrEx>
        <w:trPr>
          <w:trHeight w:val="556" w:hRule="atLeast"/>
        </w:trPr>
        <w:tc>
          <w:tcPr>
            <w:tcW w:w="136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hAnsi="Times New Roman"/>
                <w:color w:val="auto"/>
                <w:sz w:val="21"/>
                <w:szCs w:val="21"/>
                <w:highlight w:val="none"/>
              </w:rPr>
            </w:pPr>
            <w:r>
              <w:rPr>
                <w:rFonts w:hint="eastAsia" w:hAnsi="Times New Roman"/>
                <w:color w:val="auto"/>
                <w:sz w:val="21"/>
                <w:szCs w:val="21"/>
                <w:highlight w:val="none"/>
              </w:rPr>
              <w:t>序号</w:t>
            </w:r>
            <w:r>
              <w:rPr>
                <w:rFonts w:ascii="Times New Roman" w:hAnsi="Times New Roman"/>
                <w:color w:val="auto"/>
                <w:sz w:val="21"/>
                <w:szCs w:val="21"/>
                <w:highlight w:val="none"/>
              </w:rPr>
              <w:t> </w:t>
            </w:r>
          </w:p>
        </w:tc>
        <w:tc>
          <w:tcPr>
            <w:tcW w:w="8283" w:type="dxa"/>
            <w:tcBorders>
              <w:top w:val="single" w:color="auto" w:sz="4" w:space="0"/>
              <w:left w:val="nil"/>
              <w:bottom w:val="single" w:color="auto" w:sz="4" w:space="0"/>
              <w:right w:val="single" w:color="auto" w:sz="4" w:space="0"/>
            </w:tcBorders>
            <w:vAlign w:val="center"/>
          </w:tcPr>
          <w:p>
            <w:pPr>
              <w:adjustRightInd w:val="0"/>
              <w:snapToGrid w:val="0"/>
              <w:spacing w:line="240" w:lineRule="atLeast"/>
              <w:jc w:val="center"/>
              <w:rPr>
                <w:rFonts w:hAnsi="Times New Roman"/>
                <w:color w:val="auto"/>
                <w:sz w:val="21"/>
                <w:szCs w:val="21"/>
                <w:highlight w:val="none"/>
              </w:rPr>
            </w:pPr>
            <w:r>
              <w:rPr>
                <w:rFonts w:hint="eastAsia" w:hAnsi="Times New Roman"/>
                <w:color w:val="auto"/>
                <w:sz w:val="21"/>
                <w:szCs w:val="21"/>
                <w:highlight w:val="none"/>
              </w:rPr>
              <w:t>投标人名称</w:t>
            </w:r>
          </w:p>
        </w:tc>
      </w:tr>
      <w:tr>
        <w:tblPrEx>
          <w:tblCellMar>
            <w:top w:w="0" w:type="dxa"/>
            <w:left w:w="108" w:type="dxa"/>
            <w:bottom w:w="0" w:type="dxa"/>
            <w:right w:w="108" w:type="dxa"/>
          </w:tblCellMar>
        </w:tblPrEx>
        <w:trPr>
          <w:trHeight w:val="556" w:hRule="atLeast"/>
        </w:trPr>
        <w:tc>
          <w:tcPr>
            <w:tcW w:w="136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hAnsi="Times New Roman"/>
                <w:color w:val="auto"/>
                <w:sz w:val="21"/>
                <w:szCs w:val="21"/>
                <w:highlight w:val="none"/>
              </w:rPr>
            </w:pPr>
          </w:p>
        </w:tc>
        <w:tc>
          <w:tcPr>
            <w:tcW w:w="8283"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hAnsi="Times New Roman"/>
                <w:color w:val="auto"/>
                <w:sz w:val="21"/>
                <w:szCs w:val="21"/>
                <w:highlight w:val="none"/>
              </w:rPr>
            </w:pPr>
          </w:p>
        </w:tc>
      </w:tr>
      <w:tr>
        <w:tblPrEx>
          <w:tblCellMar>
            <w:top w:w="0" w:type="dxa"/>
            <w:left w:w="108" w:type="dxa"/>
            <w:bottom w:w="0" w:type="dxa"/>
            <w:right w:w="108" w:type="dxa"/>
          </w:tblCellMar>
        </w:tblPrEx>
        <w:trPr>
          <w:trHeight w:val="556" w:hRule="atLeast"/>
        </w:trPr>
        <w:tc>
          <w:tcPr>
            <w:tcW w:w="136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hAnsi="Times New Roman"/>
                <w:color w:val="auto"/>
                <w:sz w:val="21"/>
                <w:szCs w:val="21"/>
                <w:highlight w:val="none"/>
              </w:rPr>
            </w:pPr>
          </w:p>
        </w:tc>
        <w:tc>
          <w:tcPr>
            <w:tcW w:w="8283"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hAnsi="Times New Roman"/>
                <w:color w:val="auto"/>
                <w:sz w:val="21"/>
                <w:szCs w:val="21"/>
                <w:highlight w:val="none"/>
              </w:rPr>
            </w:pPr>
          </w:p>
        </w:tc>
      </w:tr>
      <w:tr>
        <w:tblPrEx>
          <w:tblCellMar>
            <w:top w:w="0" w:type="dxa"/>
            <w:left w:w="108" w:type="dxa"/>
            <w:bottom w:w="0" w:type="dxa"/>
            <w:right w:w="108" w:type="dxa"/>
          </w:tblCellMar>
        </w:tblPrEx>
        <w:trPr>
          <w:trHeight w:val="556" w:hRule="atLeast"/>
        </w:trPr>
        <w:tc>
          <w:tcPr>
            <w:tcW w:w="136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hAnsi="Times New Roman"/>
                <w:color w:val="auto"/>
                <w:sz w:val="21"/>
                <w:szCs w:val="21"/>
                <w:highlight w:val="none"/>
              </w:rPr>
            </w:pPr>
          </w:p>
        </w:tc>
        <w:tc>
          <w:tcPr>
            <w:tcW w:w="8283"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hAnsi="Times New Roman"/>
                <w:color w:val="auto"/>
                <w:sz w:val="21"/>
                <w:szCs w:val="21"/>
                <w:highlight w:val="none"/>
              </w:rPr>
            </w:pPr>
          </w:p>
        </w:tc>
      </w:tr>
      <w:tr>
        <w:tblPrEx>
          <w:tblCellMar>
            <w:top w:w="0" w:type="dxa"/>
            <w:left w:w="108" w:type="dxa"/>
            <w:bottom w:w="0" w:type="dxa"/>
            <w:right w:w="108" w:type="dxa"/>
          </w:tblCellMar>
        </w:tblPrEx>
        <w:trPr>
          <w:trHeight w:val="556" w:hRule="atLeast"/>
        </w:trPr>
        <w:tc>
          <w:tcPr>
            <w:tcW w:w="136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hAnsi="Times New Roman"/>
                <w:color w:val="auto"/>
                <w:sz w:val="21"/>
                <w:szCs w:val="21"/>
                <w:highlight w:val="none"/>
              </w:rPr>
            </w:pPr>
          </w:p>
        </w:tc>
        <w:tc>
          <w:tcPr>
            <w:tcW w:w="8283"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hAnsi="Times New Roman"/>
                <w:color w:val="auto"/>
                <w:sz w:val="21"/>
                <w:szCs w:val="21"/>
                <w:highlight w:val="none"/>
              </w:rPr>
            </w:pPr>
          </w:p>
        </w:tc>
      </w:tr>
      <w:tr>
        <w:tblPrEx>
          <w:tblCellMar>
            <w:top w:w="0" w:type="dxa"/>
            <w:left w:w="108" w:type="dxa"/>
            <w:bottom w:w="0" w:type="dxa"/>
            <w:right w:w="108" w:type="dxa"/>
          </w:tblCellMar>
        </w:tblPrEx>
        <w:trPr>
          <w:trHeight w:val="556" w:hRule="atLeast"/>
        </w:trPr>
        <w:tc>
          <w:tcPr>
            <w:tcW w:w="136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hAnsi="Times New Roman"/>
                <w:color w:val="auto"/>
                <w:sz w:val="21"/>
                <w:szCs w:val="21"/>
                <w:highlight w:val="none"/>
              </w:rPr>
            </w:pPr>
          </w:p>
        </w:tc>
        <w:tc>
          <w:tcPr>
            <w:tcW w:w="8283"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hAnsi="Times New Roman"/>
                <w:color w:val="auto"/>
                <w:sz w:val="21"/>
                <w:szCs w:val="21"/>
                <w:highlight w:val="none"/>
              </w:rPr>
            </w:pPr>
          </w:p>
        </w:tc>
      </w:tr>
    </w:tbl>
    <w:p>
      <w:pPr>
        <w:pStyle w:val="58"/>
        <w:rPr>
          <w:color w:val="auto"/>
          <w:szCs w:val="21"/>
          <w:highlight w:val="none"/>
        </w:rPr>
      </w:pPr>
    </w:p>
    <w:p>
      <w:pPr>
        <w:spacing w:line="360" w:lineRule="auto"/>
        <w:ind w:firstLine="426"/>
        <w:rPr>
          <w:rFonts w:ascii="Calibri" w:hAnsi="Calibri" w:cs="Calibri"/>
          <w:color w:val="auto"/>
          <w:sz w:val="24"/>
          <w:szCs w:val="24"/>
          <w:highlight w:val="none"/>
        </w:rPr>
      </w:pPr>
      <w:r>
        <w:rPr>
          <w:rFonts w:hint="eastAsia" w:cs="宋体"/>
          <w:color w:val="auto"/>
          <w:sz w:val="21"/>
          <w:szCs w:val="21"/>
          <w:highlight w:val="none"/>
        </w:rPr>
        <w:t>二、推荐的定标候选人及主要投标内容：</w:t>
      </w:r>
    </w:p>
    <w:tbl>
      <w:tblPr>
        <w:tblStyle w:val="60"/>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87"/>
        <w:gridCol w:w="1215"/>
        <w:gridCol w:w="1063"/>
        <w:gridCol w:w="911"/>
        <w:gridCol w:w="911"/>
        <w:gridCol w:w="911"/>
        <w:gridCol w:w="911"/>
        <w:gridCol w:w="9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3" w:hRule="atLeast"/>
        </w:trPr>
        <w:tc>
          <w:tcPr>
            <w:tcW w:w="2887" w:type="dxa"/>
            <w:tcBorders>
              <w:top w:val="single" w:color="auto" w:sz="4" w:space="0"/>
              <w:left w:val="single" w:color="auto" w:sz="4" w:space="0"/>
              <w:bottom w:val="single" w:color="auto" w:sz="4" w:space="0"/>
              <w:right w:val="single" w:color="auto" w:sz="4" w:space="0"/>
              <w:tl2br w:val="single" w:color="auto" w:sz="4" w:space="0"/>
            </w:tcBorders>
          </w:tcPr>
          <w:p>
            <w:pPr>
              <w:ind w:left="1020" w:leftChars="300" w:firstLine="420" w:firstLineChars="200"/>
              <w:jc w:val="left"/>
              <w:rPr>
                <w:rFonts w:cs="宋体"/>
                <w:color w:val="auto"/>
                <w:sz w:val="21"/>
                <w:szCs w:val="21"/>
                <w:highlight w:val="none"/>
              </w:rPr>
            </w:pPr>
          </w:p>
          <w:p>
            <w:pPr>
              <w:ind w:left="1020" w:leftChars="300" w:firstLine="420" w:firstLineChars="200"/>
              <w:jc w:val="left"/>
              <w:rPr>
                <w:rFonts w:cs="宋体"/>
                <w:color w:val="auto"/>
                <w:sz w:val="21"/>
                <w:szCs w:val="21"/>
                <w:highlight w:val="none"/>
              </w:rPr>
            </w:pPr>
          </w:p>
          <w:p>
            <w:pPr>
              <w:ind w:firstLine="1260" w:firstLineChars="600"/>
              <w:jc w:val="left"/>
              <w:rPr>
                <w:rFonts w:ascii="Calibri" w:hAnsi="Calibri" w:cs="Calibri"/>
                <w:color w:val="auto"/>
                <w:sz w:val="21"/>
                <w:szCs w:val="21"/>
                <w:highlight w:val="none"/>
              </w:rPr>
            </w:pPr>
            <w:r>
              <w:rPr>
                <w:rFonts w:ascii="Calibri" w:hAnsi="Calibri" w:cs="Calibri"/>
                <w:color w:val="auto"/>
                <w:sz w:val="21"/>
                <w:szCs w:val="21"/>
                <w:highlight w:val="none"/>
              </w:rPr>
              <w:t>投标主要内容</w:t>
            </w:r>
          </w:p>
          <w:p>
            <w:pPr>
              <w:ind w:left="1020" w:leftChars="300" w:firstLine="420" w:firstLineChars="200"/>
              <w:jc w:val="left"/>
              <w:rPr>
                <w:rFonts w:ascii="Calibri" w:hAnsi="Calibri" w:cs="Calibri"/>
                <w:color w:val="auto"/>
                <w:sz w:val="21"/>
                <w:szCs w:val="21"/>
                <w:highlight w:val="none"/>
              </w:rPr>
            </w:pPr>
          </w:p>
          <w:p>
            <w:pPr>
              <w:jc w:val="left"/>
              <w:rPr>
                <w:rFonts w:cs="宋体"/>
                <w:color w:val="auto"/>
                <w:sz w:val="21"/>
                <w:szCs w:val="21"/>
                <w:highlight w:val="none"/>
              </w:rPr>
            </w:pPr>
          </w:p>
          <w:p>
            <w:pPr>
              <w:jc w:val="left"/>
              <w:rPr>
                <w:rFonts w:cs="宋体"/>
                <w:color w:val="auto"/>
                <w:sz w:val="21"/>
                <w:szCs w:val="21"/>
                <w:highlight w:val="none"/>
              </w:rPr>
            </w:pPr>
          </w:p>
          <w:p>
            <w:pPr>
              <w:jc w:val="left"/>
              <w:rPr>
                <w:rFonts w:ascii="Calibri" w:hAnsi="Calibri" w:cs="Calibri"/>
                <w:color w:val="auto"/>
                <w:sz w:val="21"/>
                <w:szCs w:val="21"/>
                <w:highlight w:val="none"/>
              </w:rPr>
            </w:pPr>
            <w:r>
              <w:rPr>
                <w:rFonts w:hint="eastAsia" w:cs="宋体"/>
                <w:color w:val="auto"/>
                <w:sz w:val="21"/>
                <w:szCs w:val="21"/>
                <w:highlight w:val="none"/>
              </w:rPr>
              <w:t>定标候选人名称</w:t>
            </w:r>
          </w:p>
        </w:tc>
        <w:tc>
          <w:tcPr>
            <w:tcW w:w="1215" w:type="dxa"/>
            <w:tcBorders>
              <w:top w:val="single" w:color="auto" w:sz="4" w:space="0"/>
              <w:left w:val="nil"/>
              <w:bottom w:val="single" w:color="auto" w:sz="4" w:space="0"/>
              <w:right w:val="single" w:color="auto" w:sz="4" w:space="0"/>
            </w:tcBorders>
            <w:vAlign w:val="center"/>
          </w:tcPr>
          <w:p>
            <w:pPr>
              <w:jc w:val="center"/>
              <w:rPr>
                <w:rFonts w:ascii="Calibri" w:hAnsi="Calibri" w:cs="Calibri"/>
                <w:color w:val="auto"/>
                <w:sz w:val="21"/>
                <w:szCs w:val="21"/>
                <w:highlight w:val="none"/>
              </w:rPr>
            </w:pPr>
            <w:r>
              <w:rPr>
                <w:rFonts w:hint="eastAsia" w:cs="宋体"/>
                <w:color w:val="auto"/>
                <w:sz w:val="21"/>
                <w:szCs w:val="21"/>
                <w:highlight w:val="none"/>
              </w:rPr>
              <w:t>投标报价总价（元）</w:t>
            </w:r>
          </w:p>
        </w:tc>
        <w:tc>
          <w:tcPr>
            <w:tcW w:w="1063" w:type="dxa"/>
            <w:tcBorders>
              <w:top w:val="single" w:color="auto" w:sz="4" w:space="0"/>
              <w:left w:val="nil"/>
              <w:bottom w:val="single" w:color="auto" w:sz="4" w:space="0"/>
              <w:right w:val="single" w:color="auto" w:sz="4" w:space="0"/>
            </w:tcBorders>
            <w:vAlign w:val="center"/>
          </w:tcPr>
          <w:p>
            <w:pPr>
              <w:jc w:val="center"/>
              <w:rPr>
                <w:rFonts w:ascii="Calibri" w:hAnsi="Calibri" w:cs="Calibri"/>
                <w:color w:val="auto"/>
                <w:sz w:val="21"/>
                <w:szCs w:val="21"/>
                <w:highlight w:val="none"/>
              </w:rPr>
            </w:pPr>
            <w:r>
              <w:rPr>
                <w:rFonts w:hint="eastAsia" w:cs="宋体"/>
                <w:color w:val="auto"/>
                <w:sz w:val="21"/>
                <w:szCs w:val="21"/>
                <w:highlight w:val="none"/>
              </w:rPr>
              <w:t>工期（日历天）</w:t>
            </w:r>
          </w:p>
        </w:tc>
        <w:tc>
          <w:tcPr>
            <w:tcW w:w="911" w:type="dxa"/>
            <w:tcBorders>
              <w:top w:val="single" w:color="auto" w:sz="4" w:space="0"/>
              <w:left w:val="nil"/>
              <w:bottom w:val="single" w:color="auto" w:sz="4" w:space="0"/>
              <w:right w:val="single" w:color="auto" w:sz="4" w:space="0"/>
            </w:tcBorders>
            <w:vAlign w:val="center"/>
          </w:tcPr>
          <w:p>
            <w:pPr>
              <w:jc w:val="center"/>
              <w:rPr>
                <w:rFonts w:ascii="Calibri" w:hAnsi="Calibri" w:cs="Calibri"/>
                <w:color w:val="auto"/>
                <w:sz w:val="21"/>
                <w:szCs w:val="21"/>
                <w:highlight w:val="none"/>
              </w:rPr>
            </w:pPr>
            <w:r>
              <w:rPr>
                <w:rFonts w:hint="eastAsia" w:cs="宋体"/>
                <w:color w:val="auto"/>
                <w:sz w:val="21"/>
                <w:szCs w:val="21"/>
                <w:highlight w:val="none"/>
              </w:rPr>
              <w:t>质量标准</w:t>
            </w:r>
          </w:p>
        </w:tc>
        <w:tc>
          <w:tcPr>
            <w:tcW w:w="911" w:type="dxa"/>
            <w:tcBorders>
              <w:top w:val="single" w:color="auto" w:sz="4" w:space="0"/>
              <w:left w:val="nil"/>
              <w:bottom w:val="single" w:color="auto" w:sz="4" w:space="0"/>
              <w:right w:val="single" w:color="auto" w:sz="4" w:space="0"/>
            </w:tcBorders>
            <w:vAlign w:val="center"/>
          </w:tcPr>
          <w:p>
            <w:pPr>
              <w:jc w:val="center"/>
              <w:rPr>
                <w:rFonts w:ascii="Calibri" w:hAnsi="Calibri" w:cs="Calibri"/>
                <w:color w:val="auto"/>
                <w:sz w:val="21"/>
                <w:szCs w:val="21"/>
                <w:highlight w:val="none"/>
              </w:rPr>
            </w:pPr>
            <w:r>
              <w:rPr>
                <w:rFonts w:hint="eastAsia" w:cs="宋体"/>
                <w:color w:val="auto"/>
                <w:sz w:val="21"/>
                <w:szCs w:val="21"/>
                <w:highlight w:val="none"/>
              </w:rPr>
              <w:t>项目负责人</w:t>
            </w:r>
          </w:p>
        </w:tc>
        <w:tc>
          <w:tcPr>
            <w:tcW w:w="911" w:type="dxa"/>
            <w:tcBorders>
              <w:top w:val="single" w:color="auto" w:sz="4" w:space="0"/>
              <w:left w:val="nil"/>
              <w:bottom w:val="single" w:color="auto" w:sz="4" w:space="0"/>
              <w:right w:val="single" w:color="auto" w:sz="4" w:space="0"/>
            </w:tcBorders>
            <w:vAlign w:val="center"/>
          </w:tcPr>
          <w:p>
            <w:pPr>
              <w:jc w:val="center"/>
              <w:rPr>
                <w:rFonts w:ascii="Calibri" w:hAnsi="Calibri" w:cs="Calibri"/>
                <w:color w:val="auto"/>
                <w:sz w:val="21"/>
                <w:szCs w:val="21"/>
                <w:highlight w:val="none"/>
              </w:rPr>
            </w:pPr>
            <w:r>
              <w:rPr>
                <w:rFonts w:hint="eastAsia" w:cs="宋体"/>
                <w:color w:val="auto"/>
                <w:sz w:val="21"/>
                <w:szCs w:val="21"/>
                <w:highlight w:val="none"/>
              </w:rPr>
              <w:t>项目负责人执业资格（职称）证书或职称证书名称</w:t>
            </w:r>
          </w:p>
        </w:tc>
        <w:tc>
          <w:tcPr>
            <w:tcW w:w="911" w:type="dxa"/>
            <w:tcBorders>
              <w:top w:val="single" w:color="auto" w:sz="4" w:space="0"/>
              <w:left w:val="nil"/>
              <w:bottom w:val="single" w:color="auto" w:sz="4" w:space="0"/>
              <w:right w:val="single" w:color="auto" w:sz="4" w:space="0"/>
            </w:tcBorders>
            <w:vAlign w:val="center"/>
          </w:tcPr>
          <w:p>
            <w:pPr>
              <w:jc w:val="center"/>
              <w:rPr>
                <w:rFonts w:ascii="Calibri" w:hAnsi="Calibri" w:cs="Calibri"/>
                <w:color w:val="auto"/>
                <w:sz w:val="21"/>
                <w:szCs w:val="21"/>
                <w:highlight w:val="none"/>
              </w:rPr>
            </w:pPr>
            <w:r>
              <w:rPr>
                <w:rFonts w:hint="eastAsia" w:cs="宋体"/>
                <w:color w:val="auto"/>
                <w:sz w:val="21"/>
                <w:szCs w:val="21"/>
                <w:highlight w:val="none"/>
              </w:rPr>
              <w:t>项目负责人执业资格证书注册（证书）或职称证书编号</w:t>
            </w:r>
          </w:p>
        </w:tc>
        <w:tc>
          <w:tcPr>
            <w:tcW w:w="911" w:type="dxa"/>
            <w:tcBorders>
              <w:top w:val="single" w:color="auto" w:sz="4" w:space="0"/>
              <w:left w:val="nil"/>
              <w:bottom w:val="single" w:color="auto" w:sz="4" w:space="0"/>
              <w:right w:val="single" w:color="auto" w:sz="4" w:space="0"/>
            </w:tcBorders>
            <w:vAlign w:val="center"/>
          </w:tcPr>
          <w:p>
            <w:pPr>
              <w:jc w:val="center"/>
              <w:rPr>
                <w:rFonts w:cs="宋体"/>
                <w:color w:val="auto"/>
                <w:sz w:val="21"/>
                <w:szCs w:val="21"/>
                <w:highlight w:val="none"/>
              </w:rPr>
            </w:pPr>
            <w:r>
              <w:rPr>
                <w:rFonts w:hint="eastAsia" w:cs="宋体"/>
                <w:color w:val="auto"/>
                <w:sz w:val="21"/>
                <w:szCs w:val="21"/>
                <w:highlight w:val="none"/>
              </w:rPr>
              <w:t>定标候选人的类似工程业绩（如有时）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2887"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sz w:val="21"/>
                <w:szCs w:val="21"/>
                <w:highlight w:val="none"/>
              </w:rPr>
            </w:pPr>
          </w:p>
        </w:tc>
        <w:tc>
          <w:tcPr>
            <w:tcW w:w="1215" w:type="dxa"/>
            <w:tcBorders>
              <w:top w:val="single" w:color="auto" w:sz="4" w:space="0"/>
              <w:left w:val="nil"/>
              <w:bottom w:val="single" w:color="auto" w:sz="4" w:space="0"/>
              <w:right w:val="single" w:color="auto" w:sz="4" w:space="0"/>
            </w:tcBorders>
          </w:tcPr>
          <w:p>
            <w:pPr>
              <w:spacing w:line="400" w:lineRule="exact"/>
              <w:jc w:val="center"/>
              <w:rPr>
                <w:rFonts w:cs="宋体"/>
                <w:color w:val="auto"/>
                <w:sz w:val="21"/>
                <w:szCs w:val="21"/>
                <w:highlight w:val="none"/>
              </w:rPr>
            </w:pPr>
          </w:p>
        </w:tc>
        <w:tc>
          <w:tcPr>
            <w:tcW w:w="1063" w:type="dxa"/>
            <w:tcBorders>
              <w:top w:val="single" w:color="auto" w:sz="4" w:space="0"/>
              <w:left w:val="nil"/>
              <w:bottom w:val="single" w:color="auto" w:sz="4" w:space="0"/>
              <w:right w:val="single" w:color="auto" w:sz="4" w:space="0"/>
            </w:tcBorders>
          </w:tcPr>
          <w:p>
            <w:pPr>
              <w:spacing w:line="400" w:lineRule="exact"/>
              <w:jc w:val="center"/>
              <w:rPr>
                <w:rFonts w:cs="宋体"/>
                <w:color w:val="auto"/>
                <w:sz w:val="21"/>
                <w:szCs w:val="21"/>
                <w:highlight w:val="none"/>
              </w:rPr>
            </w:pPr>
          </w:p>
        </w:tc>
        <w:tc>
          <w:tcPr>
            <w:tcW w:w="911" w:type="dxa"/>
            <w:tcBorders>
              <w:top w:val="single" w:color="auto" w:sz="4" w:space="0"/>
              <w:left w:val="nil"/>
              <w:bottom w:val="single" w:color="auto" w:sz="4" w:space="0"/>
              <w:right w:val="single" w:color="auto" w:sz="4" w:space="0"/>
            </w:tcBorders>
          </w:tcPr>
          <w:p>
            <w:pPr>
              <w:spacing w:line="400" w:lineRule="exact"/>
              <w:jc w:val="center"/>
              <w:rPr>
                <w:rFonts w:cs="宋体"/>
                <w:color w:val="auto"/>
                <w:sz w:val="21"/>
                <w:szCs w:val="21"/>
                <w:highlight w:val="none"/>
              </w:rPr>
            </w:pPr>
          </w:p>
        </w:tc>
        <w:tc>
          <w:tcPr>
            <w:tcW w:w="911" w:type="dxa"/>
            <w:tcBorders>
              <w:top w:val="single" w:color="auto" w:sz="4" w:space="0"/>
              <w:left w:val="nil"/>
              <w:bottom w:val="single" w:color="auto" w:sz="4" w:space="0"/>
              <w:right w:val="single" w:color="auto" w:sz="4" w:space="0"/>
            </w:tcBorders>
            <w:vAlign w:val="center"/>
          </w:tcPr>
          <w:p>
            <w:pPr>
              <w:spacing w:line="400" w:lineRule="exact"/>
              <w:jc w:val="center"/>
              <w:rPr>
                <w:rFonts w:cs="宋体"/>
                <w:color w:val="auto"/>
                <w:sz w:val="21"/>
                <w:szCs w:val="21"/>
                <w:highlight w:val="none"/>
              </w:rPr>
            </w:pPr>
          </w:p>
        </w:tc>
        <w:tc>
          <w:tcPr>
            <w:tcW w:w="911" w:type="dxa"/>
            <w:tcBorders>
              <w:top w:val="single" w:color="auto" w:sz="4" w:space="0"/>
              <w:left w:val="nil"/>
              <w:bottom w:val="single" w:color="auto" w:sz="4" w:space="0"/>
              <w:right w:val="single" w:color="auto" w:sz="4" w:space="0"/>
            </w:tcBorders>
            <w:vAlign w:val="center"/>
          </w:tcPr>
          <w:p>
            <w:pPr>
              <w:spacing w:line="400" w:lineRule="exact"/>
              <w:jc w:val="center"/>
              <w:rPr>
                <w:rFonts w:cs="宋体"/>
                <w:color w:val="auto"/>
                <w:sz w:val="21"/>
                <w:szCs w:val="21"/>
                <w:highlight w:val="none"/>
              </w:rPr>
            </w:pPr>
          </w:p>
        </w:tc>
        <w:tc>
          <w:tcPr>
            <w:tcW w:w="911" w:type="dxa"/>
            <w:tcBorders>
              <w:top w:val="single" w:color="auto" w:sz="4" w:space="0"/>
              <w:left w:val="nil"/>
              <w:bottom w:val="single" w:color="auto" w:sz="4" w:space="0"/>
              <w:right w:val="single" w:color="auto" w:sz="4" w:space="0"/>
            </w:tcBorders>
            <w:vAlign w:val="center"/>
          </w:tcPr>
          <w:p>
            <w:pPr>
              <w:spacing w:line="400" w:lineRule="exact"/>
              <w:jc w:val="center"/>
              <w:rPr>
                <w:rFonts w:cs="宋体"/>
                <w:color w:val="auto"/>
                <w:sz w:val="21"/>
                <w:szCs w:val="21"/>
                <w:highlight w:val="none"/>
              </w:rPr>
            </w:pPr>
          </w:p>
        </w:tc>
        <w:tc>
          <w:tcPr>
            <w:tcW w:w="911" w:type="dxa"/>
            <w:tcBorders>
              <w:top w:val="single" w:color="auto" w:sz="4" w:space="0"/>
              <w:left w:val="nil"/>
              <w:bottom w:val="single" w:color="auto" w:sz="4" w:space="0"/>
              <w:right w:val="single" w:color="auto" w:sz="4" w:space="0"/>
            </w:tcBorders>
            <w:vAlign w:val="center"/>
          </w:tcPr>
          <w:p>
            <w:pPr>
              <w:spacing w:line="400" w:lineRule="exact"/>
              <w:jc w:val="center"/>
              <w:rPr>
                <w:rFonts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2887" w:type="dxa"/>
            <w:tcBorders>
              <w:top w:val="single" w:color="auto" w:sz="4" w:space="0"/>
              <w:left w:val="single" w:color="auto" w:sz="4" w:space="0"/>
              <w:bottom w:val="single" w:color="auto" w:sz="4" w:space="0"/>
              <w:right w:val="single" w:color="auto" w:sz="4" w:space="0"/>
            </w:tcBorders>
            <w:vAlign w:val="center"/>
          </w:tcPr>
          <w:p>
            <w:pPr>
              <w:jc w:val="center"/>
              <w:rPr>
                <w:rFonts w:ascii="Calibri" w:hAnsi="Calibri" w:cs="Calibri"/>
                <w:color w:val="auto"/>
                <w:sz w:val="21"/>
                <w:szCs w:val="21"/>
                <w:highlight w:val="none"/>
              </w:rPr>
            </w:pPr>
          </w:p>
        </w:tc>
        <w:tc>
          <w:tcPr>
            <w:tcW w:w="1215" w:type="dxa"/>
            <w:tcBorders>
              <w:top w:val="single" w:color="auto" w:sz="4" w:space="0"/>
              <w:left w:val="nil"/>
              <w:bottom w:val="single" w:color="auto" w:sz="4" w:space="0"/>
              <w:right w:val="single" w:color="auto" w:sz="4" w:space="0"/>
            </w:tcBorders>
            <w:vAlign w:val="center"/>
          </w:tcPr>
          <w:p>
            <w:pPr>
              <w:spacing w:before="100" w:after="100"/>
              <w:jc w:val="center"/>
              <w:rPr>
                <w:rFonts w:cs="宋体"/>
                <w:color w:val="auto"/>
                <w:sz w:val="21"/>
                <w:szCs w:val="21"/>
                <w:highlight w:val="none"/>
              </w:rPr>
            </w:pPr>
          </w:p>
        </w:tc>
        <w:tc>
          <w:tcPr>
            <w:tcW w:w="1063" w:type="dxa"/>
            <w:tcBorders>
              <w:top w:val="single" w:color="auto" w:sz="4" w:space="0"/>
              <w:left w:val="nil"/>
              <w:bottom w:val="single" w:color="auto" w:sz="4" w:space="0"/>
              <w:right w:val="single" w:color="auto" w:sz="4" w:space="0"/>
            </w:tcBorders>
            <w:vAlign w:val="center"/>
          </w:tcPr>
          <w:p>
            <w:pPr>
              <w:jc w:val="center"/>
              <w:rPr>
                <w:rFonts w:cs="宋体"/>
                <w:color w:val="auto"/>
                <w:sz w:val="21"/>
                <w:szCs w:val="21"/>
                <w:highlight w:val="none"/>
              </w:rPr>
            </w:pPr>
          </w:p>
        </w:tc>
        <w:tc>
          <w:tcPr>
            <w:tcW w:w="911" w:type="dxa"/>
            <w:tcBorders>
              <w:top w:val="single" w:color="auto" w:sz="4" w:space="0"/>
              <w:left w:val="nil"/>
              <w:bottom w:val="single" w:color="auto" w:sz="4" w:space="0"/>
              <w:right w:val="single" w:color="auto" w:sz="4" w:space="0"/>
            </w:tcBorders>
            <w:vAlign w:val="center"/>
          </w:tcPr>
          <w:p>
            <w:pPr>
              <w:jc w:val="center"/>
              <w:rPr>
                <w:rFonts w:cs="宋体"/>
                <w:color w:val="auto"/>
                <w:sz w:val="21"/>
                <w:szCs w:val="21"/>
                <w:highlight w:val="none"/>
              </w:rPr>
            </w:pPr>
          </w:p>
        </w:tc>
        <w:tc>
          <w:tcPr>
            <w:tcW w:w="911" w:type="dxa"/>
            <w:tcBorders>
              <w:top w:val="single" w:color="auto" w:sz="4" w:space="0"/>
              <w:left w:val="nil"/>
              <w:bottom w:val="single" w:color="auto" w:sz="4" w:space="0"/>
              <w:right w:val="single" w:color="auto" w:sz="4" w:space="0"/>
            </w:tcBorders>
            <w:vAlign w:val="center"/>
          </w:tcPr>
          <w:p>
            <w:pPr>
              <w:jc w:val="center"/>
              <w:rPr>
                <w:rFonts w:cs="宋体"/>
                <w:color w:val="auto"/>
                <w:sz w:val="21"/>
                <w:szCs w:val="21"/>
                <w:highlight w:val="none"/>
              </w:rPr>
            </w:pPr>
          </w:p>
        </w:tc>
        <w:tc>
          <w:tcPr>
            <w:tcW w:w="911" w:type="dxa"/>
            <w:tcBorders>
              <w:top w:val="single" w:color="auto" w:sz="4" w:space="0"/>
              <w:left w:val="nil"/>
              <w:bottom w:val="single" w:color="auto" w:sz="4" w:space="0"/>
              <w:right w:val="single" w:color="auto" w:sz="4" w:space="0"/>
            </w:tcBorders>
            <w:vAlign w:val="center"/>
          </w:tcPr>
          <w:p>
            <w:pPr>
              <w:jc w:val="center"/>
              <w:rPr>
                <w:rFonts w:cs="宋体"/>
                <w:color w:val="auto"/>
                <w:sz w:val="21"/>
                <w:szCs w:val="21"/>
                <w:highlight w:val="none"/>
              </w:rPr>
            </w:pPr>
          </w:p>
        </w:tc>
        <w:tc>
          <w:tcPr>
            <w:tcW w:w="911" w:type="dxa"/>
            <w:tcBorders>
              <w:top w:val="single" w:color="auto" w:sz="4" w:space="0"/>
              <w:left w:val="nil"/>
              <w:bottom w:val="single" w:color="auto" w:sz="4" w:space="0"/>
              <w:right w:val="single" w:color="auto" w:sz="4" w:space="0"/>
            </w:tcBorders>
            <w:vAlign w:val="center"/>
          </w:tcPr>
          <w:p>
            <w:pPr>
              <w:jc w:val="center"/>
              <w:rPr>
                <w:rFonts w:cs="宋体"/>
                <w:color w:val="auto"/>
                <w:sz w:val="21"/>
                <w:szCs w:val="21"/>
                <w:highlight w:val="none"/>
              </w:rPr>
            </w:pPr>
          </w:p>
        </w:tc>
        <w:tc>
          <w:tcPr>
            <w:tcW w:w="911" w:type="dxa"/>
            <w:tcBorders>
              <w:top w:val="single" w:color="auto" w:sz="4" w:space="0"/>
              <w:left w:val="nil"/>
              <w:bottom w:val="single" w:color="auto" w:sz="4" w:space="0"/>
              <w:right w:val="single" w:color="auto" w:sz="4" w:space="0"/>
            </w:tcBorders>
            <w:vAlign w:val="center"/>
          </w:tcPr>
          <w:p>
            <w:pPr>
              <w:jc w:val="center"/>
              <w:rPr>
                <w:rFonts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2887"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sz w:val="21"/>
                <w:szCs w:val="21"/>
                <w:highlight w:val="none"/>
              </w:rPr>
            </w:pPr>
          </w:p>
        </w:tc>
        <w:tc>
          <w:tcPr>
            <w:tcW w:w="1215" w:type="dxa"/>
            <w:tcBorders>
              <w:top w:val="single" w:color="auto" w:sz="4" w:space="0"/>
              <w:left w:val="nil"/>
              <w:bottom w:val="single" w:color="auto" w:sz="4" w:space="0"/>
              <w:right w:val="single" w:color="auto" w:sz="4" w:space="0"/>
            </w:tcBorders>
            <w:vAlign w:val="center"/>
          </w:tcPr>
          <w:p>
            <w:pPr>
              <w:spacing w:before="100" w:after="100"/>
              <w:jc w:val="center"/>
              <w:rPr>
                <w:rFonts w:cs="宋体"/>
                <w:color w:val="auto"/>
                <w:sz w:val="21"/>
                <w:szCs w:val="21"/>
                <w:highlight w:val="none"/>
              </w:rPr>
            </w:pPr>
          </w:p>
        </w:tc>
        <w:tc>
          <w:tcPr>
            <w:tcW w:w="1063" w:type="dxa"/>
            <w:tcBorders>
              <w:top w:val="single" w:color="auto" w:sz="4" w:space="0"/>
              <w:left w:val="nil"/>
              <w:bottom w:val="single" w:color="auto" w:sz="4" w:space="0"/>
              <w:right w:val="single" w:color="auto" w:sz="4" w:space="0"/>
            </w:tcBorders>
            <w:vAlign w:val="center"/>
          </w:tcPr>
          <w:p>
            <w:pPr>
              <w:jc w:val="center"/>
              <w:rPr>
                <w:rFonts w:cs="宋体"/>
                <w:color w:val="auto"/>
                <w:sz w:val="21"/>
                <w:szCs w:val="21"/>
                <w:highlight w:val="none"/>
              </w:rPr>
            </w:pPr>
          </w:p>
        </w:tc>
        <w:tc>
          <w:tcPr>
            <w:tcW w:w="911" w:type="dxa"/>
            <w:tcBorders>
              <w:top w:val="single" w:color="auto" w:sz="4" w:space="0"/>
              <w:left w:val="nil"/>
              <w:bottom w:val="single" w:color="auto" w:sz="4" w:space="0"/>
              <w:right w:val="single" w:color="auto" w:sz="4" w:space="0"/>
            </w:tcBorders>
            <w:vAlign w:val="center"/>
          </w:tcPr>
          <w:p>
            <w:pPr>
              <w:jc w:val="center"/>
              <w:rPr>
                <w:rFonts w:cs="宋体"/>
                <w:color w:val="auto"/>
                <w:sz w:val="21"/>
                <w:szCs w:val="21"/>
                <w:highlight w:val="none"/>
              </w:rPr>
            </w:pPr>
          </w:p>
        </w:tc>
        <w:tc>
          <w:tcPr>
            <w:tcW w:w="911" w:type="dxa"/>
            <w:tcBorders>
              <w:top w:val="single" w:color="auto" w:sz="4" w:space="0"/>
              <w:left w:val="nil"/>
              <w:bottom w:val="single" w:color="auto" w:sz="4" w:space="0"/>
              <w:right w:val="single" w:color="auto" w:sz="4" w:space="0"/>
            </w:tcBorders>
            <w:vAlign w:val="center"/>
          </w:tcPr>
          <w:p>
            <w:pPr>
              <w:jc w:val="center"/>
              <w:rPr>
                <w:rFonts w:cs="宋体"/>
                <w:color w:val="auto"/>
                <w:sz w:val="21"/>
                <w:szCs w:val="21"/>
                <w:highlight w:val="none"/>
              </w:rPr>
            </w:pPr>
          </w:p>
        </w:tc>
        <w:tc>
          <w:tcPr>
            <w:tcW w:w="911" w:type="dxa"/>
            <w:tcBorders>
              <w:top w:val="single" w:color="auto" w:sz="4" w:space="0"/>
              <w:left w:val="nil"/>
              <w:bottom w:val="single" w:color="auto" w:sz="4" w:space="0"/>
              <w:right w:val="single" w:color="auto" w:sz="4" w:space="0"/>
            </w:tcBorders>
            <w:vAlign w:val="center"/>
          </w:tcPr>
          <w:p>
            <w:pPr>
              <w:jc w:val="center"/>
              <w:rPr>
                <w:rFonts w:cs="宋体"/>
                <w:color w:val="auto"/>
                <w:sz w:val="21"/>
                <w:szCs w:val="21"/>
                <w:highlight w:val="none"/>
              </w:rPr>
            </w:pPr>
          </w:p>
        </w:tc>
        <w:tc>
          <w:tcPr>
            <w:tcW w:w="911" w:type="dxa"/>
            <w:tcBorders>
              <w:top w:val="single" w:color="auto" w:sz="4" w:space="0"/>
              <w:left w:val="nil"/>
              <w:bottom w:val="single" w:color="auto" w:sz="4" w:space="0"/>
              <w:right w:val="single" w:color="auto" w:sz="4" w:space="0"/>
            </w:tcBorders>
            <w:vAlign w:val="center"/>
          </w:tcPr>
          <w:p>
            <w:pPr>
              <w:jc w:val="center"/>
              <w:rPr>
                <w:rFonts w:cs="宋体"/>
                <w:color w:val="auto"/>
                <w:sz w:val="21"/>
                <w:szCs w:val="21"/>
                <w:highlight w:val="none"/>
              </w:rPr>
            </w:pPr>
          </w:p>
        </w:tc>
        <w:tc>
          <w:tcPr>
            <w:tcW w:w="911" w:type="dxa"/>
            <w:tcBorders>
              <w:top w:val="single" w:color="auto" w:sz="4" w:space="0"/>
              <w:left w:val="nil"/>
              <w:bottom w:val="single" w:color="auto" w:sz="4" w:space="0"/>
              <w:right w:val="single" w:color="auto" w:sz="4" w:space="0"/>
            </w:tcBorders>
            <w:vAlign w:val="center"/>
          </w:tcPr>
          <w:p>
            <w:pPr>
              <w:jc w:val="center"/>
              <w:rPr>
                <w:rFonts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2887"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sz w:val="21"/>
                <w:szCs w:val="21"/>
                <w:highlight w:val="none"/>
              </w:rPr>
            </w:pPr>
          </w:p>
        </w:tc>
        <w:tc>
          <w:tcPr>
            <w:tcW w:w="1215" w:type="dxa"/>
            <w:tcBorders>
              <w:top w:val="single" w:color="auto" w:sz="4" w:space="0"/>
              <w:left w:val="nil"/>
              <w:bottom w:val="single" w:color="auto" w:sz="4" w:space="0"/>
              <w:right w:val="single" w:color="auto" w:sz="4" w:space="0"/>
            </w:tcBorders>
            <w:vAlign w:val="center"/>
          </w:tcPr>
          <w:p>
            <w:pPr>
              <w:spacing w:line="400" w:lineRule="exact"/>
              <w:jc w:val="center"/>
              <w:rPr>
                <w:rFonts w:cs="宋体"/>
                <w:color w:val="auto"/>
                <w:sz w:val="24"/>
                <w:szCs w:val="24"/>
                <w:highlight w:val="none"/>
              </w:rPr>
            </w:pPr>
          </w:p>
        </w:tc>
        <w:tc>
          <w:tcPr>
            <w:tcW w:w="1063" w:type="dxa"/>
            <w:tcBorders>
              <w:top w:val="single" w:color="auto" w:sz="4" w:space="0"/>
              <w:left w:val="nil"/>
              <w:bottom w:val="single" w:color="auto" w:sz="4" w:space="0"/>
              <w:right w:val="single" w:color="auto" w:sz="4" w:space="0"/>
            </w:tcBorders>
            <w:vAlign w:val="center"/>
          </w:tcPr>
          <w:p>
            <w:pPr>
              <w:spacing w:line="400" w:lineRule="exact"/>
              <w:jc w:val="center"/>
              <w:rPr>
                <w:rFonts w:ascii="Arial" w:hAnsi="Arial" w:cs="Arial"/>
                <w:color w:val="auto"/>
                <w:sz w:val="25"/>
                <w:szCs w:val="25"/>
                <w:highlight w:val="none"/>
              </w:rPr>
            </w:pPr>
          </w:p>
        </w:tc>
        <w:tc>
          <w:tcPr>
            <w:tcW w:w="911" w:type="dxa"/>
            <w:tcBorders>
              <w:top w:val="single" w:color="auto" w:sz="4" w:space="0"/>
              <w:left w:val="nil"/>
              <w:bottom w:val="single" w:color="auto" w:sz="4" w:space="0"/>
              <w:right w:val="single" w:color="auto" w:sz="4" w:space="0"/>
            </w:tcBorders>
            <w:vAlign w:val="center"/>
          </w:tcPr>
          <w:p>
            <w:pPr>
              <w:spacing w:line="400" w:lineRule="exact"/>
              <w:jc w:val="center"/>
              <w:rPr>
                <w:rFonts w:cs="宋体"/>
                <w:color w:val="auto"/>
                <w:sz w:val="24"/>
                <w:szCs w:val="24"/>
                <w:highlight w:val="none"/>
              </w:rPr>
            </w:pPr>
          </w:p>
        </w:tc>
        <w:tc>
          <w:tcPr>
            <w:tcW w:w="911" w:type="dxa"/>
            <w:tcBorders>
              <w:top w:val="single" w:color="auto" w:sz="4" w:space="0"/>
              <w:left w:val="nil"/>
              <w:bottom w:val="single" w:color="auto" w:sz="4" w:space="0"/>
              <w:right w:val="single" w:color="auto" w:sz="4" w:space="0"/>
            </w:tcBorders>
            <w:vAlign w:val="center"/>
          </w:tcPr>
          <w:p>
            <w:pPr>
              <w:spacing w:line="400" w:lineRule="exact"/>
              <w:jc w:val="center"/>
              <w:rPr>
                <w:rFonts w:cs="宋体"/>
                <w:color w:val="auto"/>
                <w:sz w:val="24"/>
                <w:szCs w:val="24"/>
                <w:highlight w:val="none"/>
              </w:rPr>
            </w:pPr>
          </w:p>
        </w:tc>
        <w:tc>
          <w:tcPr>
            <w:tcW w:w="911" w:type="dxa"/>
            <w:tcBorders>
              <w:top w:val="single" w:color="auto" w:sz="4" w:space="0"/>
              <w:left w:val="nil"/>
              <w:bottom w:val="single" w:color="auto" w:sz="4" w:space="0"/>
              <w:right w:val="single" w:color="auto" w:sz="4" w:space="0"/>
            </w:tcBorders>
            <w:vAlign w:val="center"/>
          </w:tcPr>
          <w:p>
            <w:pPr>
              <w:spacing w:line="400" w:lineRule="exact"/>
              <w:jc w:val="center"/>
              <w:rPr>
                <w:rFonts w:cs="宋体"/>
                <w:color w:val="auto"/>
                <w:sz w:val="24"/>
                <w:szCs w:val="24"/>
                <w:highlight w:val="none"/>
              </w:rPr>
            </w:pPr>
          </w:p>
        </w:tc>
        <w:tc>
          <w:tcPr>
            <w:tcW w:w="911" w:type="dxa"/>
            <w:tcBorders>
              <w:top w:val="single" w:color="auto" w:sz="4" w:space="0"/>
              <w:left w:val="nil"/>
              <w:bottom w:val="single" w:color="auto" w:sz="4" w:space="0"/>
              <w:right w:val="single" w:color="auto" w:sz="4" w:space="0"/>
            </w:tcBorders>
            <w:vAlign w:val="center"/>
          </w:tcPr>
          <w:p>
            <w:pPr>
              <w:spacing w:line="400" w:lineRule="exact"/>
              <w:jc w:val="center"/>
              <w:rPr>
                <w:rFonts w:cs="宋体"/>
                <w:color w:val="auto"/>
                <w:sz w:val="24"/>
                <w:szCs w:val="24"/>
                <w:highlight w:val="none"/>
              </w:rPr>
            </w:pPr>
          </w:p>
        </w:tc>
        <w:tc>
          <w:tcPr>
            <w:tcW w:w="911" w:type="dxa"/>
            <w:tcBorders>
              <w:top w:val="single" w:color="auto" w:sz="4" w:space="0"/>
              <w:left w:val="nil"/>
              <w:bottom w:val="single" w:color="auto" w:sz="4" w:space="0"/>
              <w:right w:val="single" w:color="auto" w:sz="4" w:space="0"/>
            </w:tcBorders>
            <w:vAlign w:val="center"/>
          </w:tcPr>
          <w:p>
            <w:pPr>
              <w:spacing w:line="400" w:lineRule="exact"/>
              <w:jc w:val="center"/>
              <w:rPr>
                <w:rFonts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2887" w:type="dxa"/>
            <w:tcBorders>
              <w:top w:val="single" w:color="auto" w:sz="4" w:space="0"/>
              <w:left w:val="single" w:color="auto" w:sz="4" w:space="0"/>
              <w:bottom w:val="single" w:color="auto" w:sz="4" w:space="0"/>
              <w:right w:val="single" w:color="auto" w:sz="4" w:space="0"/>
            </w:tcBorders>
            <w:vAlign w:val="center"/>
          </w:tcPr>
          <w:p>
            <w:pPr>
              <w:jc w:val="center"/>
              <w:rPr>
                <w:rFonts w:ascii="Calibri" w:hAnsi="Calibri" w:cs="Calibri"/>
                <w:color w:val="auto"/>
                <w:sz w:val="21"/>
                <w:szCs w:val="21"/>
                <w:highlight w:val="none"/>
              </w:rPr>
            </w:pPr>
          </w:p>
        </w:tc>
        <w:tc>
          <w:tcPr>
            <w:tcW w:w="1215" w:type="dxa"/>
            <w:tcBorders>
              <w:top w:val="single" w:color="auto" w:sz="4" w:space="0"/>
              <w:left w:val="nil"/>
              <w:bottom w:val="single" w:color="auto" w:sz="4" w:space="0"/>
              <w:right w:val="single" w:color="auto" w:sz="4" w:space="0"/>
            </w:tcBorders>
            <w:vAlign w:val="center"/>
          </w:tcPr>
          <w:p>
            <w:pPr>
              <w:spacing w:line="400" w:lineRule="exact"/>
              <w:jc w:val="center"/>
              <w:rPr>
                <w:rFonts w:cs="宋体"/>
                <w:color w:val="auto"/>
                <w:sz w:val="21"/>
                <w:szCs w:val="21"/>
                <w:highlight w:val="none"/>
              </w:rPr>
            </w:pPr>
          </w:p>
        </w:tc>
        <w:tc>
          <w:tcPr>
            <w:tcW w:w="1063" w:type="dxa"/>
            <w:tcBorders>
              <w:top w:val="single" w:color="auto" w:sz="4" w:space="0"/>
              <w:left w:val="nil"/>
              <w:bottom w:val="single" w:color="auto" w:sz="4" w:space="0"/>
              <w:right w:val="single" w:color="auto" w:sz="4" w:space="0"/>
            </w:tcBorders>
            <w:vAlign w:val="center"/>
          </w:tcPr>
          <w:p>
            <w:pPr>
              <w:spacing w:line="400" w:lineRule="exact"/>
              <w:jc w:val="center"/>
              <w:rPr>
                <w:rFonts w:cs="宋体"/>
                <w:color w:val="auto"/>
                <w:sz w:val="21"/>
                <w:szCs w:val="21"/>
                <w:highlight w:val="none"/>
              </w:rPr>
            </w:pPr>
          </w:p>
        </w:tc>
        <w:tc>
          <w:tcPr>
            <w:tcW w:w="911" w:type="dxa"/>
            <w:tcBorders>
              <w:top w:val="single" w:color="auto" w:sz="4" w:space="0"/>
              <w:left w:val="nil"/>
              <w:bottom w:val="single" w:color="auto" w:sz="4" w:space="0"/>
              <w:right w:val="single" w:color="auto" w:sz="4" w:space="0"/>
            </w:tcBorders>
            <w:vAlign w:val="center"/>
          </w:tcPr>
          <w:p>
            <w:pPr>
              <w:spacing w:line="400" w:lineRule="exact"/>
              <w:jc w:val="center"/>
              <w:rPr>
                <w:rFonts w:cs="宋体"/>
                <w:color w:val="auto"/>
                <w:sz w:val="21"/>
                <w:szCs w:val="21"/>
                <w:highlight w:val="none"/>
              </w:rPr>
            </w:pPr>
          </w:p>
        </w:tc>
        <w:tc>
          <w:tcPr>
            <w:tcW w:w="911" w:type="dxa"/>
            <w:tcBorders>
              <w:top w:val="single" w:color="auto" w:sz="4" w:space="0"/>
              <w:left w:val="nil"/>
              <w:bottom w:val="single" w:color="auto" w:sz="4" w:space="0"/>
              <w:right w:val="single" w:color="auto" w:sz="4" w:space="0"/>
            </w:tcBorders>
            <w:vAlign w:val="center"/>
          </w:tcPr>
          <w:p>
            <w:pPr>
              <w:spacing w:line="400" w:lineRule="exact"/>
              <w:jc w:val="center"/>
              <w:rPr>
                <w:rFonts w:cs="宋体"/>
                <w:color w:val="auto"/>
                <w:sz w:val="21"/>
                <w:szCs w:val="21"/>
                <w:highlight w:val="none"/>
              </w:rPr>
            </w:pPr>
          </w:p>
        </w:tc>
        <w:tc>
          <w:tcPr>
            <w:tcW w:w="911" w:type="dxa"/>
            <w:tcBorders>
              <w:top w:val="single" w:color="auto" w:sz="4" w:space="0"/>
              <w:left w:val="nil"/>
              <w:bottom w:val="single" w:color="auto" w:sz="4" w:space="0"/>
              <w:right w:val="single" w:color="auto" w:sz="4" w:space="0"/>
            </w:tcBorders>
            <w:vAlign w:val="center"/>
          </w:tcPr>
          <w:p>
            <w:pPr>
              <w:spacing w:line="400" w:lineRule="exact"/>
              <w:jc w:val="center"/>
              <w:rPr>
                <w:rFonts w:cs="宋体"/>
                <w:color w:val="auto"/>
                <w:sz w:val="21"/>
                <w:szCs w:val="21"/>
                <w:highlight w:val="none"/>
              </w:rPr>
            </w:pPr>
          </w:p>
        </w:tc>
        <w:tc>
          <w:tcPr>
            <w:tcW w:w="911" w:type="dxa"/>
            <w:tcBorders>
              <w:top w:val="single" w:color="auto" w:sz="4" w:space="0"/>
              <w:left w:val="nil"/>
              <w:bottom w:val="single" w:color="auto" w:sz="4" w:space="0"/>
              <w:right w:val="single" w:color="auto" w:sz="4" w:space="0"/>
            </w:tcBorders>
            <w:vAlign w:val="center"/>
          </w:tcPr>
          <w:p>
            <w:pPr>
              <w:spacing w:line="400" w:lineRule="exact"/>
              <w:jc w:val="center"/>
              <w:rPr>
                <w:rFonts w:cs="宋体"/>
                <w:color w:val="auto"/>
                <w:sz w:val="21"/>
                <w:szCs w:val="21"/>
                <w:highlight w:val="none"/>
              </w:rPr>
            </w:pPr>
          </w:p>
        </w:tc>
        <w:tc>
          <w:tcPr>
            <w:tcW w:w="911" w:type="dxa"/>
            <w:tcBorders>
              <w:top w:val="single" w:color="auto" w:sz="4" w:space="0"/>
              <w:left w:val="nil"/>
              <w:bottom w:val="single" w:color="auto" w:sz="4" w:space="0"/>
              <w:right w:val="single" w:color="auto" w:sz="4" w:space="0"/>
            </w:tcBorders>
            <w:vAlign w:val="center"/>
          </w:tcPr>
          <w:p>
            <w:pPr>
              <w:spacing w:line="400" w:lineRule="exact"/>
              <w:jc w:val="center"/>
              <w:rPr>
                <w:rFonts w:cs="宋体"/>
                <w:color w:val="auto"/>
                <w:sz w:val="21"/>
                <w:szCs w:val="21"/>
                <w:highlight w:val="none"/>
              </w:rPr>
            </w:pPr>
          </w:p>
        </w:tc>
      </w:tr>
    </w:tbl>
    <w:p>
      <w:pPr>
        <w:spacing w:line="360" w:lineRule="auto"/>
        <w:ind w:firstLine="420" w:firstLineChars="200"/>
        <w:rPr>
          <w:rFonts w:cs="宋体"/>
          <w:color w:val="auto"/>
          <w:sz w:val="21"/>
          <w:szCs w:val="21"/>
          <w:highlight w:val="none"/>
        </w:rPr>
      </w:pPr>
    </w:p>
    <w:p>
      <w:pPr>
        <w:spacing w:line="360" w:lineRule="auto"/>
        <w:ind w:firstLine="420" w:firstLineChars="200"/>
        <w:rPr>
          <w:rFonts w:cs="宋体"/>
          <w:color w:val="auto"/>
          <w:sz w:val="21"/>
          <w:szCs w:val="21"/>
          <w:highlight w:val="none"/>
          <w:u w:val="single"/>
        </w:rPr>
      </w:pPr>
      <w:r>
        <w:rPr>
          <w:rFonts w:hint="eastAsia" w:cs="宋体"/>
          <w:color w:val="auto"/>
          <w:sz w:val="21"/>
          <w:szCs w:val="21"/>
          <w:highlight w:val="none"/>
        </w:rPr>
        <w:t>三、否决其投标的投标人及原因：</w:t>
      </w:r>
      <w:r>
        <w:rPr>
          <w:rFonts w:hint="eastAsia" w:cs="宋体"/>
          <w:color w:val="auto"/>
          <w:sz w:val="21"/>
          <w:szCs w:val="21"/>
          <w:highlight w:val="none"/>
          <w:u w:val="single"/>
        </w:rPr>
        <w:t xml:space="preserve">                                                            </w:t>
      </w:r>
    </w:p>
    <w:p>
      <w:pPr>
        <w:spacing w:line="360" w:lineRule="auto"/>
        <w:ind w:firstLine="420" w:firstLineChars="200"/>
        <w:rPr>
          <w:rFonts w:cs="宋体"/>
          <w:color w:val="auto"/>
          <w:sz w:val="21"/>
          <w:szCs w:val="21"/>
          <w:highlight w:val="none"/>
        </w:rPr>
      </w:pPr>
      <w:r>
        <w:rPr>
          <w:rFonts w:hint="eastAsia" w:cs="宋体"/>
          <w:color w:val="auto"/>
          <w:sz w:val="21"/>
          <w:szCs w:val="21"/>
          <w:highlight w:val="none"/>
        </w:rPr>
        <w:t>四、资格审查委员会对投标报价给予修正的原因、依据和修正结果（如有时）：</w:t>
      </w:r>
      <w:r>
        <w:rPr>
          <w:rFonts w:hint="eastAsia" w:cs="宋体"/>
          <w:color w:val="auto"/>
          <w:sz w:val="21"/>
          <w:szCs w:val="21"/>
          <w:highlight w:val="none"/>
          <w:u w:val="single"/>
        </w:rPr>
        <w:t xml:space="preserve">                       </w:t>
      </w:r>
    </w:p>
    <w:p>
      <w:pPr>
        <w:spacing w:line="360" w:lineRule="auto"/>
        <w:ind w:firstLine="420" w:firstLineChars="200"/>
        <w:rPr>
          <w:rFonts w:cs="宋体"/>
          <w:color w:val="auto"/>
          <w:sz w:val="21"/>
          <w:szCs w:val="21"/>
          <w:highlight w:val="none"/>
          <w:u w:val="single"/>
        </w:rPr>
      </w:pPr>
      <w:r>
        <w:rPr>
          <w:rFonts w:hint="eastAsia" w:cs="宋体"/>
          <w:color w:val="auto"/>
          <w:sz w:val="21"/>
          <w:szCs w:val="21"/>
          <w:highlight w:val="none"/>
        </w:rPr>
        <w:t>五、资格审查委员会成员名单：</w:t>
      </w:r>
      <w:r>
        <w:rPr>
          <w:rFonts w:hint="eastAsia" w:cs="宋体"/>
          <w:color w:val="auto"/>
          <w:sz w:val="21"/>
          <w:szCs w:val="21"/>
          <w:highlight w:val="none"/>
          <w:u w:val="single"/>
        </w:rPr>
        <w:t xml:space="preserve">                                                                  </w:t>
      </w:r>
    </w:p>
    <w:p>
      <w:pPr>
        <w:spacing w:line="360" w:lineRule="auto"/>
        <w:ind w:firstLine="420" w:firstLineChars="200"/>
        <w:rPr>
          <w:rFonts w:ascii="Calibri" w:hAnsi="Calibri" w:cs="Calibri"/>
          <w:color w:val="auto"/>
          <w:sz w:val="21"/>
          <w:szCs w:val="21"/>
          <w:highlight w:val="none"/>
        </w:rPr>
      </w:pPr>
      <w:r>
        <w:rPr>
          <w:rFonts w:hint="eastAsia" w:cs="宋体"/>
          <w:color w:val="auto"/>
          <w:sz w:val="21"/>
          <w:szCs w:val="21"/>
          <w:highlight w:val="none"/>
        </w:rPr>
        <w:t>六、公示时间：</w:t>
      </w:r>
      <w:r>
        <w:rPr>
          <w:rFonts w:hint="eastAsia" w:cs="宋体"/>
          <w:color w:val="auto"/>
          <w:sz w:val="21"/>
          <w:szCs w:val="21"/>
          <w:highlight w:val="none"/>
          <w:u w:val="single"/>
        </w:rPr>
        <w:t xml:space="preserve">    </w:t>
      </w:r>
      <w:r>
        <w:rPr>
          <w:rFonts w:hint="eastAsia" w:cs="宋体"/>
          <w:color w:val="auto"/>
          <w:sz w:val="21"/>
          <w:szCs w:val="21"/>
          <w:highlight w:val="none"/>
        </w:rPr>
        <w:t>年</w:t>
      </w:r>
      <w:r>
        <w:rPr>
          <w:rFonts w:hint="eastAsia" w:cs="宋体"/>
          <w:color w:val="auto"/>
          <w:sz w:val="21"/>
          <w:szCs w:val="21"/>
          <w:highlight w:val="none"/>
          <w:u w:val="single"/>
        </w:rPr>
        <w:t xml:space="preserve">   </w:t>
      </w:r>
      <w:r>
        <w:rPr>
          <w:rFonts w:hint="eastAsia" w:cs="宋体"/>
          <w:color w:val="auto"/>
          <w:sz w:val="21"/>
          <w:szCs w:val="21"/>
          <w:highlight w:val="none"/>
        </w:rPr>
        <w:t>月</w:t>
      </w:r>
      <w:r>
        <w:rPr>
          <w:rFonts w:hint="eastAsia" w:cs="宋体"/>
          <w:color w:val="auto"/>
          <w:sz w:val="21"/>
          <w:szCs w:val="21"/>
          <w:highlight w:val="none"/>
          <w:u w:val="single"/>
        </w:rPr>
        <w:t xml:space="preserve">   </w:t>
      </w:r>
      <w:r>
        <w:rPr>
          <w:rFonts w:hint="eastAsia" w:cs="宋体"/>
          <w:color w:val="auto"/>
          <w:sz w:val="21"/>
          <w:szCs w:val="21"/>
          <w:highlight w:val="none"/>
        </w:rPr>
        <w:t>日至</w:t>
      </w:r>
      <w:r>
        <w:rPr>
          <w:rFonts w:hint="eastAsia" w:cs="宋体"/>
          <w:color w:val="auto"/>
          <w:sz w:val="21"/>
          <w:szCs w:val="21"/>
          <w:highlight w:val="none"/>
          <w:u w:val="single"/>
        </w:rPr>
        <w:t xml:space="preserve">    </w:t>
      </w:r>
      <w:r>
        <w:rPr>
          <w:rFonts w:hint="eastAsia" w:cs="宋体"/>
          <w:color w:val="auto"/>
          <w:sz w:val="21"/>
          <w:szCs w:val="21"/>
          <w:highlight w:val="none"/>
        </w:rPr>
        <w:t>年</w:t>
      </w:r>
      <w:r>
        <w:rPr>
          <w:rFonts w:hint="eastAsia" w:cs="宋体"/>
          <w:color w:val="auto"/>
          <w:sz w:val="21"/>
          <w:szCs w:val="21"/>
          <w:highlight w:val="none"/>
          <w:u w:val="single"/>
        </w:rPr>
        <w:t xml:space="preserve">   </w:t>
      </w:r>
      <w:r>
        <w:rPr>
          <w:rFonts w:hint="eastAsia" w:cs="宋体"/>
          <w:color w:val="auto"/>
          <w:sz w:val="21"/>
          <w:szCs w:val="21"/>
          <w:highlight w:val="none"/>
        </w:rPr>
        <w:t>月</w:t>
      </w:r>
      <w:r>
        <w:rPr>
          <w:rFonts w:hint="eastAsia" w:cs="宋体"/>
          <w:color w:val="auto"/>
          <w:sz w:val="21"/>
          <w:szCs w:val="21"/>
          <w:highlight w:val="none"/>
          <w:u w:val="single"/>
        </w:rPr>
        <w:t xml:space="preserve">   </w:t>
      </w:r>
      <w:r>
        <w:rPr>
          <w:rFonts w:hint="eastAsia" w:cs="宋体"/>
          <w:color w:val="auto"/>
          <w:sz w:val="21"/>
          <w:szCs w:val="21"/>
          <w:highlight w:val="none"/>
        </w:rPr>
        <w:t>日。投标人或者其他利害关系人对评标结果有异议的，应当在公示期间书面向招标人提出。</w:t>
      </w:r>
    </w:p>
    <w:p>
      <w:pPr>
        <w:spacing w:line="360" w:lineRule="auto"/>
        <w:ind w:firstLine="424" w:firstLineChars="202"/>
        <w:rPr>
          <w:rFonts w:ascii="Calibri" w:hAnsi="Calibri" w:cs="Calibri"/>
          <w:color w:val="auto"/>
          <w:sz w:val="21"/>
          <w:szCs w:val="21"/>
          <w:highlight w:val="none"/>
        </w:rPr>
      </w:pPr>
      <w:r>
        <w:rPr>
          <w:rFonts w:hint="eastAsia" w:cs="宋体"/>
          <w:color w:val="auto"/>
          <w:sz w:val="21"/>
          <w:szCs w:val="21"/>
          <w:highlight w:val="none"/>
        </w:rPr>
        <w:t xml:space="preserve">七、异议的渠道和方式：                                       </w:t>
      </w:r>
    </w:p>
    <w:p>
      <w:pPr>
        <w:spacing w:line="360" w:lineRule="auto"/>
        <w:ind w:firstLine="424" w:firstLineChars="202"/>
        <w:rPr>
          <w:rFonts w:ascii="Calibri" w:hAnsi="Calibri" w:cs="Calibri"/>
          <w:color w:val="auto"/>
          <w:sz w:val="21"/>
          <w:szCs w:val="21"/>
          <w:highlight w:val="none"/>
        </w:rPr>
      </w:pPr>
      <w:r>
        <w:rPr>
          <w:rFonts w:hint="eastAsia" w:cs="宋体"/>
          <w:color w:val="auto"/>
          <w:sz w:val="21"/>
          <w:szCs w:val="21"/>
          <w:highlight w:val="none"/>
        </w:rPr>
        <w:t>招标人名称：</w:t>
      </w:r>
      <w:r>
        <w:rPr>
          <w:rFonts w:hint="eastAsia" w:cs="宋体"/>
          <w:color w:val="auto"/>
          <w:sz w:val="21"/>
          <w:szCs w:val="21"/>
          <w:highlight w:val="none"/>
          <w:u w:val="single"/>
        </w:rPr>
        <w:t xml:space="preserve">                            </w:t>
      </w:r>
    </w:p>
    <w:p>
      <w:pPr>
        <w:spacing w:line="360" w:lineRule="auto"/>
        <w:ind w:firstLine="424" w:firstLineChars="202"/>
        <w:rPr>
          <w:rFonts w:ascii="Calibri" w:hAnsi="Calibri" w:cs="Calibri"/>
          <w:color w:val="auto"/>
          <w:sz w:val="21"/>
          <w:szCs w:val="21"/>
          <w:highlight w:val="none"/>
        </w:rPr>
      </w:pPr>
      <w:r>
        <w:rPr>
          <w:rFonts w:hint="eastAsia" w:cs="宋体"/>
          <w:color w:val="auto"/>
          <w:sz w:val="21"/>
          <w:szCs w:val="21"/>
          <w:highlight w:val="none"/>
        </w:rPr>
        <w:t>招标人地址：</w:t>
      </w:r>
      <w:r>
        <w:rPr>
          <w:rFonts w:hint="eastAsia" w:cs="宋体"/>
          <w:color w:val="auto"/>
          <w:sz w:val="21"/>
          <w:szCs w:val="21"/>
          <w:highlight w:val="none"/>
          <w:u w:val="single"/>
        </w:rPr>
        <w:t xml:space="preserve">                            </w:t>
      </w:r>
    </w:p>
    <w:p>
      <w:pPr>
        <w:spacing w:line="360" w:lineRule="auto"/>
        <w:ind w:firstLine="424" w:firstLineChars="202"/>
        <w:rPr>
          <w:rFonts w:ascii="Calibri" w:hAnsi="Calibri" w:cs="Calibri"/>
          <w:color w:val="auto"/>
          <w:sz w:val="21"/>
          <w:szCs w:val="21"/>
          <w:highlight w:val="none"/>
        </w:rPr>
      </w:pPr>
      <w:r>
        <w:rPr>
          <w:rFonts w:hint="eastAsia" w:cs="宋体"/>
          <w:color w:val="auto"/>
          <w:sz w:val="21"/>
          <w:szCs w:val="21"/>
          <w:highlight w:val="none"/>
        </w:rPr>
        <w:t>招标人联系方式：</w:t>
      </w:r>
      <w:r>
        <w:rPr>
          <w:rFonts w:hint="eastAsia" w:cs="宋体"/>
          <w:color w:val="auto"/>
          <w:sz w:val="21"/>
          <w:szCs w:val="21"/>
          <w:highlight w:val="none"/>
          <w:u w:val="single"/>
        </w:rPr>
        <w:t xml:space="preserve">                        </w:t>
      </w:r>
    </w:p>
    <w:p>
      <w:pPr>
        <w:spacing w:line="360" w:lineRule="auto"/>
        <w:rPr>
          <w:rFonts w:ascii="Calibri" w:hAnsi="Calibri" w:cs="Calibri"/>
          <w:color w:val="auto"/>
          <w:sz w:val="21"/>
          <w:szCs w:val="21"/>
          <w:highlight w:val="none"/>
        </w:rPr>
      </w:pPr>
      <w:r>
        <w:rPr>
          <w:rFonts w:ascii="Calibri" w:hAnsi="Calibri" w:cs="Calibri"/>
          <w:color w:val="auto"/>
          <w:sz w:val="21"/>
          <w:szCs w:val="21"/>
          <w:highlight w:val="none"/>
        </w:rPr>
        <w:t xml:space="preserve"> </w:t>
      </w:r>
    </w:p>
    <w:p>
      <w:pPr>
        <w:spacing w:line="360" w:lineRule="auto"/>
        <w:ind w:firstLine="424" w:firstLineChars="202"/>
        <w:rPr>
          <w:rFonts w:ascii="Calibri" w:hAnsi="Calibri" w:cs="Calibri"/>
          <w:color w:val="auto"/>
          <w:sz w:val="21"/>
          <w:szCs w:val="21"/>
          <w:highlight w:val="none"/>
          <w:u w:val="single"/>
        </w:rPr>
      </w:pPr>
      <w:r>
        <w:rPr>
          <w:rFonts w:hint="eastAsia" w:cs="宋体"/>
          <w:color w:val="auto"/>
          <w:sz w:val="21"/>
          <w:szCs w:val="21"/>
          <w:highlight w:val="none"/>
        </w:rPr>
        <w:t>招标人：</w:t>
      </w:r>
      <w:r>
        <w:rPr>
          <w:rFonts w:hint="eastAsia" w:cs="宋体"/>
          <w:color w:val="auto"/>
          <w:sz w:val="21"/>
          <w:szCs w:val="21"/>
          <w:highlight w:val="none"/>
          <w:u w:val="single"/>
        </w:rPr>
        <w:t xml:space="preserve">     （电子签名专用章）</w:t>
      </w:r>
      <w:r>
        <w:rPr>
          <w:rFonts w:hint="eastAsia" w:cs="宋体"/>
          <w:color w:val="auto"/>
          <w:sz w:val="21"/>
          <w:szCs w:val="21"/>
          <w:highlight w:val="none"/>
        </w:rPr>
        <w:t xml:space="preserve">     招标代理机构：</w:t>
      </w:r>
      <w:r>
        <w:rPr>
          <w:rFonts w:hint="eastAsia" w:cs="宋体"/>
          <w:color w:val="auto"/>
          <w:sz w:val="21"/>
          <w:szCs w:val="21"/>
          <w:highlight w:val="none"/>
          <w:u w:val="single"/>
        </w:rPr>
        <w:t xml:space="preserve">     （电子签名专用章）</w:t>
      </w:r>
    </w:p>
    <w:p>
      <w:pPr>
        <w:spacing w:line="360" w:lineRule="auto"/>
        <w:ind w:firstLine="424" w:firstLineChars="202"/>
        <w:rPr>
          <w:rFonts w:ascii="Calibri" w:hAnsi="Calibri" w:cs="Calibri"/>
          <w:color w:val="auto"/>
          <w:sz w:val="21"/>
          <w:szCs w:val="21"/>
          <w:highlight w:val="none"/>
        </w:rPr>
      </w:pPr>
      <w:r>
        <w:rPr>
          <w:rFonts w:hint="eastAsia" w:cs="宋体"/>
          <w:color w:val="auto"/>
          <w:sz w:val="21"/>
          <w:szCs w:val="21"/>
          <w:highlight w:val="none"/>
        </w:rPr>
        <w:t>法定代表人或                         法定代表人或</w:t>
      </w:r>
    </w:p>
    <w:p>
      <w:pPr>
        <w:spacing w:line="360" w:lineRule="auto"/>
        <w:ind w:firstLine="424" w:firstLineChars="202"/>
        <w:rPr>
          <w:rFonts w:cs="黑体"/>
          <w:color w:val="auto"/>
          <w:sz w:val="21"/>
          <w:szCs w:val="21"/>
          <w:highlight w:val="none"/>
        </w:rPr>
      </w:pPr>
      <w:r>
        <w:rPr>
          <w:rFonts w:hint="eastAsia" w:cs="宋体"/>
          <w:color w:val="auto"/>
          <w:sz w:val="21"/>
          <w:szCs w:val="21"/>
          <w:highlight w:val="none"/>
        </w:rPr>
        <w:t>其委托代理人：</w:t>
      </w:r>
      <w:r>
        <w:rPr>
          <w:rFonts w:hint="eastAsia" w:cs="宋体"/>
          <w:color w:val="auto"/>
          <w:sz w:val="21"/>
          <w:szCs w:val="21"/>
          <w:highlight w:val="none"/>
          <w:u w:val="single"/>
        </w:rPr>
        <w:t>（电子签名专用章）</w:t>
      </w:r>
      <w:r>
        <w:rPr>
          <w:rFonts w:hint="eastAsia" w:cs="宋体"/>
          <w:color w:val="auto"/>
          <w:sz w:val="21"/>
          <w:szCs w:val="21"/>
          <w:highlight w:val="none"/>
        </w:rPr>
        <w:t xml:space="preserve">    其委托代理人：</w:t>
      </w:r>
      <w:r>
        <w:rPr>
          <w:rFonts w:hint="eastAsia" w:cs="宋体"/>
          <w:color w:val="auto"/>
          <w:sz w:val="21"/>
          <w:szCs w:val="21"/>
          <w:highlight w:val="none"/>
          <w:u w:val="single"/>
        </w:rPr>
        <w:t xml:space="preserve">     （电子签名专用章）</w:t>
      </w:r>
    </w:p>
    <w:p>
      <w:pPr>
        <w:pStyle w:val="5"/>
        <w:widowControl/>
        <w:spacing w:beforeLines="0" w:after="120"/>
        <w:ind w:firstLine="0"/>
        <w:rPr>
          <w:rFonts w:hAnsi="宋体" w:cs="黑体"/>
          <w:color w:val="auto"/>
          <w:sz w:val="21"/>
          <w:szCs w:val="21"/>
          <w:highlight w:val="none"/>
        </w:rPr>
      </w:pPr>
    </w:p>
    <w:p>
      <w:pPr>
        <w:pStyle w:val="5"/>
        <w:widowControl/>
        <w:spacing w:beforeLines="0" w:after="120"/>
        <w:ind w:firstLine="0"/>
        <w:rPr>
          <w:rFonts w:hAnsi="宋体" w:cs="黑体"/>
          <w:color w:val="auto"/>
          <w:sz w:val="21"/>
          <w:szCs w:val="21"/>
          <w:highlight w:val="none"/>
        </w:rPr>
      </w:pPr>
    </w:p>
    <w:p>
      <w:pPr>
        <w:pStyle w:val="5"/>
        <w:widowControl/>
        <w:spacing w:beforeLines="0" w:after="120"/>
        <w:ind w:firstLine="0"/>
        <w:rPr>
          <w:rFonts w:hAnsi="宋体" w:cs="黑体"/>
          <w:color w:val="auto"/>
          <w:sz w:val="21"/>
          <w:szCs w:val="21"/>
          <w:highlight w:val="none"/>
        </w:rPr>
      </w:pPr>
    </w:p>
    <w:p>
      <w:pPr>
        <w:pStyle w:val="5"/>
        <w:widowControl/>
        <w:spacing w:beforeLines="0" w:after="120"/>
        <w:ind w:firstLine="0"/>
        <w:rPr>
          <w:rFonts w:hAnsi="宋体" w:cs="黑体"/>
          <w:color w:val="auto"/>
          <w:sz w:val="21"/>
          <w:szCs w:val="21"/>
          <w:highlight w:val="none"/>
        </w:rPr>
      </w:pPr>
    </w:p>
    <w:p>
      <w:pPr>
        <w:pStyle w:val="5"/>
        <w:widowControl/>
        <w:spacing w:beforeLines="0" w:after="120"/>
        <w:ind w:firstLine="0"/>
        <w:rPr>
          <w:rFonts w:hAnsi="宋体" w:cs="黑体"/>
          <w:color w:val="auto"/>
          <w:sz w:val="21"/>
          <w:szCs w:val="21"/>
          <w:highlight w:val="none"/>
        </w:rPr>
      </w:pPr>
    </w:p>
    <w:p>
      <w:pPr>
        <w:pStyle w:val="5"/>
        <w:widowControl/>
        <w:spacing w:beforeLines="0" w:after="120"/>
        <w:ind w:firstLine="0"/>
        <w:rPr>
          <w:rFonts w:hAnsi="宋体" w:cs="黑体"/>
          <w:color w:val="auto"/>
          <w:sz w:val="21"/>
          <w:szCs w:val="21"/>
          <w:highlight w:val="none"/>
        </w:rPr>
      </w:pPr>
    </w:p>
    <w:p>
      <w:pPr>
        <w:pStyle w:val="5"/>
        <w:widowControl/>
        <w:spacing w:beforeLines="0" w:after="120"/>
        <w:ind w:firstLine="0"/>
        <w:rPr>
          <w:rFonts w:hAnsi="宋体" w:cs="黑体"/>
          <w:color w:val="auto"/>
          <w:sz w:val="21"/>
          <w:szCs w:val="21"/>
          <w:highlight w:val="none"/>
        </w:rPr>
      </w:pPr>
    </w:p>
    <w:p>
      <w:pPr>
        <w:pStyle w:val="5"/>
        <w:widowControl/>
        <w:spacing w:beforeLines="0" w:after="120"/>
        <w:ind w:firstLine="0"/>
        <w:rPr>
          <w:rFonts w:hAnsi="宋体" w:cs="黑体"/>
          <w:color w:val="auto"/>
          <w:sz w:val="21"/>
          <w:szCs w:val="21"/>
          <w:highlight w:val="none"/>
        </w:rPr>
      </w:pPr>
    </w:p>
    <w:p>
      <w:pPr>
        <w:pStyle w:val="5"/>
        <w:widowControl/>
        <w:spacing w:beforeLines="0" w:after="120"/>
        <w:ind w:firstLine="0"/>
        <w:rPr>
          <w:rFonts w:hAnsi="宋体" w:cs="黑体"/>
          <w:color w:val="auto"/>
          <w:sz w:val="21"/>
          <w:szCs w:val="21"/>
          <w:highlight w:val="none"/>
        </w:rPr>
      </w:pPr>
    </w:p>
    <w:p>
      <w:pPr>
        <w:pStyle w:val="5"/>
        <w:widowControl/>
        <w:spacing w:beforeLines="0" w:after="120"/>
        <w:ind w:firstLine="0"/>
        <w:rPr>
          <w:rFonts w:hAnsi="宋体" w:cs="黑体"/>
          <w:color w:val="auto"/>
          <w:sz w:val="21"/>
          <w:szCs w:val="21"/>
          <w:highlight w:val="none"/>
        </w:rPr>
      </w:pPr>
    </w:p>
    <w:p>
      <w:pPr>
        <w:pStyle w:val="5"/>
        <w:widowControl/>
        <w:spacing w:beforeLines="0" w:after="120"/>
        <w:ind w:firstLine="0"/>
        <w:rPr>
          <w:rFonts w:hAnsi="宋体" w:cs="黑体"/>
          <w:color w:val="auto"/>
          <w:sz w:val="21"/>
          <w:szCs w:val="21"/>
          <w:highlight w:val="none"/>
        </w:rPr>
      </w:pPr>
    </w:p>
    <w:p>
      <w:pPr>
        <w:pStyle w:val="24"/>
        <w:rPr>
          <w:rFonts w:hAnsi="宋体" w:cs="黑体"/>
          <w:color w:val="auto"/>
          <w:szCs w:val="21"/>
          <w:highlight w:val="none"/>
        </w:rPr>
      </w:pPr>
    </w:p>
    <w:p>
      <w:pPr>
        <w:rPr>
          <w:color w:val="auto"/>
          <w:highlight w:val="none"/>
        </w:rPr>
      </w:pPr>
    </w:p>
    <w:p>
      <w:pPr>
        <w:pStyle w:val="24"/>
        <w:rPr>
          <w:color w:val="auto"/>
          <w:highlight w:val="none"/>
        </w:rPr>
      </w:pPr>
    </w:p>
    <w:p>
      <w:pPr>
        <w:rPr>
          <w:color w:val="auto"/>
          <w:highlight w:val="none"/>
        </w:rPr>
      </w:pPr>
    </w:p>
    <w:p>
      <w:pPr>
        <w:pStyle w:val="24"/>
        <w:rPr>
          <w:color w:val="auto"/>
          <w:highlight w:val="none"/>
        </w:rPr>
      </w:pPr>
    </w:p>
    <w:p>
      <w:pPr>
        <w:rPr>
          <w:color w:val="auto"/>
          <w:highlight w:val="none"/>
        </w:rPr>
      </w:pPr>
    </w:p>
    <w:p>
      <w:pPr>
        <w:pStyle w:val="59"/>
        <w:rPr>
          <w:color w:val="auto"/>
          <w:highlight w:val="none"/>
        </w:rPr>
      </w:pPr>
    </w:p>
    <w:p>
      <w:pPr>
        <w:pStyle w:val="59"/>
        <w:rPr>
          <w:color w:val="auto"/>
          <w:highlight w:val="none"/>
        </w:rPr>
      </w:pPr>
    </w:p>
    <w:p>
      <w:pPr>
        <w:pStyle w:val="59"/>
        <w:rPr>
          <w:color w:val="auto"/>
          <w:highlight w:val="none"/>
        </w:rPr>
      </w:pPr>
    </w:p>
    <w:p>
      <w:pPr>
        <w:pStyle w:val="59"/>
        <w:rPr>
          <w:color w:val="auto"/>
          <w:highlight w:val="none"/>
        </w:rPr>
      </w:pPr>
    </w:p>
    <w:p>
      <w:pPr>
        <w:pStyle w:val="5"/>
        <w:widowControl/>
        <w:spacing w:beforeLines="0" w:after="120"/>
        <w:ind w:firstLine="0"/>
        <w:rPr>
          <w:rFonts w:hAnsi="宋体" w:cs="黑体"/>
          <w:color w:val="auto"/>
          <w:sz w:val="21"/>
          <w:szCs w:val="21"/>
          <w:highlight w:val="none"/>
        </w:rPr>
      </w:pPr>
      <w:bookmarkStart w:id="690" w:name="_Toc27269"/>
      <w:bookmarkStart w:id="691" w:name="_Toc106703269"/>
      <w:bookmarkStart w:id="692" w:name="_Toc29801"/>
      <w:r>
        <w:rPr>
          <w:rFonts w:hint="eastAsia" w:hAnsi="宋体" w:cs="黑体"/>
          <w:color w:val="auto"/>
          <w:sz w:val="21"/>
          <w:szCs w:val="21"/>
          <w:highlight w:val="none"/>
        </w:rPr>
        <w:t>附件2-3 ：中标结果公布（格式）</w:t>
      </w:r>
      <w:bookmarkEnd w:id="682"/>
      <w:bookmarkEnd w:id="683"/>
      <w:bookmarkEnd w:id="684"/>
      <w:bookmarkEnd w:id="685"/>
      <w:bookmarkEnd w:id="686"/>
      <w:bookmarkEnd w:id="690"/>
      <w:bookmarkEnd w:id="691"/>
      <w:bookmarkEnd w:id="692"/>
    </w:p>
    <w:p>
      <w:pPr>
        <w:spacing w:beforeLines="100" w:afterLines="100" w:line="360" w:lineRule="auto"/>
        <w:jc w:val="center"/>
        <w:rPr>
          <w:rFonts w:ascii="黑体" w:eastAsia="黑体" w:cs="黑体"/>
          <w:color w:val="auto"/>
          <w:sz w:val="32"/>
          <w:szCs w:val="32"/>
          <w:highlight w:val="none"/>
        </w:rPr>
      </w:pPr>
      <w:r>
        <w:rPr>
          <w:rFonts w:hint="eastAsia" w:ascii="黑体" w:eastAsia="黑体" w:cs="黑体"/>
          <w:color w:val="auto"/>
          <w:sz w:val="32"/>
          <w:szCs w:val="32"/>
          <w:highlight w:val="none"/>
        </w:rPr>
        <w:t>中标结果公布</w:t>
      </w:r>
    </w:p>
    <w:p>
      <w:pPr>
        <w:spacing w:line="360" w:lineRule="auto"/>
        <w:ind w:firstLine="420" w:firstLineChars="200"/>
        <w:rPr>
          <w:rFonts w:ascii="Calibri" w:hAnsi="Calibri" w:cs="Calibri"/>
          <w:color w:val="auto"/>
          <w:sz w:val="21"/>
          <w:szCs w:val="21"/>
          <w:highlight w:val="none"/>
        </w:rPr>
      </w:pPr>
      <w:r>
        <w:rPr>
          <w:rFonts w:hint="eastAsia" w:cs="宋体"/>
          <w:color w:val="auto"/>
          <w:sz w:val="21"/>
          <w:szCs w:val="21"/>
          <w:highlight w:val="none"/>
        </w:rPr>
        <w:t>招标项目编号</w:t>
      </w:r>
      <w:r>
        <w:rPr>
          <w:rFonts w:hint="eastAsia" w:cs="宋体"/>
          <w:color w:val="auto"/>
          <w:sz w:val="21"/>
          <w:szCs w:val="21"/>
          <w:highlight w:val="none"/>
          <w:u w:val="single"/>
        </w:rPr>
        <w:t xml:space="preserve">                 </w:t>
      </w:r>
      <w:r>
        <w:rPr>
          <w:rFonts w:hint="eastAsia" w:cs="宋体"/>
          <w:color w:val="auto"/>
          <w:sz w:val="21"/>
          <w:szCs w:val="21"/>
          <w:highlight w:val="none"/>
        </w:rPr>
        <w:t>的</w:t>
      </w:r>
      <w:r>
        <w:rPr>
          <w:rFonts w:hint="eastAsia" w:cs="宋体"/>
          <w:color w:val="auto"/>
          <w:sz w:val="21"/>
          <w:szCs w:val="21"/>
          <w:highlight w:val="none"/>
          <w:u w:val="single"/>
        </w:rPr>
        <w:t xml:space="preserve">                        </w:t>
      </w:r>
      <w:r>
        <w:rPr>
          <w:rFonts w:hint="eastAsia" w:cs="宋体"/>
          <w:color w:val="auto"/>
          <w:sz w:val="21"/>
          <w:szCs w:val="21"/>
          <w:highlight w:val="none"/>
        </w:rPr>
        <w:t>建设项目的招标，定标委员会根据定标规则和定标方案在进入票决范围的定标候选人中进行定标，确定了中标人</w:t>
      </w:r>
      <w:r>
        <w:rPr>
          <w:rFonts w:hint="eastAsia" w:cs="宋体"/>
          <w:color w:val="auto"/>
          <w:kern w:val="1"/>
          <w:sz w:val="21"/>
          <w:szCs w:val="21"/>
          <w:highlight w:val="none"/>
        </w:rPr>
        <w:t>，</w:t>
      </w:r>
      <w:r>
        <w:rPr>
          <w:rFonts w:hint="eastAsia" w:cs="宋体"/>
          <w:color w:val="auto"/>
          <w:sz w:val="21"/>
          <w:szCs w:val="21"/>
          <w:highlight w:val="none"/>
        </w:rPr>
        <w:t>中标人有关情况公布如下：</w:t>
      </w:r>
    </w:p>
    <w:p>
      <w:pPr>
        <w:spacing w:line="360" w:lineRule="auto"/>
        <w:rPr>
          <w:rFonts w:ascii="Calibri" w:hAnsi="Calibri" w:cs="Calibri"/>
          <w:color w:val="auto"/>
          <w:sz w:val="21"/>
          <w:szCs w:val="21"/>
          <w:highlight w:val="none"/>
        </w:rPr>
      </w:pPr>
      <w:r>
        <w:rPr>
          <w:rFonts w:ascii="Calibri" w:hAnsi="Calibri" w:cs="Calibri"/>
          <w:color w:val="auto"/>
          <w:sz w:val="21"/>
          <w:szCs w:val="21"/>
          <w:highlight w:val="none"/>
        </w:rPr>
        <w:t xml:space="preserve"> </w:t>
      </w:r>
    </w:p>
    <w:tbl>
      <w:tblPr>
        <w:tblStyle w:val="6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65"/>
        <w:gridCol w:w="2465"/>
        <w:gridCol w:w="2467"/>
        <w:gridCol w:w="24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246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Calibri" w:hAnsi="Calibri" w:cs="Calibri"/>
                <w:color w:val="auto"/>
                <w:sz w:val="21"/>
                <w:szCs w:val="21"/>
                <w:highlight w:val="none"/>
              </w:rPr>
            </w:pPr>
            <w:r>
              <w:rPr>
                <w:rFonts w:hint="eastAsia" w:cs="宋体"/>
                <w:color w:val="auto"/>
                <w:sz w:val="21"/>
                <w:szCs w:val="21"/>
                <w:highlight w:val="none"/>
              </w:rPr>
              <w:t>中标人</w:t>
            </w:r>
          </w:p>
        </w:tc>
        <w:tc>
          <w:tcPr>
            <w:tcW w:w="7399" w:type="dxa"/>
            <w:gridSpan w:val="3"/>
            <w:tcBorders>
              <w:top w:val="single" w:color="auto" w:sz="4" w:space="0"/>
              <w:left w:val="nil"/>
              <w:bottom w:val="single" w:color="auto" w:sz="4" w:space="0"/>
              <w:right w:val="single" w:color="auto" w:sz="4" w:space="0"/>
            </w:tcBorders>
            <w:vAlign w:val="center"/>
          </w:tcPr>
          <w:p>
            <w:pPr>
              <w:spacing w:line="360" w:lineRule="auto"/>
              <w:jc w:val="center"/>
              <w:rPr>
                <w:rFonts w:ascii="Calibri" w:hAnsi="Calibri" w:cs="Calibri"/>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246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Calibri" w:hAnsi="Calibri" w:cs="Calibri"/>
                <w:color w:val="auto"/>
                <w:sz w:val="21"/>
                <w:szCs w:val="21"/>
                <w:highlight w:val="none"/>
              </w:rPr>
            </w:pPr>
            <w:r>
              <w:rPr>
                <w:rFonts w:hint="eastAsia" w:cs="宋体"/>
                <w:color w:val="auto"/>
                <w:sz w:val="21"/>
                <w:szCs w:val="21"/>
                <w:highlight w:val="none"/>
              </w:rPr>
              <w:t>中标价</w:t>
            </w:r>
          </w:p>
        </w:tc>
        <w:tc>
          <w:tcPr>
            <w:tcW w:w="2465" w:type="dxa"/>
            <w:tcBorders>
              <w:top w:val="single" w:color="auto" w:sz="4" w:space="0"/>
              <w:left w:val="nil"/>
              <w:bottom w:val="single" w:color="auto" w:sz="4" w:space="0"/>
              <w:right w:val="single" w:color="auto" w:sz="4" w:space="0"/>
            </w:tcBorders>
            <w:vAlign w:val="center"/>
          </w:tcPr>
          <w:p>
            <w:pPr>
              <w:spacing w:line="360" w:lineRule="auto"/>
              <w:jc w:val="center"/>
              <w:rPr>
                <w:rFonts w:ascii="Calibri" w:hAnsi="Calibri" w:cs="Calibri"/>
                <w:color w:val="auto"/>
                <w:sz w:val="21"/>
                <w:szCs w:val="21"/>
                <w:highlight w:val="none"/>
              </w:rPr>
            </w:pPr>
          </w:p>
        </w:tc>
        <w:tc>
          <w:tcPr>
            <w:tcW w:w="2467" w:type="dxa"/>
            <w:tcBorders>
              <w:top w:val="single" w:color="auto" w:sz="4" w:space="0"/>
              <w:left w:val="nil"/>
              <w:bottom w:val="single" w:color="auto" w:sz="4" w:space="0"/>
              <w:right w:val="single" w:color="auto" w:sz="4" w:space="0"/>
            </w:tcBorders>
            <w:vAlign w:val="center"/>
          </w:tcPr>
          <w:p>
            <w:pPr>
              <w:spacing w:line="360" w:lineRule="auto"/>
              <w:jc w:val="center"/>
              <w:rPr>
                <w:rFonts w:ascii="Calibri" w:hAnsi="Calibri" w:cs="Calibri"/>
                <w:color w:val="auto"/>
                <w:sz w:val="21"/>
                <w:szCs w:val="21"/>
                <w:highlight w:val="none"/>
              </w:rPr>
            </w:pPr>
            <w:r>
              <w:rPr>
                <w:rFonts w:hint="eastAsia" w:cs="宋体"/>
                <w:color w:val="auto"/>
                <w:sz w:val="21"/>
                <w:szCs w:val="21"/>
                <w:highlight w:val="none"/>
              </w:rPr>
              <w:t>项目负责人</w:t>
            </w:r>
          </w:p>
        </w:tc>
        <w:tc>
          <w:tcPr>
            <w:tcW w:w="2467" w:type="dxa"/>
            <w:tcBorders>
              <w:top w:val="single" w:color="auto" w:sz="4" w:space="0"/>
              <w:left w:val="nil"/>
              <w:bottom w:val="single" w:color="auto" w:sz="4" w:space="0"/>
              <w:right w:val="single" w:color="auto" w:sz="4" w:space="0"/>
            </w:tcBorders>
            <w:vAlign w:val="center"/>
          </w:tcPr>
          <w:p>
            <w:pPr>
              <w:spacing w:line="360" w:lineRule="auto"/>
              <w:jc w:val="center"/>
              <w:rPr>
                <w:rFonts w:ascii="Calibri" w:hAnsi="Calibri" w:cs="Calibri"/>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246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Calibri" w:hAnsi="Calibri" w:cs="Calibri"/>
                <w:color w:val="auto"/>
                <w:sz w:val="21"/>
                <w:szCs w:val="21"/>
                <w:highlight w:val="none"/>
              </w:rPr>
            </w:pPr>
            <w:r>
              <w:rPr>
                <w:rFonts w:hint="eastAsia" w:cs="宋体"/>
                <w:color w:val="auto"/>
                <w:sz w:val="21"/>
                <w:szCs w:val="21"/>
                <w:highlight w:val="none"/>
              </w:rPr>
              <w:t>工期</w:t>
            </w:r>
          </w:p>
        </w:tc>
        <w:tc>
          <w:tcPr>
            <w:tcW w:w="2465" w:type="dxa"/>
            <w:tcBorders>
              <w:top w:val="single" w:color="auto" w:sz="4" w:space="0"/>
              <w:left w:val="nil"/>
              <w:bottom w:val="single" w:color="auto" w:sz="4" w:space="0"/>
              <w:right w:val="single" w:color="auto" w:sz="4" w:space="0"/>
            </w:tcBorders>
            <w:vAlign w:val="center"/>
          </w:tcPr>
          <w:p>
            <w:pPr>
              <w:spacing w:line="360" w:lineRule="auto"/>
              <w:jc w:val="center"/>
              <w:rPr>
                <w:rFonts w:ascii="Calibri" w:hAnsi="Calibri" w:cs="Calibri"/>
                <w:color w:val="auto"/>
                <w:sz w:val="21"/>
                <w:szCs w:val="21"/>
                <w:highlight w:val="none"/>
              </w:rPr>
            </w:pPr>
          </w:p>
        </w:tc>
        <w:tc>
          <w:tcPr>
            <w:tcW w:w="2467" w:type="dxa"/>
            <w:tcBorders>
              <w:top w:val="single" w:color="auto" w:sz="4" w:space="0"/>
              <w:left w:val="nil"/>
              <w:bottom w:val="single" w:color="auto" w:sz="4" w:space="0"/>
              <w:right w:val="single" w:color="auto" w:sz="4" w:space="0"/>
            </w:tcBorders>
            <w:vAlign w:val="center"/>
          </w:tcPr>
          <w:p>
            <w:pPr>
              <w:spacing w:line="360" w:lineRule="auto"/>
              <w:jc w:val="center"/>
              <w:rPr>
                <w:rFonts w:ascii="Calibri" w:hAnsi="Calibri" w:cs="Calibri"/>
                <w:color w:val="auto"/>
                <w:sz w:val="21"/>
                <w:szCs w:val="21"/>
                <w:highlight w:val="none"/>
              </w:rPr>
            </w:pPr>
            <w:r>
              <w:rPr>
                <w:rFonts w:hint="eastAsia" w:cs="宋体"/>
                <w:color w:val="auto"/>
                <w:sz w:val="21"/>
                <w:szCs w:val="21"/>
                <w:highlight w:val="none"/>
              </w:rPr>
              <w:t>质量标准</w:t>
            </w:r>
          </w:p>
        </w:tc>
        <w:tc>
          <w:tcPr>
            <w:tcW w:w="2467" w:type="dxa"/>
            <w:tcBorders>
              <w:top w:val="single" w:color="auto" w:sz="4" w:space="0"/>
              <w:left w:val="nil"/>
              <w:bottom w:val="single" w:color="auto" w:sz="4" w:space="0"/>
              <w:right w:val="single" w:color="auto" w:sz="4" w:space="0"/>
            </w:tcBorders>
            <w:vAlign w:val="center"/>
          </w:tcPr>
          <w:p>
            <w:pPr>
              <w:spacing w:line="360" w:lineRule="auto"/>
              <w:jc w:val="center"/>
              <w:rPr>
                <w:rFonts w:ascii="Calibri" w:hAnsi="Calibri" w:cs="Calibri"/>
                <w:color w:val="auto"/>
                <w:sz w:val="21"/>
                <w:szCs w:val="21"/>
                <w:highlight w:val="none"/>
              </w:rPr>
            </w:pPr>
          </w:p>
        </w:tc>
      </w:tr>
    </w:tbl>
    <w:p>
      <w:pPr>
        <w:spacing w:line="360" w:lineRule="auto"/>
        <w:rPr>
          <w:rFonts w:ascii="Calibri" w:hAnsi="Calibri" w:cs="Calibri"/>
          <w:color w:val="auto"/>
          <w:sz w:val="21"/>
          <w:szCs w:val="21"/>
          <w:highlight w:val="none"/>
        </w:rPr>
      </w:pPr>
      <w:r>
        <w:rPr>
          <w:rFonts w:ascii="Calibri" w:hAnsi="Calibri" w:cs="Calibri"/>
          <w:color w:val="auto"/>
          <w:sz w:val="21"/>
          <w:szCs w:val="21"/>
          <w:highlight w:val="none"/>
        </w:rPr>
        <w:t xml:space="preserve"> </w:t>
      </w:r>
    </w:p>
    <w:p>
      <w:pPr>
        <w:spacing w:line="360" w:lineRule="auto"/>
        <w:rPr>
          <w:rFonts w:ascii="Calibri" w:hAnsi="Calibri" w:cs="Calibri"/>
          <w:color w:val="auto"/>
          <w:sz w:val="21"/>
          <w:szCs w:val="21"/>
          <w:highlight w:val="none"/>
          <w:u w:val="single"/>
        </w:rPr>
      </w:pPr>
    </w:p>
    <w:p>
      <w:pPr>
        <w:spacing w:line="360" w:lineRule="auto"/>
        <w:rPr>
          <w:rFonts w:ascii="Calibri" w:hAnsi="Calibri" w:cs="Calibri"/>
          <w:color w:val="auto"/>
          <w:sz w:val="21"/>
          <w:szCs w:val="21"/>
          <w:highlight w:val="none"/>
        </w:rPr>
      </w:pPr>
      <w:r>
        <w:rPr>
          <w:rFonts w:ascii="Calibri" w:hAnsi="Calibri" w:cs="Calibri"/>
          <w:color w:val="auto"/>
          <w:sz w:val="21"/>
          <w:szCs w:val="21"/>
          <w:highlight w:val="none"/>
        </w:rPr>
        <w:t xml:space="preserve"> </w:t>
      </w:r>
    </w:p>
    <w:p>
      <w:pPr>
        <w:spacing w:line="360" w:lineRule="auto"/>
        <w:rPr>
          <w:rFonts w:ascii="Calibri" w:hAnsi="Calibri" w:cs="Calibri"/>
          <w:color w:val="auto"/>
          <w:sz w:val="21"/>
          <w:szCs w:val="21"/>
          <w:highlight w:val="none"/>
        </w:rPr>
      </w:pPr>
      <w:r>
        <w:rPr>
          <w:rFonts w:hint="eastAsia" w:cs="宋体"/>
          <w:color w:val="auto"/>
          <w:sz w:val="21"/>
          <w:szCs w:val="21"/>
          <w:highlight w:val="none"/>
        </w:rPr>
        <w:t>招标人名称：</w:t>
      </w:r>
      <w:r>
        <w:rPr>
          <w:rFonts w:hint="eastAsia" w:cs="宋体"/>
          <w:color w:val="auto"/>
          <w:sz w:val="21"/>
          <w:szCs w:val="21"/>
          <w:highlight w:val="none"/>
          <w:u w:val="single"/>
        </w:rPr>
        <w:t xml:space="preserve">                            </w:t>
      </w:r>
    </w:p>
    <w:p>
      <w:pPr>
        <w:spacing w:line="360" w:lineRule="auto"/>
        <w:rPr>
          <w:rFonts w:ascii="Calibri" w:hAnsi="Calibri" w:cs="Calibri"/>
          <w:color w:val="auto"/>
          <w:sz w:val="21"/>
          <w:szCs w:val="21"/>
          <w:highlight w:val="none"/>
        </w:rPr>
      </w:pPr>
      <w:r>
        <w:rPr>
          <w:rFonts w:hint="eastAsia" w:cs="宋体"/>
          <w:color w:val="auto"/>
          <w:sz w:val="21"/>
          <w:szCs w:val="21"/>
          <w:highlight w:val="none"/>
        </w:rPr>
        <w:t>招标人地址：</w:t>
      </w:r>
      <w:r>
        <w:rPr>
          <w:rFonts w:hint="eastAsia" w:cs="宋体"/>
          <w:color w:val="auto"/>
          <w:sz w:val="21"/>
          <w:szCs w:val="21"/>
          <w:highlight w:val="none"/>
          <w:u w:val="single"/>
        </w:rPr>
        <w:t xml:space="preserve">                            </w:t>
      </w:r>
    </w:p>
    <w:p>
      <w:pPr>
        <w:spacing w:line="360" w:lineRule="auto"/>
        <w:rPr>
          <w:rFonts w:ascii="Calibri" w:hAnsi="Calibri" w:cs="Calibri"/>
          <w:color w:val="auto"/>
          <w:sz w:val="21"/>
          <w:szCs w:val="21"/>
          <w:highlight w:val="none"/>
        </w:rPr>
      </w:pPr>
      <w:r>
        <w:rPr>
          <w:rFonts w:hint="eastAsia" w:cs="宋体"/>
          <w:color w:val="auto"/>
          <w:sz w:val="21"/>
          <w:szCs w:val="21"/>
          <w:highlight w:val="none"/>
        </w:rPr>
        <w:t>招标人联系方式：</w:t>
      </w:r>
      <w:r>
        <w:rPr>
          <w:rFonts w:hint="eastAsia" w:cs="宋体"/>
          <w:color w:val="auto"/>
          <w:sz w:val="21"/>
          <w:szCs w:val="21"/>
          <w:highlight w:val="none"/>
          <w:u w:val="single"/>
        </w:rPr>
        <w:t xml:space="preserve">                        </w:t>
      </w:r>
    </w:p>
    <w:p>
      <w:pPr>
        <w:spacing w:line="360" w:lineRule="auto"/>
        <w:rPr>
          <w:rFonts w:ascii="Calibri" w:hAnsi="Calibri" w:cs="Calibri"/>
          <w:color w:val="auto"/>
          <w:sz w:val="21"/>
          <w:szCs w:val="21"/>
          <w:highlight w:val="none"/>
        </w:rPr>
      </w:pPr>
      <w:r>
        <w:rPr>
          <w:rFonts w:ascii="Calibri" w:hAnsi="Calibri" w:cs="Calibri"/>
          <w:color w:val="auto"/>
          <w:sz w:val="21"/>
          <w:szCs w:val="21"/>
          <w:highlight w:val="none"/>
        </w:rPr>
        <w:t xml:space="preserve"> </w:t>
      </w:r>
    </w:p>
    <w:p>
      <w:pPr>
        <w:spacing w:line="360" w:lineRule="auto"/>
        <w:rPr>
          <w:rFonts w:ascii="Calibri" w:hAnsi="Calibri" w:cs="Calibri"/>
          <w:color w:val="auto"/>
          <w:sz w:val="21"/>
          <w:szCs w:val="21"/>
          <w:highlight w:val="none"/>
        </w:rPr>
      </w:pPr>
      <w:r>
        <w:rPr>
          <w:rFonts w:ascii="Calibri" w:hAnsi="Calibri" w:cs="Calibri"/>
          <w:color w:val="auto"/>
          <w:sz w:val="21"/>
          <w:szCs w:val="21"/>
          <w:highlight w:val="none"/>
        </w:rPr>
        <w:t xml:space="preserve"> </w:t>
      </w:r>
    </w:p>
    <w:p>
      <w:pPr>
        <w:spacing w:line="360" w:lineRule="auto"/>
        <w:rPr>
          <w:rFonts w:ascii="Calibri" w:hAnsi="Calibri" w:cs="Calibri"/>
          <w:color w:val="auto"/>
          <w:sz w:val="21"/>
          <w:szCs w:val="21"/>
          <w:highlight w:val="none"/>
          <w:u w:val="single"/>
        </w:rPr>
      </w:pPr>
      <w:r>
        <w:rPr>
          <w:rFonts w:hint="eastAsia" w:cs="宋体"/>
          <w:color w:val="auto"/>
          <w:sz w:val="21"/>
          <w:szCs w:val="21"/>
          <w:highlight w:val="none"/>
        </w:rPr>
        <w:t>招标人：</w:t>
      </w:r>
      <w:r>
        <w:rPr>
          <w:rFonts w:hint="eastAsia" w:cs="宋体"/>
          <w:color w:val="auto"/>
          <w:sz w:val="21"/>
          <w:szCs w:val="21"/>
          <w:highlight w:val="none"/>
          <w:u w:val="single"/>
        </w:rPr>
        <w:t xml:space="preserve">           （电子签名专用章）</w:t>
      </w:r>
      <w:r>
        <w:rPr>
          <w:rFonts w:hint="eastAsia" w:cs="宋体"/>
          <w:color w:val="auto"/>
          <w:sz w:val="21"/>
          <w:szCs w:val="21"/>
          <w:highlight w:val="none"/>
        </w:rPr>
        <w:t xml:space="preserve">  招标代理机构：</w:t>
      </w:r>
      <w:r>
        <w:rPr>
          <w:rFonts w:hint="eastAsia" w:cs="宋体"/>
          <w:color w:val="auto"/>
          <w:sz w:val="21"/>
          <w:szCs w:val="21"/>
          <w:highlight w:val="none"/>
          <w:u w:val="single"/>
        </w:rPr>
        <w:t xml:space="preserve">      （电子签名专用章） </w:t>
      </w:r>
    </w:p>
    <w:p>
      <w:pPr>
        <w:rPr>
          <w:rFonts w:ascii="Calibri" w:hAnsi="Calibri" w:cs="Calibri"/>
          <w:color w:val="auto"/>
          <w:kern w:val="1"/>
          <w:sz w:val="21"/>
          <w:szCs w:val="21"/>
          <w:highlight w:val="none"/>
        </w:rPr>
      </w:pPr>
      <w:r>
        <w:rPr>
          <w:rFonts w:hint="eastAsia" w:cs="宋体"/>
          <w:color w:val="auto"/>
          <w:sz w:val="21"/>
          <w:szCs w:val="21"/>
          <w:highlight w:val="none"/>
        </w:rPr>
        <w:t xml:space="preserve">                                   </w:t>
      </w:r>
    </w:p>
    <w:p>
      <w:pPr>
        <w:pStyle w:val="5"/>
        <w:widowControl/>
        <w:spacing w:beforeLines="0" w:after="120"/>
        <w:rPr>
          <w:rFonts w:hAnsi="宋体" w:cs="黑体"/>
          <w:color w:val="auto"/>
          <w:sz w:val="21"/>
          <w:szCs w:val="21"/>
          <w:highlight w:val="none"/>
        </w:rPr>
      </w:pPr>
      <w:r>
        <w:rPr>
          <w:rFonts w:hint="eastAsia" w:hAnsi="宋体" w:cs="黑体"/>
          <w:color w:val="auto"/>
          <w:highlight w:val="none"/>
        </w:rPr>
        <w:br w:type="page"/>
      </w:r>
      <w:bookmarkStart w:id="693" w:name="_Toc4818"/>
      <w:bookmarkStart w:id="694" w:name="_Toc32668"/>
      <w:bookmarkStart w:id="695" w:name="_Toc106703270"/>
      <w:bookmarkStart w:id="696" w:name="_Toc18311"/>
      <w:bookmarkStart w:id="697" w:name="_Toc11505"/>
      <w:bookmarkStart w:id="698" w:name="_Toc61877299"/>
      <w:bookmarkStart w:id="699" w:name="_Toc32166"/>
      <w:bookmarkStart w:id="700" w:name="_Toc15259"/>
      <w:r>
        <w:rPr>
          <w:rFonts w:hint="eastAsia" w:hAnsi="宋体" w:cs="黑体"/>
          <w:color w:val="auto"/>
          <w:sz w:val="21"/>
          <w:szCs w:val="21"/>
          <w:highlight w:val="none"/>
        </w:rPr>
        <w:t>附件2-4 ：中标通知书（格式）</w:t>
      </w:r>
      <w:bookmarkEnd w:id="693"/>
      <w:bookmarkEnd w:id="694"/>
      <w:bookmarkEnd w:id="695"/>
      <w:bookmarkEnd w:id="696"/>
      <w:bookmarkEnd w:id="697"/>
      <w:bookmarkEnd w:id="698"/>
      <w:bookmarkEnd w:id="699"/>
      <w:bookmarkEnd w:id="700"/>
    </w:p>
    <w:p>
      <w:pPr>
        <w:spacing w:line="360" w:lineRule="auto"/>
        <w:jc w:val="center"/>
        <w:rPr>
          <w:rFonts w:ascii="黑体" w:eastAsia="黑体" w:cs="黑体"/>
          <w:color w:val="auto"/>
          <w:sz w:val="32"/>
          <w:szCs w:val="32"/>
          <w:highlight w:val="none"/>
        </w:rPr>
      </w:pPr>
      <w:r>
        <w:rPr>
          <w:rFonts w:hint="eastAsia" w:ascii="黑体" w:eastAsia="黑体" w:cs="黑体"/>
          <w:color w:val="auto"/>
          <w:sz w:val="32"/>
          <w:szCs w:val="32"/>
          <w:highlight w:val="none"/>
        </w:rPr>
        <w:t>中标通知书</w:t>
      </w:r>
    </w:p>
    <w:p>
      <w:pPr>
        <w:pStyle w:val="54"/>
        <w:widowControl w:val="0"/>
        <w:spacing w:before="0" w:beforeAutospacing="0" w:after="0" w:afterAutospacing="0" w:line="360" w:lineRule="auto"/>
        <w:jc w:val="center"/>
        <w:rPr>
          <w:rFonts w:ascii="黑体" w:eastAsia="黑体"/>
          <w:color w:val="auto"/>
          <w:szCs w:val="24"/>
          <w:highlight w:val="none"/>
        </w:rPr>
      </w:pPr>
      <w:r>
        <w:rPr>
          <w:rFonts w:hint="eastAsia" w:ascii="黑体" w:eastAsia="黑体"/>
          <w:color w:val="auto"/>
          <w:kern w:val="0"/>
          <w:szCs w:val="24"/>
          <w:highlight w:val="none"/>
        </w:rPr>
        <w:t xml:space="preserve">                                    </w:t>
      </w:r>
      <w:r>
        <w:rPr>
          <w:rFonts w:hint="eastAsia" w:ascii="黑体" w:eastAsia="黑体" w:cs="黑体"/>
          <w:color w:val="auto"/>
          <w:kern w:val="0"/>
          <w:szCs w:val="24"/>
          <w:highlight w:val="none"/>
        </w:rPr>
        <w:t>编号：</w:t>
      </w:r>
    </w:p>
    <w:p>
      <w:pPr>
        <w:autoSpaceDE w:val="0"/>
        <w:autoSpaceDN w:val="0"/>
        <w:adjustRightInd w:val="0"/>
        <w:spacing w:line="360" w:lineRule="auto"/>
        <w:jc w:val="left"/>
        <w:rPr>
          <w:rFonts w:cs="宋体"/>
          <w:color w:val="auto"/>
          <w:sz w:val="21"/>
          <w:szCs w:val="21"/>
          <w:highlight w:val="none"/>
        </w:rPr>
      </w:pPr>
      <w:r>
        <w:rPr>
          <w:rFonts w:hint="eastAsia" w:cs="宋体"/>
          <w:color w:val="auto"/>
          <w:sz w:val="21"/>
          <w:szCs w:val="21"/>
          <w:highlight w:val="none"/>
          <w:u w:val="single"/>
        </w:rPr>
        <w:t xml:space="preserve">                      （中标人名称）</w:t>
      </w:r>
      <w:r>
        <w:rPr>
          <w:rFonts w:hint="eastAsia" w:cs="宋体"/>
          <w:color w:val="auto"/>
          <w:sz w:val="21"/>
          <w:szCs w:val="21"/>
          <w:highlight w:val="none"/>
        </w:rPr>
        <w:t>：</w:t>
      </w:r>
    </w:p>
    <w:p>
      <w:pPr>
        <w:autoSpaceDE w:val="0"/>
        <w:autoSpaceDN w:val="0"/>
        <w:adjustRightInd w:val="0"/>
        <w:spacing w:line="360" w:lineRule="auto"/>
        <w:ind w:firstLine="420" w:firstLineChars="200"/>
        <w:jc w:val="left"/>
        <w:rPr>
          <w:rFonts w:cs="宋体"/>
          <w:color w:val="auto"/>
          <w:sz w:val="21"/>
          <w:szCs w:val="21"/>
          <w:highlight w:val="none"/>
        </w:rPr>
      </w:pPr>
      <w:r>
        <w:rPr>
          <w:rFonts w:hint="eastAsia" w:cs="宋体"/>
          <w:color w:val="auto"/>
          <w:sz w:val="21"/>
          <w:szCs w:val="21"/>
          <w:highlight w:val="none"/>
        </w:rPr>
        <w:t xml:space="preserve"> </w:t>
      </w:r>
    </w:p>
    <w:p>
      <w:pPr>
        <w:autoSpaceDE w:val="0"/>
        <w:autoSpaceDN w:val="0"/>
        <w:adjustRightInd w:val="0"/>
        <w:spacing w:line="360" w:lineRule="auto"/>
        <w:ind w:firstLine="420" w:firstLineChars="200"/>
        <w:jc w:val="left"/>
        <w:rPr>
          <w:rFonts w:cs="宋体"/>
          <w:color w:val="auto"/>
          <w:sz w:val="21"/>
          <w:szCs w:val="21"/>
          <w:highlight w:val="none"/>
        </w:rPr>
      </w:pPr>
      <w:r>
        <w:rPr>
          <w:rFonts w:hint="eastAsia" w:cs="宋体"/>
          <w:color w:val="auto"/>
          <w:sz w:val="21"/>
          <w:szCs w:val="21"/>
          <w:highlight w:val="none"/>
        </w:rPr>
        <w:t>你方于</w:t>
      </w:r>
      <w:r>
        <w:rPr>
          <w:rFonts w:hint="eastAsia" w:cs="宋体"/>
          <w:color w:val="auto"/>
          <w:sz w:val="21"/>
          <w:szCs w:val="21"/>
          <w:highlight w:val="none"/>
          <w:u w:val="single"/>
        </w:rPr>
        <w:t xml:space="preserve">         （投标日期） </w:t>
      </w:r>
      <w:r>
        <w:rPr>
          <w:rFonts w:hint="eastAsia" w:cs="宋体"/>
          <w:color w:val="auto"/>
          <w:sz w:val="21"/>
          <w:szCs w:val="21"/>
          <w:highlight w:val="none"/>
        </w:rPr>
        <w:t>所递交的</w:t>
      </w:r>
      <w:r>
        <w:rPr>
          <w:rFonts w:hint="eastAsia" w:cs="宋体"/>
          <w:color w:val="auto"/>
          <w:sz w:val="21"/>
          <w:szCs w:val="21"/>
          <w:highlight w:val="none"/>
          <w:u w:val="single"/>
        </w:rPr>
        <w:t xml:space="preserve">               （项目名称及标段）  </w:t>
      </w:r>
      <w:r>
        <w:rPr>
          <w:rFonts w:hint="eastAsia" w:cs="宋体"/>
          <w:color w:val="auto"/>
          <w:sz w:val="21"/>
          <w:szCs w:val="21"/>
          <w:highlight w:val="none"/>
        </w:rPr>
        <w:t xml:space="preserve">施工投标文件已被我方接受，被确定为中标人。 </w:t>
      </w:r>
    </w:p>
    <w:p>
      <w:pPr>
        <w:autoSpaceDE w:val="0"/>
        <w:autoSpaceDN w:val="0"/>
        <w:adjustRightInd w:val="0"/>
        <w:spacing w:line="360" w:lineRule="auto"/>
        <w:ind w:firstLine="420" w:firstLineChars="200"/>
        <w:jc w:val="left"/>
        <w:rPr>
          <w:rFonts w:cs="宋体"/>
          <w:color w:val="auto"/>
          <w:sz w:val="21"/>
          <w:szCs w:val="21"/>
          <w:highlight w:val="none"/>
        </w:rPr>
      </w:pPr>
      <w:r>
        <w:rPr>
          <w:rFonts w:hint="eastAsia" w:cs="宋体"/>
          <w:color w:val="auto"/>
          <w:sz w:val="21"/>
          <w:szCs w:val="21"/>
          <w:highlight w:val="none"/>
        </w:rPr>
        <w:t>招标范围：</w:t>
      </w:r>
      <w:r>
        <w:rPr>
          <w:rFonts w:hint="eastAsia" w:cs="宋体"/>
          <w:color w:val="auto"/>
          <w:sz w:val="21"/>
          <w:szCs w:val="21"/>
          <w:highlight w:val="none"/>
          <w:u w:val="single"/>
        </w:rPr>
        <w:t xml:space="preserve">                       </w:t>
      </w:r>
      <w:r>
        <w:rPr>
          <w:rFonts w:hint="eastAsia" w:cs="宋体"/>
          <w:color w:val="auto"/>
          <w:sz w:val="21"/>
          <w:szCs w:val="21"/>
          <w:highlight w:val="none"/>
        </w:rPr>
        <w:t>。</w:t>
      </w:r>
    </w:p>
    <w:p>
      <w:pPr>
        <w:autoSpaceDE w:val="0"/>
        <w:autoSpaceDN w:val="0"/>
        <w:adjustRightInd w:val="0"/>
        <w:spacing w:line="360" w:lineRule="auto"/>
        <w:ind w:firstLine="420" w:firstLineChars="200"/>
        <w:jc w:val="left"/>
        <w:rPr>
          <w:rFonts w:cs="宋体"/>
          <w:color w:val="auto"/>
          <w:sz w:val="21"/>
          <w:szCs w:val="21"/>
          <w:highlight w:val="none"/>
        </w:rPr>
      </w:pPr>
      <w:r>
        <w:rPr>
          <w:rFonts w:hint="eastAsia" w:cs="宋体"/>
          <w:color w:val="auto"/>
          <w:sz w:val="21"/>
          <w:szCs w:val="21"/>
          <w:highlight w:val="none"/>
        </w:rPr>
        <w:t>中标价：</w:t>
      </w:r>
      <w:r>
        <w:rPr>
          <w:rFonts w:hint="eastAsia" w:cs="宋体"/>
          <w:color w:val="auto"/>
          <w:sz w:val="21"/>
          <w:szCs w:val="21"/>
          <w:highlight w:val="none"/>
          <w:u w:val="single"/>
        </w:rPr>
        <w:t xml:space="preserve">                      </w:t>
      </w:r>
      <w:r>
        <w:rPr>
          <w:rFonts w:hint="eastAsia" w:cs="宋体"/>
          <w:color w:val="auto"/>
          <w:sz w:val="21"/>
          <w:szCs w:val="21"/>
          <w:highlight w:val="none"/>
        </w:rPr>
        <w:t>元。</w:t>
      </w:r>
    </w:p>
    <w:p>
      <w:pPr>
        <w:autoSpaceDE w:val="0"/>
        <w:autoSpaceDN w:val="0"/>
        <w:adjustRightInd w:val="0"/>
        <w:spacing w:line="360" w:lineRule="auto"/>
        <w:ind w:firstLine="420" w:firstLineChars="200"/>
        <w:jc w:val="left"/>
        <w:rPr>
          <w:rFonts w:cs="宋体"/>
          <w:color w:val="auto"/>
          <w:sz w:val="21"/>
          <w:szCs w:val="21"/>
          <w:highlight w:val="none"/>
        </w:rPr>
      </w:pPr>
      <w:r>
        <w:rPr>
          <w:rFonts w:hint="eastAsia" w:cs="宋体"/>
          <w:color w:val="auto"/>
          <w:sz w:val="21"/>
          <w:szCs w:val="21"/>
          <w:highlight w:val="none"/>
        </w:rPr>
        <w:t>工期：总工期</w:t>
      </w:r>
      <w:r>
        <w:rPr>
          <w:rFonts w:hint="eastAsia" w:cs="宋体"/>
          <w:color w:val="auto"/>
          <w:sz w:val="21"/>
          <w:szCs w:val="21"/>
          <w:highlight w:val="none"/>
          <w:u w:val="single"/>
        </w:rPr>
        <w:t xml:space="preserve">      </w:t>
      </w:r>
      <w:r>
        <w:rPr>
          <w:rFonts w:hint="eastAsia" w:cs="宋体"/>
          <w:color w:val="auto"/>
          <w:sz w:val="21"/>
          <w:szCs w:val="21"/>
          <w:highlight w:val="none"/>
        </w:rPr>
        <w:t>日历天，其中各关键节点的工期要求为</w:t>
      </w:r>
      <w:r>
        <w:rPr>
          <w:rFonts w:hint="eastAsia" w:cs="宋体"/>
          <w:color w:val="auto"/>
          <w:sz w:val="21"/>
          <w:szCs w:val="21"/>
          <w:highlight w:val="none"/>
          <w:u w:val="single"/>
        </w:rPr>
        <w:t xml:space="preserve">      </w:t>
      </w:r>
      <w:r>
        <w:rPr>
          <w:rFonts w:hint="eastAsia" w:cs="宋体"/>
          <w:color w:val="auto"/>
          <w:sz w:val="21"/>
          <w:szCs w:val="21"/>
          <w:highlight w:val="none"/>
        </w:rPr>
        <w:t>。</w:t>
      </w:r>
    </w:p>
    <w:p>
      <w:pPr>
        <w:autoSpaceDE w:val="0"/>
        <w:autoSpaceDN w:val="0"/>
        <w:adjustRightInd w:val="0"/>
        <w:spacing w:line="360" w:lineRule="auto"/>
        <w:ind w:firstLine="420" w:firstLineChars="200"/>
        <w:jc w:val="left"/>
        <w:rPr>
          <w:rFonts w:cs="宋体"/>
          <w:color w:val="auto"/>
          <w:sz w:val="21"/>
          <w:szCs w:val="21"/>
          <w:highlight w:val="none"/>
        </w:rPr>
      </w:pPr>
      <w:r>
        <w:rPr>
          <w:rFonts w:hint="eastAsia" w:cs="宋体"/>
          <w:color w:val="auto"/>
          <w:sz w:val="21"/>
          <w:szCs w:val="21"/>
          <w:highlight w:val="none"/>
        </w:rPr>
        <w:t>工程质量：符合</w:t>
      </w:r>
      <w:r>
        <w:rPr>
          <w:rFonts w:hint="eastAsia" w:cs="宋体"/>
          <w:color w:val="auto"/>
          <w:sz w:val="21"/>
          <w:szCs w:val="21"/>
          <w:highlight w:val="none"/>
          <w:u w:val="single"/>
        </w:rPr>
        <w:t xml:space="preserve">                    </w:t>
      </w:r>
      <w:r>
        <w:rPr>
          <w:rFonts w:hint="eastAsia" w:cs="宋体"/>
          <w:color w:val="auto"/>
          <w:sz w:val="21"/>
          <w:szCs w:val="21"/>
          <w:highlight w:val="none"/>
        </w:rPr>
        <w:t>标准。</w:t>
      </w:r>
    </w:p>
    <w:p>
      <w:pPr>
        <w:autoSpaceDE w:val="0"/>
        <w:autoSpaceDN w:val="0"/>
        <w:adjustRightInd w:val="0"/>
        <w:spacing w:line="360" w:lineRule="auto"/>
        <w:ind w:firstLine="420" w:firstLineChars="200"/>
        <w:jc w:val="left"/>
        <w:rPr>
          <w:rFonts w:cs="宋体"/>
          <w:color w:val="auto"/>
          <w:sz w:val="21"/>
          <w:szCs w:val="21"/>
          <w:highlight w:val="none"/>
        </w:rPr>
      </w:pPr>
      <w:r>
        <w:rPr>
          <w:rFonts w:hint="eastAsia" w:cs="宋体"/>
          <w:color w:val="auto"/>
          <w:sz w:val="21"/>
          <w:szCs w:val="21"/>
          <w:highlight w:val="none"/>
        </w:rPr>
        <w:t>项目负责人：</w:t>
      </w:r>
      <w:r>
        <w:rPr>
          <w:rFonts w:hint="eastAsia" w:cs="宋体"/>
          <w:color w:val="auto"/>
          <w:sz w:val="21"/>
          <w:szCs w:val="21"/>
          <w:highlight w:val="none"/>
          <w:u w:val="single"/>
        </w:rPr>
        <w:t xml:space="preserve">      （姓名）       </w:t>
      </w:r>
      <w:r>
        <w:rPr>
          <w:rFonts w:hint="eastAsia" w:cs="宋体"/>
          <w:color w:val="auto"/>
          <w:sz w:val="21"/>
          <w:szCs w:val="21"/>
          <w:highlight w:val="none"/>
        </w:rPr>
        <w:t>，身份证号码：</w:t>
      </w:r>
      <w:r>
        <w:rPr>
          <w:rFonts w:hint="eastAsia" w:cs="宋体"/>
          <w:color w:val="auto"/>
          <w:sz w:val="21"/>
          <w:szCs w:val="21"/>
          <w:highlight w:val="none"/>
          <w:u w:val="single"/>
        </w:rPr>
        <w:t xml:space="preserve">            </w:t>
      </w:r>
      <w:r>
        <w:rPr>
          <w:rFonts w:hint="eastAsia" w:cs="宋体"/>
          <w:color w:val="auto"/>
          <w:sz w:val="21"/>
          <w:szCs w:val="21"/>
          <w:highlight w:val="none"/>
        </w:rPr>
        <w:t>，建造师注册证号：</w:t>
      </w:r>
      <w:r>
        <w:rPr>
          <w:rFonts w:hint="eastAsia" w:cs="宋体"/>
          <w:color w:val="auto"/>
          <w:sz w:val="21"/>
          <w:szCs w:val="21"/>
          <w:highlight w:val="none"/>
          <w:u w:val="single"/>
        </w:rPr>
        <w:t xml:space="preserve">         </w:t>
      </w:r>
      <w:r>
        <w:rPr>
          <w:rFonts w:hint="eastAsia" w:cs="宋体"/>
          <w:color w:val="auto"/>
          <w:sz w:val="21"/>
          <w:szCs w:val="21"/>
          <w:highlight w:val="none"/>
        </w:rPr>
        <w:t>。</w:t>
      </w:r>
    </w:p>
    <w:p>
      <w:pPr>
        <w:autoSpaceDE w:val="0"/>
        <w:autoSpaceDN w:val="0"/>
        <w:adjustRightInd w:val="0"/>
        <w:spacing w:line="360" w:lineRule="auto"/>
        <w:ind w:firstLine="420" w:firstLineChars="200"/>
        <w:jc w:val="left"/>
        <w:rPr>
          <w:rFonts w:cs="宋体"/>
          <w:color w:val="auto"/>
          <w:sz w:val="21"/>
          <w:szCs w:val="21"/>
          <w:highlight w:val="none"/>
        </w:rPr>
      </w:pPr>
      <w:r>
        <w:rPr>
          <w:rFonts w:hint="eastAsia" w:cs="宋体"/>
          <w:color w:val="auto"/>
          <w:sz w:val="21"/>
          <w:szCs w:val="21"/>
          <w:highlight w:val="none"/>
        </w:rPr>
        <w:t>请你方在接到本通知书后的</w:t>
      </w:r>
      <w:r>
        <w:rPr>
          <w:rFonts w:hint="eastAsia" w:cs="宋体"/>
          <w:color w:val="auto"/>
          <w:sz w:val="21"/>
          <w:szCs w:val="21"/>
          <w:highlight w:val="none"/>
          <w:u w:val="single"/>
        </w:rPr>
        <w:t xml:space="preserve">      </w:t>
      </w:r>
      <w:r>
        <w:rPr>
          <w:rFonts w:hint="eastAsia" w:cs="宋体"/>
          <w:color w:val="auto"/>
          <w:sz w:val="21"/>
          <w:szCs w:val="21"/>
          <w:highlight w:val="none"/>
        </w:rPr>
        <w:t>日内到</w:t>
      </w:r>
      <w:r>
        <w:rPr>
          <w:rFonts w:hint="eastAsia" w:cs="宋体"/>
          <w:color w:val="auto"/>
          <w:sz w:val="21"/>
          <w:szCs w:val="21"/>
          <w:highlight w:val="none"/>
          <w:u w:val="single"/>
        </w:rPr>
        <w:t xml:space="preserve">                    （指定地点）</w:t>
      </w:r>
      <w:r>
        <w:rPr>
          <w:rFonts w:hint="eastAsia" w:cs="宋体"/>
          <w:color w:val="auto"/>
          <w:sz w:val="21"/>
          <w:szCs w:val="21"/>
          <w:highlight w:val="none"/>
        </w:rPr>
        <w:t>与我方签订施工承包合同，在此之前按招标文件第2章“投标人须知”有关规定向我方提交履约担保。</w:t>
      </w:r>
    </w:p>
    <w:p>
      <w:pPr>
        <w:autoSpaceDE w:val="0"/>
        <w:autoSpaceDN w:val="0"/>
        <w:adjustRightInd w:val="0"/>
        <w:spacing w:line="360" w:lineRule="auto"/>
        <w:ind w:firstLine="420" w:firstLineChars="200"/>
        <w:rPr>
          <w:rFonts w:cs="宋体"/>
          <w:color w:val="auto"/>
          <w:sz w:val="21"/>
          <w:szCs w:val="21"/>
          <w:highlight w:val="none"/>
        </w:rPr>
      </w:pPr>
      <w:r>
        <w:rPr>
          <w:rFonts w:hint="eastAsia" w:cs="宋体"/>
          <w:color w:val="auto"/>
          <w:sz w:val="21"/>
          <w:szCs w:val="21"/>
          <w:highlight w:val="none"/>
        </w:rPr>
        <w:t>特此通知。</w:t>
      </w:r>
    </w:p>
    <w:p>
      <w:pPr>
        <w:autoSpaceDE w:val="0"/>
        <w:autoSpaceDN w:val="0"/>
        <w:adjustRightInd w:val="0"/>
        <w:spacing w:line="360" w:lineRule="auto"/>
        <w:rPr>
          <w:rFonts w:cs="宋体"/>
          <w:color w:val="auto"/>
          <w:sz w:val="21"/>
          <w:szCs w:val="21"/>
          <w:highlight w:val="none"/>
        </w:rPr>
      </w:pPr>
      <w:r>
        <w:rPr>
          <w:rFonts w:hint="eastAsia" w:cs="宋体"/>
          <w:color w:val="auto"/>
          <w:sz w:val="21"/>
          <w:szCs w:val="21"/>
          <w:highlight w:val="none"/>
        </w:rPr>
        <w:t xml:space="preserve"> </w:t>
      </w:r>
    </w:p>
    <w:p>
      <w:pPr>
        <w:autoSpaceDE w:val="0"/>
        <w:autoSpaceDN w:val="0"/>
        <w:adjustRightInd w:val="0"/>
        <w:spacing w:line="360" w:lineRule="auto"/>
        <w:rPr>
          <w:rFonts w:cs="宋体"/>
          <w:color w:val="auto"/>
          <w:sz w:val="21"/>
          <w:szCs w:val="21"/>
          <w:highlight w:val="none"/>
        </w:rPr>
      </w:pPr>
      <w:r>
        <w:rPr>
          <w:rFonts w:hint="eastAsia" w:cs="宋体"/>
          <w:color w:val="auto"/>
          <w:sz w:val="21"/>
          <w:szCs w:val="21"/>
          <w:highlight w:val="none"/>
        </w:rPr>
        <w:t xml:space="preserve"> </w:t>
      </w:r>
    </w:p>
    <w:p>
      <w:pPr>
        <w:autoSpaceDE w:val="0"/>
        <w:autoSpaceDN w:val="0"/>
        <w:adjustRightInd w:val="0"/>
        <w:spacing w:line="360" w:lineRule="auto"/>
        <w:rPr>
          <w:rFonts w:cs="宋体"/>
          <w:color w:val="auto"/>
          <w:sz w:val="21"/>
          <w:szCs w:val="21"/>
          <w:highlight w:val="none"/>
        </w:rPr>
      </w:pPr>
      <w:r>
        <w:rPr>
          <w:rFonts w:hint="eastAsia" w:cs="宋体"/>
          <w:color w:val="auto"/>
          <w:sz w:val="21"/>
          <w:szCs w:val="21"/>
          <w:highlight w:val="none"/>
        </w:rPr>
        <w:t xml:space="preserve"> </w:t>
      </w:r>
    </w:p>
    <w:p>
      <w:pPr>
        <w:autoSpaceDE w:val="0"/>
        <w:autoSpaceDN w:val="0"/>
        <w:adjustRightInd w:val="0"/>
        <w:spacing w:line="360" w:lineRule="auto"/>
        <w:rPr>
          <w:color w:val="auto"/>
          <w:sz w:val="21"/>
          <w:szCs w:val="21"/>
          <w:highlight w:val="none"/>
        </w:rPr>
      </w:pPr>
      <w:r>
        <w:rPr>
          <w:rFonts w:hint="eastAsia" w:cs="宋体"/>
          <w:color w:val="auto"/>
          <w:sz w:val="21"/>
          <w:szCs w:val="21"/>
          <w:highlight w:val="none"/>
        </w:rPr>
        <w:t xml:space="preserve"> </w:t>
      </w:r>
    </w:p>
    <w:p>
      <w:pPr>
        <w:autoSpaceDE w:val="0"/>
        <w:autoSpaceDN w:val="0"/>
        <w:adjustRightInd w:val="0"/>
        <w:spacing w:line="360" w:lineRule="auto"/>
        <w:ind w:firstLine="2310" w:firstLineChars="1100"/>
        <w:rPr>
          <w:color w:val="auto"/>
          <w:sz w:val="21"/>
          <w:szCs w:val="21"/>
          <w:highlight w:val="none"/>
        </w:rPr>
      </w:pPr>
      <w:r>
        <w:rPr>
          <w:rFonts w:hint="eastAsia"/>
          <w:color w:val="auto"/>
          <w:sz w:val="21"/>
          <w:szCs w:val="21"/>
          <w:highlight w:val="none"/>
        </w:rPr>
        <w:t>招标人：</w:t>
      </w:r>
      <w:r>
        <w:rPr>
          <w:rFonts w:hint="eastAsia"/>
          <w:color w:val="auto"/>
          <w:sz w:val="21"/>
          <w:szCs w:val="21"/>
          <w:highlight w:val="none"/>
          <w:u w:val="single"/>
        </w:rPr>
        <w:t xml:space="preserve">                          </w:t>
      </w:r>
      <w:r>
        <w:rPr>
          <w:rFonts w:hint="eastAsia"/>
          <w:color w:val="auto"/>
          <w:sz w:val="21"/>
          <w:szCs w:val="21"/>
          <w:highlight w:val="none"/>
        </w:rPr>
        <w:t>（盖单位电子</w:t>
      </w:r>
      <w:r>
        <w:rPr>
          <w:color w:val="auto"/>
          <w:sz w:val="21"/>
          <w:szCs w:val="21"/>
          <w:highlight w:val="none"/>
        </w:rPr>
        <w:t>公</w:t>
      </w:r>
      <w:r>
        <w:rPr>
          <w:rFonts w:hint="eastAsia"/>
          <w:color w:val="auto"/>
          <w:sz w:val="21"/>
          <w:szCs w:val="21"/>
          <w:highlight w:val="none"/>
        </w:rPr>
        <w:t>章）</w:t>
      </w:r>
    </w:p>
    <w:p>
      <w:pPr>
        <w:autoSpaceDE w:val="0"/>
        <w:autoSpaceDN w:val="0"/>
        <w:adjustRightInd w:val="0"/>
        <w:spacing w:line="360" w:lineRule="auto"/>
        <w:jc w:val="left"/>
        <w:rPr>
          <w:color w:val="auto"/>
          <w:sz w:val="21"/>
          <w:szCs w:val="21"/>
          <w:highlight w:val="none"/>
        </w:rPr>
      </w:pPr>
    </w:p>
    <w:p>
      <w:pPr>
        <w:autoSpaceDE w:val="0"/>
        <w:autoSpaceDN w:val="0"/>
        <w:adjustRightInd w:val="0"/>
        <w:spacing w:line="360" w:lineRule="auto"/>
        <w:ind w:firstLine="2310" w:firstLineChars="1100"/>
        <w:rPr>
          <w:color w:val="auto"/>
          <w:sz w:val="21"/>
          <w:szCs w:val="21"/>
          <w:highlight w:val="none"/>
        </w:rPr>
      </w:pPr>
      <w:r>
        <w:rPr>
          <w:rFonts w:hint="eastAsia"/>
          <w:color w:val="auto"/>
          <w:sz w:val="21"/>
          <w:szCs w:val="21"/>
          <w:highlight w:val="none"/>
        </w:rPr>
        <w:t>法定代表人：</w:t>
      </w:r>
      <w:r>
        <w:rPr>
          <w:rFonts w:hint="eastAsia"/>
          <w:color w:val="auto"/>
          <w:sz w:val="21"/>
          <w:szCs w:val="21"/>
          <w:highlight w:val="none"/>
          <w:u w:val="single"/>
        </w:rPr>
        <w:t xml:space="preserve">                       </w:t>
      </w:r>
      <w:r>
        <w:rPr>
          <w:rFonts w:hint="eastAsia"/>
          <w:color w:val="auto"/>
          <w:sz w:val="21"/>
          <w:szCs w:val="21"/>
          <w:highlight w:val="none"/>
        </w:rPr>
        <w:t>（</w:t>
      </w:r>
      <w:r>
        <w:rPr>
          <w:color w:val="auto"/>
          <w:sz w:val="21"/>
          <w:szCs w:val="21"/>
          <w:highlight w:val="none"/>
        </w:rPr>
        <w:t>盖电子姓名章</w:t>
      </w:r>
      <w:r>
        <w:rPr>
          <w:rFonts w:hint="eastAsia"/>
          <w:color w:val="auto"/>
          <w:sz w:val="21"/>
          <w:szCs w:val="21"/>
          <w:highlight w:val="none"/>
        </w:rPr>
        <w:t>）</w:t>
      </w:r>
    </w:p>
    <w:p>
      <w:pPr>
        <w:autoSpaceDE w:val="0"/>
        <w:autoSpaceDN w:val="0"/>
        <w:adjustRightInd w:val="0"/>
        <w:spacing w:line="360" w:lineRule="auto"/>
        <w:jc w:val="left"/>
        <w:rPr>
          <w:color w:val="auto"/>
          <w:sz w:val="21"/>
          <w:szCs w:val="21"/>
          <w:highlight w:val="none"/>
        </w:rPr>
      </w:pPr>
    </w:p>
    <w:p>
      <w:pPr>
        <w:autoSpaceDE w:val="0"/>
        <w:autoSpaceDN w:val="0"/>
        <w:adjustRightInd w:val="0"/>
        <w:spacing w:line="360" w:lineRule="auto"/>
        <w:ind w:right="210" w:firstLine="5880" w:firstLineChars="2800"/>
        <w:jc w:val="left"/>
        <w:rPr>
          <w:color w:val="auto"/>
          <w:sz w:val="21"/>
          <w:szCs w:val="21"/>
          <w:highlight w:val="none"/>
        </w:rPr>
        <w:sectPr>
          <w:footnotePr>
            <w:numFmt w:val="decimalEnclosedCircleChinese"/>
            <w:numRestart w:val="eachPage"/>
          </w:footnotePr>
          <w:pgSz w:w="11906" w:h="16838"/>
          <w:pgMar w:top="1440" w:right="992" w:bottom="1440" w:left="1134" w:header="851" w:footer="992" w:gutter="0"/>
          <w:pgNumType w:fmt="decimal"/>
          <w:cols w:space="720" w:num="1"/>
          <w:docGrid w:linePitch="312" w:charSpace="0"/>
        </w:sectPr>
      </w:pPr>
      <w:r>
        <w:rPr>
          <w:rFonts w:hint="eastAsia"/>
          <w:color w:val="auto"/>
          <w:sz w:val="21"/>
          <w:szCs w:val="21"/>
          <w:highlight w:val="none"/>
          <w:u w:val="single"/>
        </w:rPr>
        <w:t xml:space="preserve">       </w:t>
      </w:r>
      <w:r>
        <w:rPr>
          <w:rFonts w:hint="eastAsia"/>
          <w:color w:val="auto"/>
          <w:sz w:val="21"/>
          <w:szCs w:val="21"/>
          <w:highlight w:val="none"/>
        </w:rPr>
        <w:t>年</w:t>
      </w:r>
      <w:r>
        <w:rPr>
          <w:rFonts w:hint="eastAsia"/>
          <w:color w:val="auto"/>
          <w:sz w:val="21"/>
          <w:szCs w:val="21"/>
          <w:highlight w:val="none"/>
          <w:u w:val="single"/>
        </w:rPr>
        <w:t xml:space="preserve">     </w:t>
      </w:r>
      <w:r>
        <w:rPr>
          <w:rFonts w:hint="eastAsia"/>
          <w:color w:val="auto"/>
          <w:sz w:val="21"/>
          <w:szCs w:val="21"/>
          <w:highlight w:val="none"/>
        </w:rPr>
        <w:t xml:space="preserve"> 月</w:t>
      </w:r>
      <w:r>
        <w:rPr>
          <w:rFonts w:hint="eastAsia"/>
          <w:color w:val="auto"/>
          <w:sz w:val="21"/>
          <w:szCs w:val="21"/>
          <w:highlight w:val="none"/>
          <w:u w:val="single"/>
        </w:rPr>
        <w:t xml:space="preserve">     </w:t>
      </w:r>
      <w:r>
        <w:rPr>
          <w:rFonts w:hint="eastAsia"/>
          <w:color w:val="auto"/>
          <w:sz w:val="21"/>
          <w:szCs w:val="21"/>
          <w:highlight w:val="none"/>
        </w:rPr>
        <w:t>日</w:t>
      </w:r>
    </w:p>
    <w:p>
      <w:pPr>
        <w:autoSpaceDE w:val="0"/>
        <w:autoSpaceDN w:val="0"/>
        <w:adjustRightInd w:val="0"/>
        <w:spacing w:line="360" w:lineRule="auto"/>
        <w:ind w:right="210" w:firstLine="5880" w:firstLineChars="2800"/>
        <w:jc w:val="left"/>
        <w:rPr>
          <w:color w:val="auto"/>
          <w:sz w:val="21"/>
          <w:szCs w:val="21"/>
          <w:highlight w:val="none"/>
        </w:rPr>
      </w:pPr>
    </w:p>
    <w:p>
      <w:pPr>
        <w:autoSpaceDE w:val="0"/>
        <w:autoSpaceDN w:val="0"/>
        <w:adjustRightInd w:val="0"/>
        <w:spacing w:line="360" w:lineRule="auto"/>
        <w:jc w:val="left"/>
        <w:rPr>
          <w:rFonts w:cs="宋体"/>
          <w:color w:val="auto"/>
          <w:sz w:val="21"/>
          <w:szCs w:val="21"/>
          <w:highlight w:val="none"/>
        </w:rPr>
      </w:pPr>
      <w:r>
        <w:rPr>
          <w:rFonts w:hint="eastAsia" w:cs="宋体"/>
          <w:color w:val="auto"/>
          <w:sz w:val="21"/>
          <w:szCs w:val="21"/>
          <w:highlight w:val="none"/>
        </w:rPr>
        <w:t xml:space="preserve"> </w:t>
      </w:r>
    </w:p>
    <w:p>
      <w:pPr>
        <w:autoSpaceDE w:val="0"/>
        <w:autoSpaceDN w:val="0"/>
        <w:adjustRightInd w:val="0"/>
        <w:spacing w:line="360" w:lineRule="auto"/>
        <w:ind w:left="8922" w:leftChars="2624" w:right="210" w:firstLine="420" w:firstLineChars="200"/>
        <w:jc w:val="left"/>
        <w:rPr>
          <w:rFonts w:cs="宋体"/>
          <w:color w:val="auto"/>
          <w:sz w:val="24"/>
          <w:szCs w:val="24"/>
          <w:highlight w:val="none"/>
        </w:rPr>
      </w:pPr>
      <w:r>
        <w:rPr>
          <w:rFonts w:hint="eastAsia" w:cs="宋体"/>
          <w:color w:val="auto"/>
          <w:sz w:val="21"/>
          <w:szCs w:val="21"/>
          <w:highlight w:val="none"/>
        </w:rPr>
        <w:br w:type="page"/>
      </w:r>
    </w:p>
    <w:p>
      <w:pPr>
        <w:spacing w:line="360" w:lineRule="auto"/>
        <w:jc w:val="right"/>
        <w:rPr>
          <w:rFonts w:cs="宋体"/>
          <w:color w:val="auto"/>
          <w:sz w:val="21"/>
          <w:szCs w:val="21"/>
          <w:highlight w:val="none"/>
        </w:rPr>
      </w:pPr>
      <w:r>
        <w:rPr>
          <w:rFonts w:hint="eastAsia" w:cs="宋体"/>
          <w:color w:val="auto"/>
          <w:sz w:val="21"/>
          <w:szCs w:val="21"/>
          <w:highlight w:val="none"/>
        </w:rPr>
        <w:t xml:space="preserve"> </w:t>
      </w:r>
    </w:p>
    <w:p>
      <w:pPr>
        <w:pStyle w:val="3"/>
        <w:widowControl/>
        <w:spacing w:before="4000" w:line="360" w:lineRule="auto"/>
        <w:jc w:val="center"/>
        <w:rPr>
          <w:rFonts w:ascii="黑体" w:eastAsia="黑体" w:cs="黑体"/>
          <w:b w:val="0"/>
          <w:color w:val="auto"/>
          <w:kern w:val="1"/>
          <w:highlight w:val="none"/>
        </w:rPr>
      </w:pPr>
      <w:bookmarkStart w:id="701" w:name="_Toc28170"/>
      <w:bookmarkStart w:id="702" w:name="_Toc4135"/>
      <w:bookmarkStart w:id="703" w:name="_Toc14487"/>
      <w:bookmarkStart w:id="704" w:name="_Toc106703271"/>
      <w:bookmarkStart w:id="705" w:name="_Toc24182"/>
      <w:bookmarkStart w:id="706" w:name="_Toc61877300"/>
      <w:bookmarkStart w:id="707" w:name="_Toc13146"/>
      <w:bookmarkStart w:id="708" w:name="_Toc557"/>
      <w:r>
        <w:rPr>
          <w:rFonts w:hint="eastAsia" w:ascii="黑体" w:eastAsia="黑体" w:cs="黑体"/>
          <w:b w:val="0"/>
          <w:color w:val="auto"/>
          <w:kern w:val="1"/>
          <w:highlight w:val="none"/>
        </w:rPr>
        <w:t>第三章 评标办法</w:t>
      </w:r>
      <w:bookmarkEnd w:id="701"/>
      <w:bookmarkEnd w:id="702"/>
      <w:bookmarkEnd w:id="703"/>
      <w:bookmarkEnd w:id="704"/>
      <w:bookmarkEnd w:id="705"/>
      <w:bookmarkEnd w:id="706"/>
      <w:bookmarkEnd w:id="707"/>
      <w:bookmarkEnd w:id="708"/>
    </w:p>
    <w:p>
      <w:pPr>
        <w:pStyle w:val="4"/>
        <w:widowControl/>
        <w:spacing w:beforeLines="0" w:after="240"/>
        <w:jc w:val="center"/>
        <w:rPr>
          <w:rFonts w:hAnsi="宋体" w:cs="黑体"/>
          <w:color w:val="auto"/>
          <w:sz w:val="32"/>
          <w:szCs w:val="32"/>
          <w:highlight w:val="none"/>
        </w:rPr>
      </w:pPr>
      <w:r>
        <w:rPr>
          <w:rFonts w:hint="eastAsia" w:hAnsi="宋体" w:cs="黑体"/>
          <w:color w:val="auto"/>
          <w:highlight w:val="none"/>
        </w:rPr>
        <w:br w:type="page"/>
      </w:r>
      <w:bookmarkStart w:id="709" w:name="_Toc26116"/>
      <w:bookmarkStart w:id="710" w:name="_Toc22810"/>
      <w:bookmarkStart w:id="711" w:name="_Toc61877301"/>
      <w:bookmarkStart w:id="712" w:name="_Toc23106"/>
      <w:bookmarkStart w:id="713" w:name="_Toc3773"/>
      <w:bookmarkStart w:id="714" w:name="_Toc3980"/>
      <w:bookmarkStart w:id="715" w:name="_Toc106703272"/>
      <w:bookmarkStart w:id="716" w:name="_Toc22798"/>
      <w:r>
        <w:rPr>
          <w:rFonts w:hint="eastAsia" w:hAnsi="宋体" w:cs="黑体"/>
          <w:color w:val="auto"/>
          <w:highlight w:val="none"/>
        </w:rPr>
        <w:t>第三章 评标办法</w:t>
      </w:r>
      <w:bookmarkEnd w:id="709"/>
      <w:bookmarkEnd w:id="710"/>
      <w:bookmarkEnd w:id="711"/>
      <w:bookmarkEnd w:id="712"/>
      <w:bookmarkEnd w:id="713"/>
      <w:bookmarkEnd w:id="714"/>
      <w:bookmarkEnd w:id="715"/>
      <w:bookmarkEnd w:id="716"/>
    </w:p>
    <w:p>
      <w:pPr>
        <w:keepNext/>
        <w:keepLines/>
        <w:spacing w:before="120" w:beforeLines="50" w:line="360" w:lineRule="auto"/>
        <w:ind w:firstLine="136"/>
        <w:outlineLvl w:val="2"/>
        <w:rPr>
          <w:rFonts w:ascii="黑体" w:hAnsi="黑体" w:eastAsia="黑体"/>
          <w:color w:val="auto"/>
          <w:kern w:val="1"/>
          <w:sz w:val="21"/>
          <w:szCs w:val="21"/>
          <w:highlight w:val="none"/>
          <w:lang w:val="zh-CN" w:bidi="zh-CN"/>
        </w:rPr>
      </w:pPr>
      <w:bookmarkStart w:id="717" w:name="_Toc106703281"/>
      <w:bookmarkStart w:id="718" w:name="_Toc52112952"/>
      <w:bookmarkStart w:id="719" w:name="_Toc25483"/>
      <w:bookmarkStart w:id="720" w:name="_Toc25038"/>
      <w:r>
        <w:rPr>
          <w:rFonts w:hint="eastAsia" w:ascii="黑体" w:hAnsi="黑体" w:eastAsia="黑体"/>
          <w:color w:val="auto"/>
          <w:kern w:val="1"/>
          <w:sz w:val="21"/>
          <w:szCs w:val="21"/>
          <w:highlight w:val="none"/>
          <w:lang w:val="zh-CN" w:bidi="zh-CN"/>
        </w:rPr>
        <w:t>评标办法前附表</w:t>
      </w:r>
      <w:r>
        <w:rPr>
          <w:rFonts w:hint="eastAsia" w:eastAsia="黑体"/>
          <w:color w:val="auto"/>
          <w:kern w:val="1"/>
          <w:sz w:val="21"/>
          <w:szCs w:val="21"/>
          <w:highlight w:val="none"/>
          <w:lang w:val="zh-CN"/>
        </w:rPr>
        <w:t>（适用于其他项目）</w:t>
      </w:r>
      <w:bookmarkEnd w:id="717"/>
      <w:bookmarkEnd w:id="718"/>
      <w:bookmarkEnd w:id="719"/>
      <w:bookmarkEnd w:id="720"/>
    </w:p>
    <w:tbl>
      <w:tblPr>
        <w:tblStyle w:val="60"/>
        <w:tblW w:w="0" w:type="auto"/>
        <w:tblInd w:w="108" w:type="dxa"/>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Layout w:type="fixed"/>
        <w:tblCellMar>
          <w:top w:w="0" w:type="dxa"/>
          <w:left w:w="108" w:type="dxa"/>
          <w:bottom w:w="0" w:type="dxa"/>
          <w:right w:w="108" w:type="dxa"/>
        </w:tblCellMar>
      </w:tblPr>
      <w:tblGrid>
        <w:gridCol w:w="710"/>
        <w:gridCol w:w="850"/>
        <w:gridCol w:w="1134"/>
        <w:gridCol w:w="531"/>
        <w:gridCol w:w="1170"/>
        <w:gridCol w:w="5387"/>
      </w:tblGrid>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PrEx>
        <w:tc>
          <w:tcPr>
            <w:tcW w:w="710" w:type="dxa"/>
            <w:tcBorders>
              <w:right w:val="single" w:color="auto" w:sz="4" w:space="0"/>
            </w:tcBorders>
            <w:vAlign w:val="center"/>
          </w:tcPr>
          <w:p>
            <w:pPr>
              <w:spacing w:line="300" w:lineRule="auto"/>
              <w:jc w:val="center"/>
              <w:rPr>
                <w:rFonts w:ascii="黑体" w:hAnsi="黑体" w:eastAsia="黑体" w:cs="宋体"/>
                <w:color w:val="auto"/>
                <w:kern w:val="1"/>
                <w:sz w:val="21"/>
                <w:szCs w:val="21"/>
                <w:highlight w:val="none"/>
              </w:rPr>
            </w:pPr>
            <w:r>
              <w:rPr>
                <w:rFonts w:hint="eastAsia" w:ascii="黑体" w:hAnsi="黑体" w:eastAsia="黑体" w:cs="宋体"/>
                <w:color w:val="auto"/>
                <w:kern w:val="1"/>
                <w:sz w:val="21"/>
                <w:szCs w:val="21"/>
                <w:highlight w:val="none"/>
              </w:rPr>
              <w:t>项</w:t>
            </w:r>
            <w:r>
              <w:rPr>
                <w:rFonts w:ascii="黑体" w:hAnsi="黑体" w:eastAsia="黑体" w:cs="宋体"/>
                <w:color w:val="auto"/>
                <w:kern w:val="1"/>
                <w:sz w:val="21"/>
                <w:szCs w:val="21"/>
                <w:highlight w:val="none"/>
              </w:rPr>
              <w:t>号</w:t>
            </w:r>
          </w:p>
        </w:tc>
        <w:tc>
          <w:tcPr>
            <w:tcW w:w="850" w:type="dxa"/>
            <w:tcBorders>
              <w:right w:val="single" w:color="auto" w:sz="4" w:space="0"/>
            </w:tcBorders>
            <w:vAlign w:val="center"/>
          </w:tcPr>
          <w:p>
            <w:pPr>
              <w:spacing w:line="300" w:lineRule="auto"/>
              <w:jc w:val="center"/>
              <w:rPr>
                <w:rFonts w:ascii="黑体" w:hAnsi="黑体" w:eastAsia="黑体" w:cs="宋体"/>
                <w:color w:val="auto"/>
                <w:kern w:val="1"/>
                <w:sz w:val="21"/>
                <w:szCs w:val="21"/>
                <w:highlight w:val="none"/>
              </w:rPr>
            </w:pPr>
            <w:r>
              <w:rPr>
                <w:rFonts w:ascii="黑体" w:hAnsi="黑体" w:eastAsia="黑体" w:cs="宋体"/>
                <w:color w:val="auto"/>
                <w:kern w:val="1"/>
                <w:sz w:val="21"/>
                <w:szCs w:val="21"/>
                <w:highlight w:val="none"/>
              </w:rPr>
              <w:t>条款号</w:t>
            </w:r>
          </w:p>
        </w:tc>
        <w:tc>
          <w:tcPr>
            <w:tcW w:w="1134" w:type="dxa"/>
            <w:tcBorders>
              <w:left w:val="single" w:color="auto" w:sz="4" w:space="0"/>
              <w:right w:val="single" w:color="auto" w:sz="4" w:space="0"/>
            </w:tcBorders>
            <w:vAlign w:val="center"/>
          </w:tcPr>
          <w:p>
            <w:pPr>
              <w:spacing w:line="300" w:lineRule="auto"/>
              <w:jc w:val="center"/>
              <w:rPr>
                <w:rFonts w:ascii="黑体" w:hAnsi="黑体" w:eastAsia="黑体" w:cs="宋体"/>
                <w:color w:val="auto"/>
                <w:kern w:val="1"/>
                <w:sz w:val="21"/>
                <w:szCs w:val="21"/>
                <w:highlight w:val="none"/>
              </w:rPr>
            </w:pPr>
            <w:r>
              <w:rPr>
                <w:rFonts w:hint="eastAsia" w:ascii="黑体" w:hAnsi="黑体" w:eastAsia="黑体" w:cs="宋体"/>
                <w:color w:val="auto"/>
                <w:kern w:val="1"/>
                <w:sz w:val="21"/>
                <w:szCs w:val="21"/>
                <w:highlight w:val="none"/>
              </w:rPr>
              <w:t>条款</w:t>
            </w:r>
            <w:r>
              <w:rPr>
                <w:rFonts w:ascii="黑体" w:hAnsi="黑体" w:eastAsia="黑体" w:cs="宋体"/>
                <w:color w:val="auto"/>
                <w:kern w:val="1"/>
                <w:sz w:val="21"/>
                <w:szCs w:val="21"/>
                <w:highlight w:val="none"/>
              </w:rPr>
              <w:t>名称</w:t>
            </w:r>
          </w:p>
        </w:tc>
        <w:tc>
          <w:tcPr>
            <w:tcW w:w="1701" w:type="dxa"/>
            <w:gridSpan w:val="2"/>
            <w:tcBorders>
              <w:left w:val="single" w:color="auto" w:sz="4" w:space="0"/>
            </w:tcBorders>
            <w:vAlign w:val="center"/>
          </w:tcPr>
          <w:p>
            <w:pPr>
              <w:autoSpaceDE w:val="0"/>
              <w:autoSpaceDN w:val="0"/>
              <w:spacing w:line="300" w:lineRule="auto"/>
              <w:jc w:val="center"/>
              <w:rPr>
                <w:rFonts w:ascii="黑体" w:hAnsi="黑体" w:eastAsia="黑体" w:cs="宋体"/>
                <w:color w:val="auto"/>
                <w:kern w:val="1"/>
                <w:sz w:val="21"/>
                <w:szCs w:val="21"/>
                <w:highlight w:val="none"/>
              </w:rPr>
            </w:pPr>
            <w:r>
              <w:rPr>
                <w:rFonts w:ascii="黑体" w:hAnsi="黑体" w:eastAsia="黑体" w:cs="宋体"/>
                <w:color w:val="auto"/>
                <w:kern w:val="1"/>
                <w:sz w:val="21"/>
                <w:szCs w:val="21"/>
                <w:highlight w:val="none"/>
              </w:rPr>
              <w:t>评审因素</w:t>
            </w:r>
          </w:p>
        </w:tc>
        <w:tc>
          <w:tcPr>
            <w:tcW w:w="5387" w:type="dxa"/>
            <w:vAlign w:val="center"/>
          </w:tcPr>
          <w:p>
            <w:pPr>
              <w:spacing w:line="300" w:lineRule="auto"/>
              <w:jc w:val="center"/>
              <w:rPr>
                <w:rFonts w:ascii="黑体" w:hAnsi="黑体" w:eastAsia="黑体" w:cs="宋体"/>
                <w:color w:val="auto"/>
                <w:kern w:val="1"/>
                <w:sz w:val="21"/>
                <w:szCs w:val="21"/>
                <w:highlight w:val="none"/>
              </w:rPr>
            </w:pPr>
            <w:r>
              <w:rPr>
                <w:rFonts w:ascii="黑体" w:hAnsi="黑体" w:eastAsia="黑体" w:cs="宋体"/>
                <w:color w:val="auto"/>
                <w:kern w:val="1"/>
                <w:sz w:val="21"/>
                <w:szCs w:val="21"/>
                <w:highlight w:val="none"/>
              </w:rPr>
              <w:t>评审标准</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c>
          <w:tcPr>
            <w:tcW w:w="710" w:type="dxa"/>
            <w:vMerge w:val="restart"/>
            <w:tcBorders>
              <w:right w:val="single" w:color="auto" w:sz="4" w:space="0"/>
            </w:tcBorders>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1</w:t>
            </w:r>
          </w:p>
        </w:tc>
        <w:tc>
          <w:tcPr>
            <w:tcW w:w="850" w:type="dxa"/>
            <w:vMerge w:val="restart"/>
            <w:tcBorders>
              <w:right w:val="single" w:color="auto" w:sz="4" w:space="0"/>
            </w:tcBorders>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3.3</w:t>
            </w:r>
          </w:p>
        </w:tc>
        <w:tc>
          <w:tcPr>
            <w:tcW w:w="1134" w:type="dxa"/>
            <w:vMerge w:val="restart"/>
            <w:tcBorders>
              <w:left w:val="single" w:color="auto" w:sz="4" w:space="0"/>
              <w:right w:val="single" w:color="auto" w:sz="4" w:space="0"/>
            </w:tcBorders>
            <w:vAlign w:val="center"/>
          </w:tcPr>
          <w:p>
            <w:pPr>
              <w:spacing w:line="300" w:lineRule="auto"/>
              <w:jc w:val="center"/>
              <w:rPr>
                <w:rFonts w:cs="宋体"/>
                <w:color w:val="auto"/>
                <w:kern w:val="1"/>
                <w:sz w:val="21"/>
                <w:szCs w:val="21"/>
                <w:highlight w:val="none"/>
              </w:rPr>
            </w:pPr>
            <w:r>
              <w:rPr>
                <w:rFonts w:cs="宋体"/>
                <w:color w:val="auto"/>
                <w:kern w:val="1"/>
                <w:sz w:val="21"/>
                <w:szCs w:val="21"/>
                <w:highlight w:val="none"/>
              </w:rPr>
              <w:t>确定入围投标人</w:t>
            </w:r>
          </w:p>
        </w:tc>
        <w:tc>
          <w:tcPr>
            <w:tcW w:w="1701" w:type="dxa"/>
            <w:gridSpan w:val="2"/>
            <w:tcBorders>
              <w:left w:val="single" w:color="auto" w:sz="4" w:space="0"/>
            </w:tcBorders>
            <w:vAlign w:val="center"/>
          </w:tcPr>
          <w:p>
            <w:pPr>
              <w:autoSpaceDE w:val="0"/>
              <w:autoSpaceDN w:val="0"/>
              <w:spacing w:line="300" w:lineRule="auto"/>
              <w:jc w:val="center"/>
              <w:rPr>
                <w:rFonts w:cs="宋体"/>
                <w:color w:val="auto"/>
                <w:kern w:val="1"/>
                <w:sz w:val="21"/>
                <w:szCs w:val="21"/>
                <w:highlight w:val="none"/>
              </w:rPr>
            </w:pPr>
            <w:r>
              <w:rPr>
                <w:rFonts w:hint="eastAsia"/>
                <w:color w:val="auto"/>
                <w:kern w:val="1"/>
                <w:sz w:val="21"/>
                <w:szCs w:val="21"/>
                <w:highlight w:val="none"/>
                <w:lang w:val="zh-CN"/>
              </w:rPr>
              <w:t>投标人数量小于或等于20家</w:t>
            </w:r>
          </w:p>
        </w:tc>
        <w:tc>
          <w:tcPr>
            <w:tcW w:w="5387" w:type="dxa"/>
            <w:vAlign w:val="center"/>
          </w:tcPr>
          <w:p>
            <w:pPr>
              <w:spacing w:line="300" w:lineRule="auto"/>
              <w:ind w:firstLine="420" w:firstLineChars="200"/>
              <w:jc w:val="left"/>
              <w:rPr>
                <w:color w:val="auto"/>
                <w:kern w:val="1"/>
                <w:sz w:val="21"/>
                <w:szCs w:val="21"/>
                <w:highlight w:val="none"/>
                <w:lang w:val="zh-CN"/>
              </w:rPr>
            </w:pPr>
            <w:r>
              <w:rPr>
                <w:rFonts w:hint="eastAsia"/>
                <w:color w:val="auto"/>
                <w:kern w:val="1"/>
                <w:sz w:val="21"/>
                <w:szCs w:val="21"/>
                <w:highlight w:val="none"/>
                <w:lang w:val="zh-CN"/>
              </w:rPr>
              <w:t>1.</w:t>
            </w:r>
            <w:r>
              <w:rPr>
                <w:rFonts w:hint="eastAsia" w:cs="宋体"/>
                <w:color w:val="auto"/>
                <w:kern w:val="1"/>
                <w:sz w:val="21"/>
                <w:szCs w:val="21"/>
                <w:highlight w:val="none"/>
              </w:rPr>
              <w:t>按照投标人投标报价由低往高进行报价排序，淘汰投标报价最高的投标人（最高投标报价的投标人多于1家的，一并淘汰），剩余投标人均确定为入围投标人。</w:t>
            </w:r>
          </w:p>
          <w:p>
            <w:pPr>
              <w:spacing w:line="300" w:lineRule="auto"/>
              <w:ind w:firstLine="420" w:firstLineChars="200"/>
              <w:jc w:val="left"/>
              <w:rPr>
                <w:rFonts w:cs="宋体"/>
                <w:color w:val="auto"/>
                <w:kern w:val="1"/>
                <w:sz w:val="21"/>
                <w:szCs w:val="21"/>
                <w:highlight w:val="none"/>
              </w:rPr>
            </w:pPr>
            <w:r>
              <w:rPr>
                <w:rFonts w:hint="eastAsia"/>
                <w:color w:val="auto"/>
                <w:kern w:val="1"/>
                <w:sz w:val="21"/>
                <w:szCs w:val="21"/>
                <w:highlight w:val="none"/>
                <w:lang w:val="zh-CN"/>
              </w:rPr>
              <w:t>2.招标人将资格审查程序先于确定入围投标人程序的，</w:t>
            </w:r>
            <w:r>
              <w:rPr>
                <w:rFonts w:hint="eastAsia" w:cs="宋体"/>
                <w:color w:val="auto"/>
                <w:kern w:val="1"/>
                <w:sz w:val="21"/>
                <w:szCs w:val="21"/>
                <w:highlight w:val="none"/>
              </w:rPr>
              <w:t>“投标人”指资格审查合格的投标人。</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c>
          <w:tcPr>
            <w:tcW w:w="710" w:type="dxa"/>
            <w:vMerge w:val="continue"/>
            <w:tcBorders>
              <w:right w:val="single" w:color="auto" w:sz="4" w:space="0"/>
            </w:tcBorders>
            <w:vAlign w:val="center"/>
          </w:tcPr>
          <w:p>
            <w:pPr>
              <w:spacing w:line="300" w:lineRule="auto"/>
              <w:jc w:val="center"/>
              <w:rPr>
                <w:rFonts w:cs="宋体"/>
                <w:color w:val="auto"/>
                <w:kern w:val="1"/>
                <w:sz w:val="21"/>
                <w:szCs w:val="21"/>
                <w:highlight w:val="none"/>
              </w:rPr>
            </w:pPr>
          </w:p>
        </w:tc>
        <w:tc>
          <w:tcPr>
            <w:tcW w:w="850" w:type="dxa"/>
            <w:vMerge w:val="continue"/>
            <w:tcBorders>
              <w:right w:val="single" w:color="auto" w:sz="4" w:space="0"/>
            </w:tcBorders>
          </w:tcPr>
          <w:p>
            <w:pPr>
              <w:spacing w:line="300" w:lineRule="auto"/>
              <w:jc w:val="center"/>
              <w:rPr>
                <w:rFonts w:cs="宋体"/>
                <w:color w:val="auto"/>
                <w:kern w:val="1"/>
                <w:sz w:val="21"/>
                <w:szCs w:val="21"/>
                <w:highlight w:val="none"/>
              </w:rPr>
            </w:pPr>
          </w:p>
        </w:tc>
        <w:tc>
          <w:tcPr>
            <w:tcW w:w="1134" w:type="dxa"/>
            <w:vMerge w:val="continue"/>
            <w:tcBorders>
              <w:left w:val="single" w:color="auto" w:sz="4" w:space="0"/>
              <w:right w:val="single" w:color="auto" w:sz="4" w:space="0"/>
            </w:tcBorders>
            <w:vAlign w:val="center"/>
          </w:tcPr>
          <w:p>
            <w:pPr>
              <w:spacing w:line="300" w:lineRule="auto"/>
              <w:jc w:val="left"/>
              <w:rPr>
                <w:rFonts w:cs="宋体"/>
                <w:color w:val="auto"/>
                <w:kern w:val="1"/>
                <w:sz w:val="21"/>
                <w:szCs w:val="21"/>
                <w:highlight w:val="none"/>
              </w:rPr>
            </w:pPr>
          </w:p>
        </w:tc>
        <w:tc>
          <w:tcPr>
            <w:tcW w:w="1701" w:type="dxa"/>
            <w:gridSpan w:val="2"/>
            <w:tcBorders>
              <w:left w:val="single" w:color="auto" w:sz="4" w:space="0"/>
            </w:tcBorders>
            <w:vAlign w:val="center"/>
          </w:tcPr>
          <w:p>
            <w:pPr>
              <w:autoSpaceDE w:val="0"/>
              <w:autoSpaceDN w:val="0"/>
              <w:spacing w:line="300" w:lineRule="auto"/>
              <w:jc w:val="center"/>
              <w:rPr>
                <w:rFonts w:cs="宋体"/>
                <w:color w:val="auto"/>
                <w:kern w:val="1"/>
                <w:sz w:val="21"/>
                <w:szCs w:val="21"/>
                <w:highlight w:val="none"/>
              </w:rPr>
            </w:pPr>
            <w:r>
              <w:rPr>
                <w:rFonts w:hint="eastAsia"/>
                <w:color w:val="auto"/>
                <w:kern w:val="1"/>
                <w:sz w:val="21"/>
                <w:szCs w:val="21"/>
                <w:highlight w:val="none"/>
                <w:lang w:val="zh-CN"/>
              </w:rPr>
              <w:t>投标人数量大于20家</w:t>
            </w:r>
          </w:p>
        </w:tc>
        <w:tc>
          <w:tcPr>
            <w:tcW w:w="5387" w:type="dxa"/>
            <w:vAlign w:val="center"/>
          </w:tcPr>
          <w:p>
            <w:pPr>
              <w:spacing w:line="300" w:lineRule="auto"/>
              <w:ind w:firstLine="420" w:firstLineChars="200"/>
              <w:jc w:val="left"/>
              <w:rPr>
                <w:color w:val="auto"/>
                <w:kern w:val="1"/>
                <w:sz w:val="21"/>
                <w:szCs w:val="21"/>
                <w:highlight w:val="none"/>
                <w:lang w:val="zh-CN"/>
              </w:rPr>
            </w:pPr>
            <w:r>
              <w:rPr>
                <w:rFonts w:hint="eastAsia"/>
                <w:color w:val="auto"/>
                <w:kern w:val="1"/>
                <w:sz w:val="21"/>
                <w:szCs w:val="21"/>
                <w:highlight w:val="none"/>
                <w:lang w:val="zh-CN"/>
              </w:rPr>
              <w:t>1.</w:t>
            </w:r>
            <w:r>
              <w:rPr>
                <w:color w:val="auto"/>
                <w:kern w:val="1"/>
                <w:sz w:val="21"/>
                <w:szCs w:val="21"/>
                <w:highlight w:val="none"/>
                <w:lang w:val="zh-CN"/>
              </w:rPr>
              <w:t>报价排序淘汰投标人</w:t>
            </w:r>
            <w:r>
              <w:rPr>
                <w:rFonts w:hint="eastAsia"/>
                <w:color w:val="auto"/>
                <w:kern w:val="1"/>
                <w:sz w:val="21"/>
                <w:szCs w:val="21"/>
                <w:highlight w:val="none"/>
                <w:lang w:val="zh-CN"/>
              </w:rPr>
              <w:t>：</w:t>
            </w:r>
          </w:p>
          <w:p>
            <w:pPr>
              <w:spacing w:line="300" w:lineRule="auto"/>
              <w:ind w:firstLine="420" w:firstLineChars="200"/>
              <w:jc w:val="left"/>
              <w:rPr>
                <w:color w:val="auto"/>
                <w:kern w:val="1"/>
                <w:sz w:val="21"/>
                <w:szCs w:val="21"/>
                <w:highlight w:val="none"/>
                <w:lang w:val="zh-CN"/>
              </w:rPr>
            </w:pPr>
            <w:r>
              <w:rPr>
                <w:rFonts w:cs="宋体"/>
                <w:color w:val="auto"/>
                <w:sz w:val="21"/>
                <w:szCs w:val="21"/>
                <w:highlight w:val="none"/>
                <w:lang w:val="zh-CN" w:bidi="zh-CN"/>
              </w:rPr>
              <w:t>按投标人的投标报价由低往高</w:t>
            </w:r>
            <w:r>
              <w:rPr>
                <w:rFonts w:hint="eastAsia"/>
                <w:color w:val="auto"/>
                <w:kern w:val="1"/>
                <w:sz w:val="21"/>
                <w:szCs w:val="21"/>
                <w:highlight w:val="none"/>
                <w:lang w:val="zh-CN"/>
              </w:rPr>
              <w:t>进行报价排序</w:t>
            </w:r>
            <w:r>
              <w:rPr>
                <w:rFonts w:cs="宋体"/>
                <w:color w:val="auto"/>
                <w:sz w:val="21"/>
                <w:szCs w:val="21"/>
                <w:highlight w:val="none"/>
                <w:lang w:val="zh-CN" w:bidi="zh-CN"/>
              </w:rPr>
              <w:t>，淘汰排序靠前5%数量且不少于3家投标人</w:t>
            </w:r>
            <w:r>
              <w:rPr>
                <w:rFonts w:hint="eastAsia" w:cs="宋体"/>
                <w:color w:val="auto"/>
                <w:sz w:val="21"/>
                <w:szCs w:val="21"/>
                <w:highlight w:val="none"/>
                <w:lang w:val="zh-CN" w:bidi="zh-CN"/>
              </w:rPr>
              <w:t>（淘汰数量取整数，小数点第一位“四舍五入”，</w:t>
            </w:r>
            <w:r>
              <w:rPr>
                <w:rFonts w:hint="eastAsia"/>
                <w:color w:val="auto"/>
                <w:kern w:val="1"/>
                <w:sz w:val="21"/>
                <w:szCs w:val="21"/>
                <w:highlight w:val="none"/>
                <w:lang w:val="zh-CN"/>
              </w:rPr>
              <w:t>第二位及以后不计；与淘汰投标人中最高投标报价相同的投标人，一并淘汰）</w:t>
            </w:r>
            <w:r>
              <w:rPr>
                <w:rFonts w:hint="eastAsia" w:cs="宋体"/>
                <w:color w:val="auto"/>
                <w:sz w:val="21"/>
                <w:szCs w:val="21"/>
                <w:highlight w:val="none"/>
                <w:lang w:val="zh-CN" w:bidi="zh-CN"/>
              </w:rPr>
              <w:t>，</w:t>
            </w:r>
            <w:r>
              <w:rPr>
                <w:rFonts w:cs="宋体"/>
                <w:color w:val="auto"/>
                <w:sz w:val="21"/>
                <w:szCs w:val="21"/>
                <w:highlight w:val="none"/>
                <w:lang w:val="zh-CN" w:bidi="zh-CN"/>
              </w:rPr>
              <w:t>同时在余下的投标人中淘汰排序靠后1/3数量的投标人（</w:t>
            </w:r>
            <w:r>
              <w:rPr>
                <w:rFonts w:hint="eastAsia" w:cs="宋体"/>
                <w:color w:val="auto"/>
                <w:sz w:val="21"/>
                <w:szCs w:val="21"/>
                <w:highlight w:val="none"/>
                <w:lang w:val="zh-CN" w:bidi="zh-CN"/>
              </w:rPr>
              <w:t>淘汰数量取整数，小数点第一位“四舍五入”，</w:t>
            </w:r>
            <w:r>
              <w:rPr>
                <w:rFonts w:hint="eastAsia"/>
                <w:color w:val="auto"/>
                <w:kern w:val="1"/>
                <w:sz w:val="21"/>
                <w:szCs w:val="21"/>
                <w:highlight w:val="none"/>
                <w:lang w:val="zh-CN"/>
              </w:rPr>
              <w:t>第二位及以后不计；与淘汰投标人中最低投标报价一致的投标人，一并淘汰）。</w:t>
            </w:r>
          </w:p>
          <w:p>
            <w:pPr>
              <w:spacing w:line="300" w:lineRule="auto"/>
              <w:ind w:firstLine="420" w:firstLineChars="200"/>
              <w:jc w:val="left"/>
              <w:rPr>
                <w:rFonts w:cs="宋体"/>
                <w:color w:val="auto"/>
                <w:sz w:val="21"/>
                <w:szCs w:val="21"/>
                <w:highlight w:val="none"/>
                <w:lang w:val="zh-CN" w:bidi="zh-CN"/>
              </w:rPr>
            </w:pPr>
            <w:r>
              <w:rPr>
                <w:rFonts w:cs="宋体"/>
                <w:color w:val="auto"/>
                <w:sz w:val="21"/>
                <w:szCs w:val="21"/>
                <w:highlight w:val="none"/>
                <w:lang w:val="zh-CN" w:bidi="zh-CN"/>
              </w:rPr>
              <w:t>经报价排序淘汰后投标人数量小于或等于20家的全部</w:t>
            </w:r>
            <w:r>
              <w:rPr>
                <w:rFonts w:hint="eastAsia" w:cs="宋体"/>
                <w:color w:val="auto"/>
                <w:sz w:val="21"/>
                <w:szCs w:val="21"/>
                <w:highlight w:val="none"/>
                <w:lang w:val="zh-CN" w:bidi="zh-CN"/>
              </w:rPr>
              <w:t>确定</w:t>
            </w:r>
            <w:r>
              <w:rPr>
                <w:rFonts w:cs="宋体"/>
                <w:color w:val="auto"/>
                <w:sz w:val="21"/>
                <w:szCs w:val="21"/>
                <w:highlight w:val="none"/>
                <w:lang w:val="zh-CN" w:bidi="zh-CN"/>
              </w:rPr>
              <w:t>为入围投标人</w:t>
            </w:r>
            <w:r>
              <w:rPr>
                <w:rFonts w:hint="eastAsia" w:cs="宋体"/>
                <w:color w:val="auto"/>
                <w:sz w:val="21"/>
                <w:szCs w:val="21"/>
                <w:highlight w:val="none"/>
                <w:lang w:val="zh-CN" w:bidi="zh-CN"/>
              </w:rPr>
              <w:t>，</w:t>
            </w:r>
            <w:r>
              <w:rPr>
                <w:rFonts w:cs="宋体"/>
                <w:color w:val="auto"/>
                <w:sz w:val="21"/>
                <w:szCs w:val="21"/>
                <w:highlight w:val="none"/>
                <w:lang w:val="zh-CN" w:bidi="zh-CN"/>
              </w:rPr>
              <w:t>投标人数量仍大于20家的进入信用排序</w:t>
            </w:r>
            <w:r>
              <w:rPr>
                <w:rFonts w:hint="eastAsia" w:cs="宋体"/>
                <w:color w:val="auto"/>
                <w:sz w:val="21"/>
                <w:szCs w:val="21"/>
                <w:highlight w:val="none"/>
                <w:lang w:val="zh-CN" w:bidi="zh-CN"/>
              </w:rPr>
              <w:t>选取</w:t>
            </w:r>
            <w:r>
              <w:rPr>
                <w:rFonts w:cs="宋体"/>
                <w:color w:val="auto"/>
                <w:sz w:val="21"/>
                <w:szCs w:val="21"/>
                <w:highlight w:val="none"/>
                <w:lang w:val="zh-CN" w:bidi="zh-CN"/>
              </w:rPr>
              <w:t>投标人环节。</w:t>
            </w:r>
          </w:p>
          <w:p>
            <w:pPr>
              <w:spacing w:line="300" w:lineRule="auto"/>
              <w:ind w:firstLine="420" w:firstLineChars="200"/>
              <w:jc w:val="left"/>
              <w:rPr>
                <w:rFonts w:cs="宋体"/>
                <w:color w:val="auto"/>
                <w:sz w:val="21"/>
                <w:szCs w:val="21"/>
                <w:highlight w:val="none"/>
                <w:lang w:val="zh-CN" w:bidi="zh-CN"/>
              </w:rPr>
            </w:pPr>
            <w:r>
              <w:rPr>
                <w:rFonts w:hint="eastAsia" w:cs="宋体"/>
                <w:color w:val="auto"/>
                <w:sz w:val="21"/>
                <w:szCs w:val="21"/>
                <w:highlight w:val="none"/>
                <w:lang w:val="zh-CN" w:bidi="zh-CN"/>
              </w:rPr>
              <w:t xml:space="preserve">被本项程序淘汰的投标人不参与第4项与第5项规定的入围投标人的确定和增补。  </w:t>
            </w:r>
          </w:p>
          <w:p>
            <w:pPr>
              <w:spacing w:line="300" w:lineRule="auto"/>
              <w:ind w:firstLine="420" w:firstLineChars="200"/>
              <w:jc w:val="left"/>
              <w:rPr>
                <w:color w:val="auto"/>
                <w:kern w:val="1"/>
                <w:sz w:val="21"/>
                <w:szCs w:val="21"/>
                <w:highlight w:val="none"/>
                <w:lang w:val="zh-CN"/>
              </w:rPr>
            </w:pPr>
            <w:r>
              <w:rPr>
                <w:rFonts w:hint="eastAsia"/>
                <w:color w:val="auto"/>
                <w:kern w:val="1"/>
                <w:sz w:val="21"/>
                <w:szCs w:val="21"/>
                <w:highlight w:val="none"/>
                <w:lang w:val="zh-CN"/>
              </w:rPr>
              <w:t>2.</w:t>
            </w:r>
            <w:r>
              <w:rPr>
                <w:color w:val="auto"/>
                <w:kern w:val="1"/>
                <w:sz w:val="21"/>
                <w:szCs w:val="21"/>
                <w:highlight w:val="none"/>
                <w:lang w:val="zh-CN"/>
              </w:rPr>
              <w:t>信用排序</w:t>
            </w:r>
            <w:r>
              <w:rPr>
                <w:rFonts w:hint="eastAsia"/>
                <w:color w:val="auto"/>
                <w:kern w:val="1"/>
                <w:sz w:val="21"/>
                <w:szCs w:val="21"/>
                <w:highlight w:val="none"/>
                <w:lang w:val="zh-CN"/>
              </w:rPr>
              <w:t>选取</w:t>
            </w:r>
            <w:r>
              <w:rPr>
                <w:color w:val="auto"/>
                <w:kern w:val="1"/>
                <w:sz w:val="21"/>
                <w:szCs w:val="21"/>
                <w:highlight w:val="none"/>
                <w:lang w:val="zh-CN"/>
              </w:rPr>
              <w:t>投标人</w:t>
            </w:r>
            <w:r>
              <w:rPr>
                <w:rFonts w:hint="eastAsia"/>
                <w:color w:val="auto"/>
                <w:kern w:val="1"/>
                <w:sz w:val="21"/>
                <w:szCs w:val="21"/>
                <w:highlight w:val="none"/>
                <w:lang w:val="zh-CN"/>
              </w:rPr>
              <w:t>：</w:t>
            </w:r>
          </w:p>
          <w:p>
            <w:pPr>
              <w:spacing w:line="300" w:lineRule="auto"/>
              <w:ind w:firstLine="420" w:firstLineChars="200"/>
              <w:jc w:val="left"/>
              <w:rPr>
                <w:rFonts w:cs="宋体"/>
                <w:color w:val="auto"/>
                <w:kern w:val="1"/>
                <w:sz w:val="21"/>
                <w:szCs w:val="21"/>
                <w:highlight w:val="none"/>
              </w:rPr>
            </w:pPr>
            <w:r>
              <w:rPr>
                <w:rFonts w:hint="eastAsia" w:cs="宋体"/>
                <w:color w:val="auto"/>
                <w:kern w:val="1"/>
                <w:sz w:val="21"/>
                <w:szCs w:val="21"/>
                <w:highlight w:val="none"/>
              </w:rPr>
              <w:t>2.1 A类工程（</w:t>
            </w:r>
            <w:r>
              <w:rPr>
                <w:rFonts w:hint="eastAsia"/>
                <w:color w:val="auto"/>
                <w:kern w:val="1"/>
                <w:sz w:val="21"/>
                <w:szCs w:val="21"/>
                <w:highlight w:val="none"/>
                <w:lang w:val="zh-CN"/>
              </w:rPr>
              <w:t>指</w:t>
            </w:r>
            <w:r>
              <w:rPr>
                <w:rFonts w:cs="宋体"/>
                <w:color w:val="auto"/>
                <w:sz w:val="21"/>
                <w:szCs w:val="21"/>
                <w:highlight w:val="none"/>
                <w:lang w:val="zh-CN" w:bidi="zh-CN"/>
              </w:rPr>
              <w:t>经市政府或区政府或市级指挥部确定的特殊工程、应急工程</w:t>
            </w:r>
            <w:r>
              <w:rPr>
                <w:rFonts w:hint="eastAsia" w:cs="宋体"/>
                <w:color w:val="auto"/>
                <w:sz w:val="21"/>
                <w:szCs w:val="21"/>
                <w:highlight w:val="none"/>
                <w:lang w:val="zh-CN" w:bidi="zh-CN"/>
              </w:rPr>
              <w:t>，</w:t>
            </w:r>
            <w:r>
              <w:rPr>
                <w:rFonts w:cs="宋体"/>
                <w:color w:val="auto"/>
                <w:sz w:val="21"/>
                <w:szCs w:val="21"/>
                <w:highlight w:val="none"/>
                <w:lang w:val="zh-CN" w:bidi="zh-CN"/>
              </w:rPr>
              <w:t>招标文件公布的合同估算价大于等于1亿元的施工总承包工程或合同估算价大于等于2000万元的专业承包工程</w:t>
            </w:r>
            <w:r>
              <w:rPr>
                <w:rFonts w:hint="eastAsia" w:cs="宋体"/>
                <w:color w:val="auto"/>
                <w:kern w:val="1"/>
                <w:sz w:val="21"/>
                <w:szCs w:val="21"/>
                <w:highlight w:val="none"/>
              </w:rPr>
              <w:t>）：</w:t>
            </w:r>
          </w:p>
          <w:p>
            <w:pPr>
              <w:spacing w:line="300" w:lineRule="auto"/>
              <w:ind w:firstLine="420" w:firstLineChars="200"/>
              <w:jc w:val="left"/>
              <w:rPr>
                <w:rFonts w:cs="宋体"/>
                <w:color w:val="auto"/>
                <w:sz w:val="21"/>
                <w:szCs w:val="21"/>
                <w:highlight w:val="none"/>
                <w:lang w:val="zh-CN" w:bidi="zh-CN"/>
              </w:rPr>
            </w:pPr>
            <w:r>
              <w:rPr>
                <w:rFonts w:cs="宋体"/>
                <w:color w:val="auto"/>
                <w:sz w:val="21"/>
                <w:szCs w:val="21"/>
                <w:highlight w:val="none"/>
                <w:lang w:val="zh-CN" w:bidi="zh-CN"/>
              </w:rPr>
              <w:t>从最近期的厦门市建筑施工企业信用综合评价结果的评价等级为A的投标人中按投标人的投标报价由低往高进行报价排序</w:t>
            </w:r>
            <w:r>
              <w:rPr>
                <w:rFonts w:hint="eastAsia" w:cs="宋体"/>
                <w:color w:val="auto"/>
                <w:sz w:val="21"/>
                <w:szCs w:val="21"/>
                <w:highlight w:val="none"/>
                <w:lang w:val="zh-CN" w:bidi="zh-CN"/>
              </w:rPr>
              <w:t>，</w:t>
            </w:r>
            <w:r>
              <w:rPr>
                <w:rFonts w:cs="宋体"/>
                <w:color w:val="auto"/>
                <w:sz w:val="21"/>
                <w:szCs w:val="21"/>
                <w:highlight w:val="none"/>
                <w:lang w:val="zh-CN" w:bidi="zh-CN"/>
              </w:rPr>
              <w:t>依</w:t>
            </w:r>
            <w:r>
              <w:rPr>
                <w:rFonts w:hint="eastAsia" w:cs="宋体"/>
                <w:color w:val="auto"/>
                <w:sz w:val="21"/>
                <w:szCs w:val="21"/>
                <w:highlight w:val="none"/>
                <w:lang w:val="zh-CN" w:bidi="zh-CN"/>
              </w:rPr>
              <w:t>序确定</w:t>
            </w:r>
            <w:r>
              <w:rPr>
                <w:rFonts w:cs="宋体"/>
                <w:color w:val="auto"/>
                <w:sz w:val="21"/>
                <w:szCs w:val="21"/>
                <w:highlight w:val="none"/>
                <w:lang w:val="zh-CN" w:bidi="zh-CN"/>
              </w:rPr>
              <w:t>为入围投标人，A等级的投标人数量不足20家的，再从BB+等级投标人中按投标人的投标报价由低往高排序并依</w:t>
            </w:r>
            <w:r>
              <w:rPr>
                <w:rFonts w:hint="eastAsia" w:cs="宋体"/>
                <w:color w:val="auto"/>
                <w:sz w:val="21"/>
                <w:szCs w:val="21"/>
                <w:highlight w:val="none"/>
                <w:lang w:val="zh-CN" w:bidi="zh-CN"/>
              </w:rPr>
              <w:t>序确定</w:t>
            </w:r>
            <w:r>
              <w:rPr>
                <w:rFonts w:cs="宋体"/>
                <w:color w:val="auto"/>
                <w:sz w:val="21"/>
                <w:szCs w:val="21"/>
                <w:highlight w:val="none"/>
                <w:lang w:val="zh-CN" w:bidi="zh-CN"/>
              </w:rPr>
              <w:t>为入围投标人，直至入围投标人数量为20家</w:t>
            </w:r>
            <w:r>
              <w:rPr>
                <w:rFonts w:hint="eastAsia" w:cs="宋体"/>
                <w:color w:val="auto"/>
                <w:sz w:val="21"/>
                <w:szCs w:val="21"/>
                <w:highlight w:val="none"/>
                <w:lang w:val="zh-CN" w:bidi="zh-CN"/>
              </w:rPr>
              <w:t>（与前述20家投标人中最高报价一致的投标人，一并入围）</w:t>
            </w:r>
            <w:r>
              <w:rPr>
                <w:rFonts w:cs="宋体"/>
                <w:color w:val="auto"/>
                <w:sz w:val="21"/>
                <w:szCs w:val="21"/>
                <w:highlight w:val="none"/>
                <w:lang w:val="zh-CN" w:bidi="zh-CN"/>
              </w:rPr>
              <w:t>。</w:t>
            </w:r>
          </w:p>
          <w:p>
            <w:pPr>
              <w:pStyle w:val="59"/>
              <w:spacing w:after="0" w:line="300" w:lineRule="auto"/>
              <w:ind w:left="0" w:firstLineChars="200"/>
              <w:rPr>
                <w:rFonts w:cs="宋体"/>
                <w:color w:val="auto"/>
                <w:szCs w:val="21"/>
                <w:highlight w:val="none"/>
              </w:rPr>
            </w:pPr>
            <w:r>
              <w:rPr>
                <w:rFonts w:hint="eastAsia"/>
                <w:color w:val="auto"/>
                <w:highlight w:val="none"/>
                <w:lang w:val="zh-CN" w:bidi="zh-CN"/>
              </w:rPr>
              <w:t>注：</w:t>
            </w:r>
            <w:r>
              <w:rPr>
                <w:rFonts w:hint="eastAsia" w:ascii="宋体" w:hAnsi="宋体" w:cs="宋体"/>
                <w:color w:val="auto"/>
                <w:kern w:val="0"/>
                <w:szCs w:val="21"/>
                <w:highlight w:val="none"/>
              </w:rPr>
              <w:t>①最近期</w:t>
            </w:r>
            <w:r>
              <w:rPr>
                <w:rFonts w:cs="宋体"/>
                <w:color w:val="auto"/>
                <w:szCs w:val="21"/>
                <w:highlight w:val="none"/>
              </w:rPr>
              <w:t>厦门市建筑施工企业信用综合评价结果指投标人须知前附表附录</w:t>
            </w:r>
            <w:r>
              <w:rPr>
                <w:rFonts w:hint="eastAsia" w:cs="宋体"/>
                <w:color w:val="auto"/>
                <w:szCs w:val="21"/>
                <w:highlight w:val="none"/>
              </w:rPr>
              <w:t>1第3项规定年度的评价结果，本表下同。</w:t>
            </w:r>
          </w:p>
          <w:p>
            <w:pPr>
              <w:pStyle w:val="59"/>
              <w:spacing w:after="0" w:line="300" w:lineRule="auto"/>
              <w:ind w:left="0" w:firstLineChars="200"/>
              <w:rPr>
                <w:rFonts w:ascii="宋体" w:hAnsi="宋体" w:cs="宋体"/>
                <w:color w:val="auto"/>
                <w:kern w:val="0"/>
                <w:szCs w:val="21"/>
                <w:highlight w:val="none"/>
              </w:rPr>
            </w:pPr>
            <w:r>
              <w:rPr>
                <w:rFonts w:hint="eastAsia" w:ascii="宋体" w:hAnsi="宋体" w:cs="宋体"/>
                <w:color w:val="auto"/>
                <w:kern w:val="0"/>
                <w:szCs w:val="21"/>
                <w:highlight w:val="none"/>
              </w:rPr>
              <w:t>②按照投标人须知前附表第1.4.2项第1条组成联合体投标的，以该条规定为准；按照投标人须知前附表第1.4.2项第2条组成联合体投标的，以联合体成员中信用综合评价等级最低的成员确定联合体投标人的信用综合评价等级。</w:t>
            </w:r>
          </w:p>
          <w:p>
            <w:pPr>
              <w:spacing w:line="300" w:lineRule="auto"/>
              <w:ind w:firstLine="420" w:firstLineChars="200"/>
              <w:jc w:val="left"/>
              <w:rPr>
                <w:rFonts w:cs="宋体"/>
                <w:color w:val="auto"/>
                <w:kern w:val="1"/>
                <w:sz w:val="21"/>
                <w:szCs w:val="21"/>
                <w:highlight w:val="none"/>
              </w:rPr>
            </w:pPr>
            <w:r>
              <w:rPr>
                <w:rFonts w:hint="eastAsia" w:cs="宋体"/>
                <w:color w:val="auto"/>
                <w:kern w:val="1"/>
                <w:sz w:val="21"/>
                <w:szCs w:val="21"/>
                <w:highlight w:val="none"/>
              </w:rPr>
              <w:t>2.2 B类工程（</w:t>
            </w:r>
            <w:r>
              <w:rPr>
                <w:rFonts w:hint="eastAsia" w:cs="宋体"/>
                <w:color w:val="auto"/>
                <w:sz w:val="21"/>
                <w:szCs w:val="21"/>
                <w:highlight w:val="none"/>
                <w:lang w:val="zh-CN" w:bidi="zh-CN"/>
              </w:rPr>
              <w:t>指</w:t>
            </w:r>
            <w:r>
              <w:rPr>
                <w:rFonts w:cs="宋体"/>
                <w:color w:val="auto"/>
                <w:sz w:val="21"/>
                <w:szCs w:val="21"/>
                <w:highlight w:val="none"/>
                <w:lang w:val="zh-CN" w:bidi="zh-CN"/>
              </w:rPr>
              <w:t>招标文件公布的合同估算价小于1亿元的施工总承包工程或合同估算价小于2000万元的专业承包工程</w:t>
            </w:r>
            <w:r>
              <w:rPr>
                <w:rFonts w:hint="eastAsia" w:cs="宋体"/>
                <w:color w:val="auto"/>
                <w:kern w:val="1"/>
                <w:sz w:val="21"/>
                <w:szCs w:val="21"/>
                <w:highlight w:val="none"/>
              </w:rPr>
              <w:t>）：</w:t>
            </w:r>
          </w:p>
          <w:p>
            <w:pPr>
              <w:spacing w:line="300" w:lineRule="auto"/>
              <w:ind w:firstLine="420" w:firstLineChars="200"/>
              <w:jc w:val="left"/>
              <w:rPr>
                <w:rFonts w:cs="宋体"/>
                <w:color w:val="auto"/>
                <w:sz w:val="21"/>
                <w:szCs w:val="21"/>
                <w:highlight w:val="none"/>
                <w:lang w:val="zh-CN" w:bidi="zh-CN"/>
              </w:rPr>
            </w:pPr>
            <w:r>
              <w:rPr>
                <w:rFonts w:cs="宋体"/>
                <w:color w:val="auto"/>
                <w:sz w:val="21"/>
                <w:szCs w:val="21"/>
                <w:highlight w:val="none"/>
                <w:lang w:val="zh-CN" w:bidi="zh-CN"/>
              </w:rPr>
              <w:t>从最近期的厦门市建筑施工企业信用综合评价结果的评价等级为BB+及以上的投标人中按投标人的投标报价由低往高排序</w:t>
            </w:r>
            <w:r>
              <w:rPr>
                <w:rFonts w:hint="eastAsia" w:cs="宋体"/>
                <w:color w:val="auto"/>
                <w:sz w:val="21"/>
                <w:szCs w:val="21"/>
                <w:highlight w:val="none"/>
                <w:lang w:val="zh-CN" w:bidi="zh-CN"/>
              </w:rPr>
              <w:t>，</w:t>
            </w:r>
            <w:r>
              <w:rPr>
                <w:rFonts w:cs="宋体"/>
                <w:color w:val="auto"/>
                <w:sz w:val="21"/>
                <w:szCs w:val="21"/>
                <w:highlight w:val="none"/>
                <w:lang w:val="zh-CN" w:bidi="zh-CN"/>
              </w:rPr>
              <w:t>依</w:t>
            </w:r>
            <w:r>
              <w:rPr>
                <w:rFonts w:hint="eastAsia" w:cs="宋体"/>
                <w:color w:val="auto"/>
                <w:sz w:val="21"/>
                <w:szCs w:val="21"/>
                <w:highlight w:val="none"/>
                <w:lang w:val="zh-CN" w:bidi="zh-CN"/>
              </w:rPr>
              <w:t>序确定</w:t>
            </w:r>
            <w:r>
              <w:rPr>
                <w:rFonts w:cs="宋体"/>
                <w:color w:val="auto"/>
                <w:sz w:val="21"/>
                <w:szCs w:val="21"/>
                <w:highlight w:val="none"/>
                <w:lang w:val="zh-CN" w:bidi="zh-CN"/>
              </w:rPr>
              <w:t>为入围投标人，直至入围投标人数量为20家</w:t>
            </w:r>
            <w:r>
              <w:rPr>
                <w:rFonts w:hint="eastAsia" w:cs="宋体"/>
                <w:color w:val="auto"/>
                <w:sz w:val="21"/>
                <w:szCs w:val="21"/>
                <w:highlight w:val="none"/>
                <w:lang w:val="zh-CN" w:bidi="zh-CN"/>
              </w:rPr>
              <w:t>（与前述20家投标人中最高投标报价一致的投标人，一并入围）</w:t>
            </w:r>
            <w:r>
              <w:rPr>
                <w:rFonts w:cs="宋体"/>
                <w:color w:val="auto"/>
                <w:sz w:val="21"/>
                <w:szCs w:val="21"/>
                <w:highlight w:val="none"/>
                <w:lang w:val="zh-CN" w:bidi="zh-CN"/>
              </w:rPr>
              <w:t>。</w:t>
            </w:r>
          </w:p>
          <w:p>
            <w:pPr>
              <w:pStyle w:val="59"/>
              <w:spacing w:after="0" w:line="300" w:lineRule="auto"/>
              <w:ind w:left="0" w:firstLineChars="200"/>
              <w:rPr>
                <w:rFonts w:ascii="宋体" w:hAnsi="宋体" w:cs="宋体"/>
                <w:color w:val="auto"/>
                <w:kern w:val="0"/>
                <w:szCs w:val="21"/>
                <w:highlight w:val="none"/>
              </w:rPr>
            </w:pPr>
            <w:r>
              <w:rPr>
                <w:rFonts w:hint="eastAsia"/>
                <w:color w:val="auto"/>
                <w:highlight w:val="none"/>
                <w:lang w:val="zh-CN" w:bidi="zh-CN"/>
              </w:rPr>
              <w:t>注：</w:t>
            </w:r>
            <w:r>
              <w:rPr>
                <w:rFonts w:hint="eastAsia" w:ascii="宋体" w:hAnsi="宋体" w:cs="宋体"/>
                <w:color w:val="auto"/>
                <w:kern w:val="0"/>
                <w:szCs w:val="21"/>
                <w:highlight w:val="none"/>
              </w:rPr>
              <w:t>按照投标人须知前附表第1.4.2项第1条组成联合体投标的，以该条规定为准；按照投标人须知前附表第1.4.2项第2条组成联合体投标的，以联合体成员中信用综合评价等级最低的成员确定联合体投标人的信用综合评价等级。</w:t>
            </w:r>
          </w:p>
          <w:p>
            <w:pPr>
              <w:spacing w:line="300" w:lineRule="auto"/>
              <w:ind w:firstLine="420" w:firstLineChars="200"/>
              <w:jc w:val="left"/>
              <w:rPr>
                <w:rFonts w:cs="宋体"/>
                <w:color w:val="auto"/>
                <w:sz w:val="21"/>
                <w:szCs w:val="21"/>
                <w:highlight w:val="none"/>
                <w:lang w:val="zh-CN" w:bidi="zh-CN"/>
              </w:rPr>
            </w:pPr>
            <w:r>
              <w:rPr>
                <w:rFonts w:hint="eastAsia" w:cs="宋体"/>
                <w:color w:val="auto"/>
                <w:sz w:val="21"/>
                <w:szCs w:val="21"/>
                <w:highlight w:val="none"/>
                <w:lang w:val="zh-CN" w:bidi="zh-CN"/>
              </w:rPr>
              <w:t>3.</w:t>
            </w:r>
            <w:r>
              <w:rPr>
                <w:rFonts w:cs="宋体"/>
                <w:color w:val="auto"/>
                <w:sz w:val="21"/>
                <w:szCs w:val="21"/>
                <w:highlight w:val="none"/>
                <w:lang w:val="zh-CN" w:bidi="zh-CN"/>
              </w:rPr>
              <w:t>经</w:t>
            </w:r>
            <w:r>
              <w:rPr>
                <w:color w:val="auto"/>
                <w:kern w:val="1"/>
                <w:sz w:val="21"/>
                <w:szCs w:val="21"/>
                <w:highlight w:val="none"/>
                <w:lang w:val="zh-CN"/>
              </w:rPr>
              <w:t>报价排序淘汰</w:t>
            </w:r>
            <w:r>
              <w:rPr>
                <w:rFonts w:cs="宋体"/>
                <w:color w:val="auto"/>
                <w:sz w:val="21"/>
                <w:szCs w:val="21"/>
                <w:highlight w:val="none"/>
                <w:lang w:val="zh-CN" w:bidi="zh-CN"/>
              </w:rPr>
              <w:t>和信用排序</w:t>
            </w:r>
            <w:r>
              <w:rPr>
                <w:rFonts w:hint="eastAsia" w:cs="宋体"/>
                <w:color w:val="auto"/>
                <w:sz w:val="21"/>
                <w:szCs w:val="21"/>
                <w:highlight w:val="none"/>
                <w:lang w:val="zh-CN" w:bidi="zh-CN"/>
              </w:rPr>
              <w:t>选取</w:t>
            </w:r>
            <w:r>
              <w:rPr>
                <w:rFonts w:cs="宋体"/>
                <w:color w:val="auto"/>
                <w:sz w:val="21"/>
                <w:szCs w:val="21"/>
                <w:highlight w:val="none"/>
                <w:lang w:val="zh-CN" w:bidi="zh-CN"/>
              </w:rPr>
              <w:t>后投标人数量不足20家的，按实际数量</w:t>
            </w:r>
            <w:r>
              <w:rPr>
                <w:rFonts w:hint="eastAsia" w:cs="宋体"/>
                <w:color w:val="auto"/>
                <w:sz w:val="21"/>
                <w:szCs w:val="21"/>
                <w:highlight w:val="none"/>
                <w:lang w:val="zh-CN" w:bidi="zh-CN"/>
              </w:rPr>
              <w:t>全部确定</w:t>
            </w:r>
            <w:r>
              <w:rPr>
                <w:rFonts w:cs="宋体"/>
                <w:color w:val="auto"/>
                <w:sz w:val="21"/>
                <w:szCs w:val="21"/>
                <w:highlight w:val="none"/>
                <w:lang w:val="zh-CN" w:bidi="zh-CN"/>
              </w:rPr>
              <w:t>为入围投标人。</w:t>
            </w:r>
          </w:p>
          <w:p>
            <w:pPr>
              <w:spacing w:line="300" w:lineRule="auto"/>
              <w:ind w:firstLine="420" w:firstLineChars="200"/>
              <w:jc w:val="left"/>
              <w:rPr>
                <w:rFonts w:cs="宋体"/>
                <w:color w:val="auto"/>
                <w:sz w:val="21"/>
                <w:szCs w:val="21"/>
                <w:highlight w:val="none"/>
                <w:lang w:val="zh-CN" w:bidi="zh-CN"/>
              </w:rPr>
            </w:pPr>
            <w:r>
              <w:rPr>
                <w:rFonts w:cs="宋体"/>
                <w:color w:val="auto"/>
                <w:sz w:val="21"/>
                <w:szCs w:val="21"/>
                <w:highlight w:val="none"/>
                <w:lang w:val="zh-CN" w:bidi="zh-CN"/>
              </w:rPr>
              <w:t>当</w:t>
            </w:r>
            <w:r>
              <w:rPr>
                <w:color w:val="auto"/>
                <w:kern w:val="1"/>
                <w:sz w:val="21"/>
                <w:szCs w:val="21"/>
                <w:highlight w:val="none"/>
                <w:lang w:val="zh-CN"/>
              </w:rPr>
              <w:t>报价排序淘汰</w:t>
            </w:r>
            <w:r>
              <w:rPr>
                <w:rFonts w:cs="宋体"/>
                <w:color w:val="auto"/>
                <w:sz w:val="21"/>
                <w:szCs w:val="21"/>
                <w:highlight w:val="none"/>
                <w:lang w:val="zh-CN" w:bidi="zh-CN"/>
              </w:rPr>
              <w:t>和信用排序</w:t>
            </w:r>
            <w:r>
              <w:rPr>
                <w:rFonts w:hint="eastAsia" w:cs="宋体"/>
                <w:color w:val="auto"/>
                <w:sz w:val="21"/>
                <w:szCs w:val="21"/>
                <w:highlight w:val="none"/>
                <w:lang w:val="zh-CN" w:bidi="zh-CN"/>
              </w:rPr>
              <w:t>选取</w:t>
            </w:r>
            <w:r>
              <w:rPr>
                <w:rFonts w:cs="宋体"/>
                <w:color w:val="auto"/>
                <w:sz w:val="21"/>
                <w:szCs w:val="21"/>
                <w:highlight w:val="none"/>
                <w:lang w:val="zh-CN" w:bidi="zh-CN"/>
              </w:rPr>
              <w:t>后投标人数量不足</w:t>
            </w:r>
            <w:r>
              <w:rPr>
                <w:rFonts w:hint="eastAsia" w:cs="宋体"/>
                <w:color w:val="auto"/>
                <w:sz w:val="21"/>
                <w:szCs w:val="21"/>
                <w:highlight w:val="none"/>
                <w:lang w:val="zh-CN" w:bidi="zh-CN"/>
              </w:rPr>
              <w:t>3</w:t>
            </w:r>
            <w:r>
              <w:rPr>
                <w:rFonts w:cs="宋体"/>
                <w:color w:val="auto"/>
                <w:sz w:val="21"/>
                <w:szCs w:val="21"/>
                <w:highlight w:val="none"/>
                <w:lang w:val="zh-CN" w:bidi="zh-CN"/>
              </w:rPr>
              <w:t>家</w:t>
            </w:r>
            <w:r>
              <w:rPr>
                <w:rFonts w:hint="eastAsia" w:cs="宋体"/>
                <w:color w:val="auto"/>
                <w:sz w:val="21"/>
                <w:szCs w:val="21"/>
                <w:highlight w:val="none"/>
                <w:lang w:val="zh-CN" w:bidi="zh-CN"/>
              </w:rPr>
              <w:t>时</w:t>
            </w:r>
            <w:r>
              <w:rPr>
                <w:rFonts w:cs="宋体"/>
                <w:color w:val="auto"/>
                <w:sz w:val="21"/>
                <w:szCs w:val="21"/>
                <w:highlight w:val="none"/>
                <w:lang w:val="zh-CN" w:bidi="zh-CN"/>
              </w:rPr>
              <w:t>，不足家数从</w:t>
            </w:r>
            <w:r>
              <w:rPr>
                <w:rFonts w:hint="eastAsia" w:cs="宋体"/>
                <w:color w:val="auto"/>
                <w:sz w:val="21"/>
                <w:szCs w:val="21"/>
                <w:highlight w:val="none"/>
                <w:lang w:val="zh-CN" w:bidi="zh-CN"/>
              </w:rPr>
              <w:t>报价排序淘汰后的投标人</w:t>
            </w:r>
            <w:r>
              <w:rPr>
                <w:rFonts w:cs="宋体"/>
                <w:color w:val="auto"/>
                <w:sz w:val="21"/>
                <w:szCs w:val="21"/>
                <w:highlight w:val="none"/>
                <w:lang w:val="zh-CN" w:bidi="zh-CN"/>
              </w:rPr>
              <w:t>中按投标人的投标报价由低往高进行报价排序</w:t>
            </w:r>
            <w:r>
              <w:rPr>
                <w:rFonts w:hint="eastAsia" w:cs="宋体"/>
                <w:color w:val="auto"/>
                <w:sz w:val="21"/>
                <w:szCs w:val="21"/>
                <w:highlight w:val="none"/>
                <w:lang w:val="zh-CN" w:bidi="zh-CN"/>
              </w:rPr>
              <w:t>，依序补充确定</w:t>
            </w:r>
            <w:r>
              <w:rPr>
                <w:rFonts w:cs="宋体"/>
                <w:color w:val="auto"/>
                <w:sz w:val="21"/>
                <w:szCs w:val="21"/>
                <w:highlight w:val="none"/>
                <w:lang w:val="zh-CN" w:bidi="zh-CN"/>
              </w:rPr>
              <w:t>入围投标人数量直至5家</w:t>
            </w:r>
            <w:r>
              <w:rPr>
                <w:rFonts w:hint="eastAsia" w:cs="宋体"/>
                <w:color w:val="auto"/>
                <w:sz w:val="21"/>
                <w:szCs w:val="21"/>
                <w:highlight w:val="none"/>
                <w:lang w:val="zh-CN" w:bidi="zh-CN"/>
              </w:rPr>
              <w:t>（与前述5家投标人中最高投标报价一致的投标人，一并入围）</w:t>
            </w:r>
            <w:r>
              <w:rPr>
                <w:rFonts w:cs="宋体"/>
                <w:color w:val="auto"/>
                <w:sz w:val="21"/>
                <w:szCs w:val="21"/>
                <w:highlight w:val="none"/>
                <w:lang w:val="zh-CN" w:bidi="zh-CN"/>
              </w:rPr>
              <w:t>。</w:t>
            </w:r>
          </w:p>
          <w:p>
            <w:pPr>
              <w:spacing w:line="300" w:lineRule="auto"/>
              <w:ind w:firstLine="420" w:firstLineChars="200"/>
              <w:rPr>
                <w:rFonts w:cs="宋体"/>
                <w:color w:val="auto"/>
                <w:kern w:val="1"/>
                <w:sz w:val="21"/>
                <w:szCs w:val="21"/>
                <w:highlight w:val="none"/>
              </w:rPr>
            </w:pPr>
            <w:r>
              <w:rPr>
                <w:rFonts w:hint="eastAsia" w:cs="宋体"/>
                <w:color w:val="auto"/>
                <w:kern w:val="1"/>
                <w:sz w:val="21"/>
                <w:szCs w:val="21"/>
                <w:highlight w:val="none"/>
              </w:rPr>
              <w:t>4.投标报价符合下列情形的投标人一并确定为入围投标人：</w:t>
            </w:r>
          </w:p>
          <w:p>
            <w:pPr>
              <w:spacing w:line="300" w:lineRule="auto"/>
              <w:ind w:firstLine="420" w:firstLineChars="200"/>
              <w:rPr>
                <w:rFonts w:cs="宋体"/>
                <w:color w:val="auto"/>
                <w:sz w:val="21"/>
                <w:szCs w:val="21"/>
                <w:highlight w:val="none"/>
              </w:rPr>
            </w:pPr>
            <w:r>
              <w:rPr>
                <w:rFonts w:hint="eastAsia" w:cs="宋体"/>
                <w:color w:val="auto"/>
                <w:kern w:val="1"/>
                <w:sz w:val="21"/>
                <w:szCs w:val="21"/>
                <w:highlight w:val="none"/>
              </w:rPr>
              <w:t>在按照第1项与第2项规定未被确定为入围投标人的剩余投标人中，对最近期</w:t>
            </w:r>
            <w:r>
              <w:rPr>
                <w:rFonts w:cs="宋体"/>
                <w:color w:val="auto"/>
                <w:kern w:val="1"/>
                <w:sz w:val="21"/>
                <w:szCs w:val="21"/>
                <w:highlight w:val="none"/>
              </w:rPr>
              <w:t>厦门市建筑施工企业信用综合评价结果中的综合</w:t>
            </w:r>
            <w:r>
              <w:rPr>
                <w:rFonts w:hint="eastAsia" w:cs="宋体"/>
                <w:color w:val="auto"/>
                <w:kern w:val="1"/>
                <w:sz w:val="21"/>
                <w:szCs w:val="21"/>
                <w:highlight w:val="none"/>
              </w:rPr>
              <w:t>得分在70分（含）至80分（不含）的投标人的投标报价下浮1%计算折价报价；</w:t>
            </w:r>
            <w:r>
              <w:rPr>
                <w:rFonts w:hint="eastAsia" w:cs="宋体"/>
                <w:color w:val="auto"/>
                <w:sz w:val="21"/>
                <w:szCs w:val="21"/>
                <w:highlight w:val="none"/>
              </w:rPr>
              <w:t>对</w:t>
            </w:r>
            <w:r>
              <w:rPr>
                <w:rFonts w:hint="eastAsia" w:cs="宋体"/>
                <w:color w:val="auto"/>
                <w:kern w:val="1"/>
                <w:sz w:val="21"/>
                <w:szCs w:val="21"/>
                <w:highlight w:val="none"/>
              </w:rPr>
              <w:t>最近期</w:t>
            </w:r>
            <w:r>
              <w:rPr>
                <w:rFonts w:cs="宋体"/>
                <w:color w:val="auto"/>
                <w:sz w:val="21"/>
                <w:szCs w:val="21"/>
                <w:highlight w:val="none"/>
              </w:rPr>
              <w:t>厦门市建筑施工企业信用综合评价结果中的综合</w:t>
            </w:r>
            <w:r>
              <w:rPr>
                <w:rFonts w:hint="eastAsia" w:cs="宋体"/>
                <w:color w:val="auto"/>
                <w:sz w:val="21"/>
                <w:szCs w:val="21"/>
                <w:highlight w:val="none"/>
              </w:rPr>
              <w:t>得分在80分（含）以上的投标人的投标报价下浮2%计算折价报价。折价报价低于按照第1项</w:t>
            </w:r>
            <w:r>
              <w:rPr>
                <w:rFonts w:hint="eastAsia" w:cs="宋体"/>
                <w:color w:val="auto"/>
                <w:kern w:val="1"/>
                <w:sz w:val="21"/>
                <w:szCs w:val="21"/>
                <w:highlight w:val="none"/>
              </w:rPr>
              <w:t>与第2项</w:t>
            </w:r>
            <w:r>
              <w:rPr>
                <w:rFonts w:hint="eastAsia" w:cs="宋体"/>
                <w:color w:val="auto"/>
                <w:sz w:val="21"/>
                <w:szCs w:val="21"/>
                <w:highlight w:val="none"/>
              </w:rPr>
              <w:t>规定确定入围投标人的最高投标报价的。</w:t>
            </w:r>
          </w:p>
          <w:p>
            <w:pPr>
              <w:pStyle w:val="59"/>
              <w:spacing w:after="0" w:line="300" w:lineRule="auto"/>
              <w:ind w:left="0" w:firstLineChars="200"/>
              <w:rPr>
                <w:rFonts w:ascii="宋体" w:hAnsi="宋体" w:cs="宋体"/>
                <w:color w:val="auto"/>
                <w:kern w:val="0"/>
                <w:szCs w:val="21"/>
                <w:highlight w:val="none"/>
              </w:rPr>
            </w:pPr>
            <w:r>
              <w:rPr>
                <w:rFonts w:hint="eastAsia" w:ascii="宋体" w:hAnsi="宋体" w:cs="宋体"/>
                <w:color w:val="auto"/>
                <w:kern w:val="0"/>
                <w:szCs w:val="21"/>
                <w:highlight w:val="none"/>
              </w:rPr>
              <w:t>注：</w:t>
            </w:r>
          </w:p>
          <w:p>
            <w:pPr>
              <w:pStyle w:val="59"/>
              <w:spacing w:after="0" w:line="300" w:lineRule="auto"/>
              <w:ind w:left="0" w:firstLineChars="200"/>
              <w:rPr>
                <w:rFonts w:ascii="宋体" w:hAnsi="宋体" w:cs="宋体"/>
                <w:color w:val="auto"/>
                <w:kern w:val="0"/>
                <w:szCs w:val="21"/>
                <w:highlight w:val="none"/>
              </w:rPr>
            </w:pPr>
            <w:r>
              <w:rPr>
                <w:rFonts w:hint="eastAsia" w:ascii="宋体" w:hAnsi="宋体" w:cs="宋体"/>
                <w:color w:val="auto"/>
                <w:kern w:val="0"/>
                <w:szCs w:val="21"/>
                <w:highlight w:val="none"/>
              </w:rPr>
              <w:t>①最近期</w:t>
            </w:r>
            <w:r>
              <w:rPr>
                <w:rFonts w:cs="宋体"/>
                <w:color w:val="auto"/>
                <w:szCs w:val="21"/>
                <w:highlight w:val="none"/>
              </w:rPr>
              <w:t>厦门市建筑施工企业信用综合评价结果中信用等级为A但未公布综合得分的投标人</w:t>
            </w:r>
            <w:r>
              <w:rPr>
                <w:rFonts w:hint="eastAsia" w:cs="宋体"/>
                <w:color w:val="auto"/>
                <w:szCs w:val="21"/>
                <w:highlight w:val="none"/>
              </w:rPr>
              <w:t>，</w:t>
            </w:r>
            <w:r>
              <w:rPr>
                <w:rFonts w:cs="宋体"/>
                <w:color w:val="auto"/>
                <w:szCs w:val="21"/>
                <w:highlight w:val="none"/>
              </w:rPr>
              <w:t>其综合</w:t>
            </w:r>
            <w:r>
              <w:rPr>
                <w:rFonts w:hint="eastAsia" w:cs="宋体"/>
                <w:color w:val="auto"/>
                <w:szCs w:val="21"/>
                <w:highlight w:val="none"/>
              </w:rPr>
              <w:t>得分按70分计。</w:t>
            </w:r>
          </w:p>
          <w:p>
            <w:pPr>
              <w:pStyle w:val="59"/>
              <w:spacing w:after="0" w:line="300" w:lineRule="auto"/>
              <w:ind w:left="0" w:firstLineChars="200"/>
              <w:rPr>
                <w:rFonts w:ascii="宋体" w:hAnsi="宋体" w:cs="宋体"/>
                <w:color w:val="auto"/>
                <w:kern w:val="0"/>
                <w:szCs w:val="21"/>
                <w:highlight w:val="none"/>
              </w:rPr>
            </w:pPr>
            <w:r>
              <w:rPr>
                <w:rFonts w:hint="eastAsia" w:cs="宋体"/>
                <w:color w:val="auto"/>
                <w:szCs w:val="21"/>
                <w:highlight w:val="none"/>
              </w:rPr>
              <w:t>②按照投标人须知前附表第1.4.2项第1条组成联合体投标的，以该条规定为准；按照投标人须知前附表第1.4.2项第2条组成联合体投标的，以联合体成员中信用综合评价等级最低的企业确定联合体投标人的</w:t>
            </w:r>
            <w:r>
              <w:rPr>
                <w:rFonts w:cs="宋体"/>
                <w:color w:val="auto"/>
                <w:szCs w:val="21"/>
                <w:highlight w:val="none"/>
              </w:rPr>
              <w:t>信用综合评价</w:t>
            </w:r>
            <w:r>
              <w:rPr>
                <w:rFonts w:hint="eastAsia" w:cs="宋体"/>
                <w:color w:val="auto"/>
                <w:szCs w:val="21"/>
                <w:highlight w:val="none"/>
              </w:rPr>
              <w:t>得分（联合体成员中信用综合评价等级相同的，按</w:t>
            </w:r>
            <w:r>
              <w:rPr>
                <w:rFonts w:cs="宋体"/>
                <w:color w:val="auto"/>
                <w:szCs w:val="21"/>
                <w:highlight w:val="none"/>
              </w:rPr>
              <w:t>信用综合评价</w:t>
            </w:r>
            <w:r>
              <w:rPr>
                <w:rFonts w:hint="eastAsia" w:cs="宋体"/>
                <w:color w:val="auto"/>
                <w:szCs w:val="21"/>
                <w:highlight w:val="none"/>
              </w:rPr>
              <w:t>得分最低的成员确定联合体投标人的</w:t>
            </w:r>
            <w:r>
              <w:rPr>
                <w:rFonts w:cs="宋体"/>
                <w:color w:val="auto"/>
                <w:szCs w:val="21"/>
                <w:highlight w:val="none"/>
              </w:rPr>
              <w:t>信用综合评价</w:t>
            </w:r>
            <w:r>
              <w:rPr>
                <w:rFonts w:hint="eastAsia" w:cs="宋体"/>
                <w:color w:val="auto"/>
                <w:szCs w:val="21"/>
                <w:highlight w:val="none"/>
              </w:rPr>
              <w:t>得分）。</w:t>
            </w:r>
          </w:p>
          <w:p>
            <w:pPr>
              <w:spacing w:line="300" w:lineRule="auto"/>
              <w:ind w:firstLine="420" w:firstLineChars="200"/>
              <w:rPr>
                <w:rFonts w:cs="宋体"/>
                <w:color w:val="auto"/>
                <w:kern w:val="1"/>
                <w:sz w:val="21"/>
                <w:szCs w:val="21"/>
                <w:highlight w:val="none"/>
              </w:rPr>
            </w:pPr>
            <w:r>
              <w:rPr>
                <w:rFonts w:hint="eastAsia" w:cs="宋体"/>
                <w:color w:val="auto"/>
                <w:kern w:val="1"/>
                <w:sz w:val="21"/>
                <w:szCs w:val="21"/>
                <w:highlight w:val="none"/>
              </w:rPr>
              <w:t>5.出现下列情形应当</w:t>
            </w:r>
            <w:r>
              <w:rPr>
                <w:rFonts w:hint="eastAsia" w:cs="宋体"/>
                <w:color w:val="auto"/>
                <w:sz w:val="21"/>
                <w:szCs w:val="21"/>
                <w:highlight w:val="none"/>
              </w:rPr>
              <w:t>增补入围投标人：</w:t>
            </w:r>
          </w:p>
          <w:p>
            <w:pPr>
              <w:spacing w:line="300" w:lineRule="auto"/>
              <w:ind w:firstLine="420" w:firstLineChars="200"/>
              <w:rPr>
                <w:rFonts w:cs="宋体"/>
                <w:color w:val="auto"/>
                <w:kern w:val="1"/>
                <w:sz w:val="21"/>
                <w:szCs w:val="21"/>
                <w:highlight w:val="none"/>
              </w:rPr>
            </w:pPr>
            <w:r>
              <w:rPr>
                <w:rFonts w:hint="eastAsia" w:cs="宋体"/>
                <w:color w:val="auto"/>
                <w:kern w:val="1"/>
                <w:sz w:val="21"/>
                <w:szCs w:val="21"/>
                <w:highlight w:val="none"/>
              </w:rPr>
              <w:t>5.1按照第1项与第2项规定确定的入围投标人中最高投标报价与最低投标报价的差值÷招标项目最高投标报价限价×100%的计算结果（保留至小数点后一位，第二位及以后不计）小于1.0%时，视为入围投标人只占用一个入围名额，在按照第1项、第2项与第4项规定未被确定为入围投标人的剩余投标人中按以下规定增补入围投标人：</w:t>
            </w:r>
          </w:p>
          <w:p>
            <w:pPr>
              <w:spacing w:line="300" w:lineRule="auto"/>
              <w:ind w:firstLine="420" w:firstLineChars="200"/>
              <w:rPr>
                <w:rFonts w:cs="宋体"/>
                <w:color w:val="auto"/>
                <w:kern w:val="1"/>
                <w:sz w:val="21"/>
                <w:szCs w:val="21"/>
                <w:highlight w:val="none"/>
              </w:rPr>
            </w:pPr>
            <w:r>
              <w:rPr>
                <w:rFonts w:hint="eastAsia" w:cs="宋体"/>
                <w:color w:val="auto"/>
                <w:kern w:val="1"/>
                <w:sz w:val="21"/>
                <w:szCs w:val="21"/>
                <w:highlight w:val="none"/>
              </w:rPr>
              <w:t>（1）A类工程（同2.1项）</w:t>
            </w:r>
          </w:p>
          <w:p>
            <w:pPr>
              <w:spacing w:line="300" w:lineRule="auto"/>
              <w:ind w:firstLine="420" w:firstLineChars="200"/>
              <w:rPr>
                <w:rFonts w:cs="宋体"/>
                <w:color w:val="auto"/>
                <w:kern w:val="1"/>
                <w:sz w:val="21"/>
                <w:szCs w:val="21"/>
                <w:highlight w:val="none"/>
              </w:rPr>
            </w:pPr>
            <w:r>
              <w:rPr>
                <w:rFonts w:hint="eastAsia" w:cs="宋体"/>
                <w:color w:val="auto"/>
                <w:kern w:val="1"/>
                <w:sz w:val="21"/>
                <w:szCs w:val="21"/>
                <w:highlight w:val="none"/>
              </w:rPr>
              <w:t>从</w:t>
            </w:r>
            <w:r>
              <w:rPr>
                <w:rFonts w:cs="宋体"/>
                <w:color w:val="auto"/>
                <w:kern w:val="1"/>
                <w:sz w:val="21"/>
                <w:szCs w:val="21"/>
                <w:highlight w:val="none"/>
              </w:rPr>
              <w:t>最近期的厦门市建筑施工企业信用综合评价结果的评价等级为A的投标人中按投标报价由低往高进行报价排序</w:t>
            </w:r>
            <w:r>
              <w:rPr>
                <w:rFonts w:hint="eastAsia" w:cs="宋体"/>
                <w:color w:val="auto"/>
                <w:kern w:val="1"/>
                <w:sz w:val="21"/>
                <w:szCs w:val="21"/>
                <w:highlight w:val="none"/>
              </w:rPr>
              <w:t>，依序选取19家投标人增补为入围投标人。</w:t>
            </w:r>
            <w:r>
              <w:rPr>
                <w:rFonts w:cs="宋体"/>
                <w:color w:val="auto"/>
                <w:kern w:val="1"/>
                <w:sz w:val="21"/>
                <w:szCs w:val="21"/>
                <w:highlight w:val="none"/>
              </w:rPr>
              <w:t>A等级的投标人数量不足</w:t>
            </w:r>
            <w:r>
              <w:rPr>
                <w:rFonts w:hint="eastAsia" w:cs="宋体"/>
                <w:color w:val="auto"/>
                <w:kern w:val="1"/>
                <w:sz w:val="21"/>
                <w:szCs w:val="21"/>
                <w:highlight w:val="none"/>
              </w:rPr>
              <w:t>19</w:t>
            </w:r>
            <w:r>
              <w:rPr>
                <w:rFonts w:cs="宋体"/>
                <w:color w:val="auto"/>
                <w:kern w:val="1"/>
                <w:sz w:val="21"/>
                <w:szCs w:val="21"/>
                <w:highlight w:val="none"/>
              </w:rPr>
              <w:t>家的，再从BB+等级投标人中按投标报价由低往高排序并依</w:t>
            </w:r>
            <w:r>
              <w:rPr>
                <w:rFonts w:hint="eastAsia" w:cs="宋体"/>
                <w:color w:val="auto"/>
                <w:kern w:val="1"/>
                <w:sz w:val="21"/>
                <w:szCs w:val="21"/>
                <w:highlight w:val="none"/>
              </w:rPr>
              <w:t>序补足至19</w:t>
            </w:r>
            <w:r>
              <w:rPr>
                <w:rFonts w:cs="宋体"/>
                <w:color w:val="auto"/>
                <w:kern w:val="1"/>
                <w:sz w:val="21"/>
                <w:szCs w:val="21"/>
                <w:highlight w:val="none"/>
              </w:rPr>
              <w:t>家</w:t>
            </w:r>
            <w:r>
              <w:rPr>
                <w:rFonts w:hint="eastAsia" w:cs="宋体"/>
                <w:color w:val="auto"/>
                <w:kern w:val="1"/>
                <w:sz w:val="21"/>
                <w:szCs w:val="21"/>
                <w:highlight w:val="none"/>
              </w:rPr>
              <w:t>。</w:t>
            </w:r>
          </w:p>
          <w:p>
            <w:pPr>
              <w:spacing w:line="300" w:lineRule="auto"/>
              <w:ind w:firstLine="420" w:firstLineChars="200"/>
              <w:rPr>
                <w:rFonts w:cs="宋体"/>
                <w:color w:val="auto"/>
                <w:kern w:val="1"/>
                <w:sz w:val="21"/>
                <w:szCs w:val="21"/>
                <w:highlight w:val="none"/>
              </w:rPr>
            </w:pPr>
            <w:r>
              <w:rPr>
                <w:rFonts w:hint="eastAsia" w:cs="宋体"/>
                <w:color w:val="auto"/>
                <w:kern w:val="1"/>
                <w:sz w:val="21"/>
                <w:szCs w:val="21"/>
                <w:highlight w:val="none"/>
              </w:rPr>
              <w:t>投标报价与本项增补入围投标人中最高投标报价相同的投标人，一并增补为入围投标人。</w:t>
            </w:r>
          </w:p>
          <w:p>
            <w:pPr>
              <w:pStyle w:val="59"/>
              <w:spacing w:after="0" w:line="300" w:lineRule="auto"/>
              <w:ind w:left="0" w:firstLineChars="200"/>
              <w:rPr>
                <w:rFonts w:ascii="宋体" w:hAnsi="宋体" w:cs="宋体"/>
                <w:color w:val="auto"/>
                <w:szCs w:val="21"/>
                <w:highlight w:val="none"/>
              </w:rPr>
            </w:pPr>
            <w:r>
              <w:rPr>
                <w:rFonts w:hint="eastAsia" w:ascii="宋体" w:hAnsi="宋体" w:cs="宋体"/>
                <w:color w:val="auto"/>
                <w:szCs w:val="21"/>
                <w:highlight w:val="none"/>
              </w:rPr>
              <w:t>（2）B类工程（同2.2项）</w:t>
            </w:r>
          </w:p>
          <w:p>
            <w:pPr>
              <w:pStyle w:val="59"/>
              <w:spacing w:after="0" w:line="300" w:lineRule="auto"/>
              <w:ind w:left="0" w:firstLineChars="200"/>
              <w:rPr>
                <w:rFonts w:cs="宋体"/>
                <w:color w:val="auto"/>
                <w:szCs w:val="21"/>
                <w:highlight w:val="none"/>
              </w:rPr>
            </w:pPr>
            <w:r>
              <w:rPr>
                <w:rFonts w:hint="eastAsia" w:cs="宋体"/>
                <w:color w:val="auto"/>
                <w:szCs w:val="21"/>
                <w:highlight w:val="none"/>
              </w:rPr>
              <w:t>从</w:t>
            </w:r>
            <w:r>
              <w:rPr>
                <w:rFonts w:cs="宋体"/>
                <w:color w:val="auto"/>
                <w:szCs w:val="21"/>
                <w:highlight w:val="none"/>
              </w:rPr>
              <w:t>最近期的厦门市建筑施工企业信用综合评价结果的评价等级为</w:t>
            </w:r>
            <w:r>
              <w:rPr>
                <w:rFonts w:hint="eastAsia" w:cs="宋体"/>
                <w:color w:val="auto"/>
                <w:szCs w:val="21"/>
                <w:highlight w:val="none"/>
              </w:rPr>
              <w:t>BB+及以上</w:t>
            </w:r>
            <w:r>
              <w:rPr>
                <w:rFonts w:cs="宋体"/>
                <w:color w:val="auto"/>
                <w:szCs w:val="21"/>
                <w:highlight w:val="none"/>
              </w:rPr>
              <w:t>的投标人中按投标报价由低往高进行报价排序</w:t>
            </w:r>
            <w:r>
              <w:rPr>
                <w:rFonts w:hint="eastAsia" w:cs="宋体"/>
                <w:color w:val="auto"/>
                <w:szCs w:val="21"/>
                <w:highlight w:val="none"/>
              </w:rPr>
              <w:t>，依序选取19家投标人增补为入围投标人。</w:t>
            </w:r>
          </w:p>
          <w:p>
            <w:pPr>
              <w:spacing w:line="300" w:lineRule="auto"/>
              <w:ind w:firstLine="420" w:firstLineChars="200"/>
              <w:rPr>
                <w:rFonts w:cs="宋体"/>
                <w:color w:val="auto"/>
                <w:kern w:val="1"/>
                <w:sz w:val="21"/>
                <w:szCs w:val="21"/>
                <w:highlight w:val="none"/>
              </w:rPr>
            </w:pPr>
            <w:r>
              <w:rPr>
                <w:rFonts w:hint="eastAsia" w:cs="宋体"/>
                <w:color w:val="auto"/>
                <w:kern w:val="1"/>
                <w:sz w:val="21"/>
                <w:szCs w:val="21"/>
                <w:highlight w:val="none"/>
              </w:rPr>
              <w:t>投标报价与本项增补入围投标人中最高投标报价相同的投标人，一并增补为入围投标人。</w:t>
            </w:r>
          </w:p>
          <w:p>
            <w:pPr>
              <w:pStyle w:val="59"/>
              <w:spacing w:after="0" w:line="300" w:lineRule="auto"/>
              <w:ind w:left="0" w:firstLineChars="200"/>
              <w:rPr>
                <w:rFonts w:ascii="宋体" w:hAnsi="宋体" w:cs="宋体"/>
                <w:color w:val="auto"/>
                <w:kern w:val="0"/>
                <w:szCs w:val="21"/>
                <w:highlight w:val="none"/>
              </w:rPr>
            </w:pPr>
            <w:r>
              <w:rPr>
                <w:rFonts w:hint="eastAsia" w:cs="宋体"/>
                <w:color w:val="auto"/>
                <w:szCs w:val="21"/>
                <w:highlight w:val="none"/>
              </w:rPr>
              <w:t>（3）</w:t>
            </w:r>
            <w:r>
              <w:rPr>
                <w:rFonts w:hint="eastAsia" w:ascii="宋体" w:hAnsi="宋体" w:cs="宋体"/>
                <w:color w:val="auto"/>
                <w:kern w:val="0"/>
                <w:szCs w:val="21"/>
                <w:highlight w:val="none"/>
              </w:rPr>
              <w:t>按照投标人须知前附表第1.4.2项第1条组成联合体投标的，以该条规定为准；按照投标人须知前附表第1.4.2项第2条组成联合体投标的，以联合体成员中信用综合评价等级最低的成员确定联合体投标人的信用综合评价等级。</w:t>
            </w:r>
          </w:p>
          <w:p>
            <w:pPr>
              <w:spacing w:line="300" w:lineRule="auto"/>
              <w:ind w:firstLine="420" w:firstLineChars="200"/>
              <w:rPr>
                <w:rFonts w:cs="宋体"/>
                <w:color w:val="auto"/>
                <w:kern w:val="1"/>
                <w:sz w:val="21"/>
                <w:szCs w:val="21"/>
                <w:highlight w:val="none"/>
              </w:rPr>
            </w:pPr>
            <w:r>
              <w:rPr>
                <w:rFonts w:hint="eastAsia" w:cs="宋体"/>
                <w:color w:val="auto"/>
                <w:kern w:val="1"/>
                <w:sz w:val="21"/>
                <w:szCs w:val="21"/>
                <w:highlight w:val="none"/>
              </w:rPr>
              <w:t>（4）按照第1项、第2项与第4项规定未被确定为入围投标人的剩余投标人不足19家的，按实际数量全部增补为入围投标人。</w:t>
            </w:r>
          </w:p>
          <w:p>
            <w:pPr>
              <w:spacing w:line="300" w:lineRule="auto"/>
              <w:ind w:firstLine="420" w:firstLineChars="200"/>
              <w:rPr>
                <w:rFonts w:cs="宋体"/>
                <w:color w:val="auto"/>
                <w:kern w:val="1"/>
                <w:sz w:val="21"/>
                <w:szCs w:val="21"/>
                <w:highlight w:val="none"/>
              </w:rPr>
            </w:pPr>
            <w:r>
              <w:rPr>
                <w:rFonts w:hint="eastAsia" w:cs="宋体"/>
                <w:color w:val="auto"/>
                <w:kern w:val="1"/>
                <w:sz w:val="21"/>
                <w:szCs w:val="21"/>
                <w:highlight w:val="none"/>
              </w:rPr>
              <w:t>5.2按照第1项与第2项规定确定的入围投标人中，每出现一次任意一家入围投标人投标报价与其报价</w:t>
            </w:r>
            <w:r>
              <w:rPr>
                <w:rFonts w:cs="宋体"/>
                <w:color w:val="auto"/>
                <w:kern w:val="1"/>
                <w:sz w:val="21"/>
                <w:szCs w:val="21"/>
                <w:highlight w:val="none"/>
              </w:rPr>
              <w:t>排序在前一家的入围投标人投标报价的差值</w:t>
            </w:r>
            <w:r>
              <w:rPr>
                <w:rFonts w:hint="eastAsia" w:cs="宋体"/>
                <w:color w:val="auto"/>
                <w:kern w:val="1"/>
                <w:sz w:val="21"/>
                <w:szCs w:val="21"/>
                <w:highlight w:val="none"/>
              </w:rPr>
              <w:t>÷</w:t>
            </w:r>
            <w:r>
              <w:rPr>
                <w:rFonts w:cs="宋体"/>
                <w:color w:val="auto"/>
                <w:kern w:val="1"/>
                <w:sz w:val="21"/>
                <w:szCs w:val="21"/>
                <w:highlight w:val="none"/>
              </w:rPr>
              <w:t>招标项目最高投标报价限价</w:t>
            </w:r>
            <w:r>
              <w:rPr>
                <w:rFonts w:hint="eastAsia" w:cs="宋体"/>
                <w:color w:val="auto"/>
                <w:kern w:val="1"/>
                <w:sz w:val="21"/>
                <w:szCs w:val="21"/>
                <w:highlight w:val="none"/>
              </w:rPr>
              <w:t>×</w:t>
            </w:r>
            <w:r>
              <w:rPr>
                <w:rFonts w:cs="宋体"/>
                <w:color w:val="auto"/>
                <w:kern w:val="1"/>
                <w:sz w:val="21"/>
                <w:szCs w:val="21"/>
                <w:highlight w:val="none"/>
              </w:rPr>
              <w:t>100%</w:t>
            </w:r>
            <w:r>
              <w:rPr>
                <w:rFonts w:hint="eastAsia" w:cs="宋体"/>
                <w:color w:val="auto"/>
                <w:kern w:val="1"/>
                <w:sz w:val="21"/>
                <w:szCs w:val="21"/>
                <w:highlight w:val="none"/>
              </w:rPr>
              <w:t>的计算结果（保留至小数点后二位，第三位及以后不计）小于</w:t>
            </w:r>
            <w:r>
              <w:rPr>
                <w:rFonts w:cs="宋体"/>
                <w:color w:val="auto"/>
                <w:kern w:val="1"/>
                <w:sz w:val="21"/>
                <w:szCs w:val="21"/>
                <w:highlight w:val="none"/>
              </w:rPr>
              <w:t>0.1%</w:t>
            </w:r>
            <w:r>
              <w:rPr>
                <w:rFonts w:hint="eastAsia" w:cs="宋体"/>
                <w:color w:val="auto"/>
                <w:kern w:val="1"/>
                <w:sz w:val="21"/>
                <w:szCs w:val="21"/>
                <w:highlight w:val="none"/>
              </w:rPr>
              <w:t>之</w:t>
            </w:r>
            <w:r>
              <w:rPr>
                <w:rFonts w:cs="宋体"/>
                <w:color w:val="auto"/>
                <w:kern w:val="1"/>
                <w:sz w:val="21"/>
                <w:szCs w:val="21"/>
                <w:highlight w:val="none"/>
              </w:rPr>
              <w:t>情形的</w:t>
            </w:r>
            <w:r>
              <w:rPr>
                <w:rFonts w:hint="eastAsia" w:cs="宋体"/>
                <w:color w:val="auto"/>
                <w:kern w:val="1"/>
                <w:sz w:val="21"/>
                <w:szCs w:val="21"/>
                <w:highlight w:val="none"/>
              </w:rPr>
              <w:t>，则在按照第1项、第2项、第4项以及第5.1项规定未被确定为入围投标人的剩余投标人中，按以下规定增补相应数量入围投标人：</w:t>
            </w:r>
          </w:p>
          <w:p>
            <w:pPr>
              <w:spacing w:line="300" w:lineRule="auto"/>
              <w:ind w:firstLine="420" w:firstLineChars="200"/>
              <w:rPr>
                <w:rFonts w:cs="宋体"/>
                <w:color w:val="auto"/>
                <w:kern w:val="1"/>
                <w:sz w:val="21"/>
                <w:szCs w:val="21"/>
                <w:highlight w:val="none"/>
              </w:rPr>
            </w:pPr>
            <w:r>
              <w:rPr>
                <w:rFonts w:hint="eastAsia" w:cs="宋体"/>
                <w:color w:val="auto"/>
                <w:kern w:val="1"/>
                <w:sz w:val="21"/>
                <w:szCs w:val="21"/>
                <w:highlight w:val="none"/>
              </w:rPr>
              <w:t>（1）A类工程（同2.1项）</w:t>
            </w:r>
          </w:p>
          <w:p>
            <w:pPr>
              <w:pStyle w:val="59"/>
              <w:spacing w:after="0" w:line="300" w:lineRule="auto"/>
              <w:ind w:left="0" w:firstLine="0"/>
              <w:rPr>
                <w:color w:val="auto"/>
                <w:highlight w:val="none"/>
              </w:rPr>
            </w:pPr>
            <w:r>
              <w:rPr>
                <w:rFonts w:hint="eastAsia"/>
                <w:color w:val="auto"/>
                <w:highlight w:val="none"/>
              </w:rPr>
              <w:t xml:space="preserve">    </w:t>
            </w:r>
            <w:r>
              <w:rPr>
                <w:rFonts w:hint="eastAsia" w:cs="宋体"/>
                <w:color w:val="auto"/>
                <w:szCs w:val="21"/>
                <w:highlight w:val="none"/>
              </w:rPr>
              <w:t>从</w:t>
            </w:r>
            <w:r>
              <w:rPr>
                <w:rFonts w:cs="宋体"/>
                <w:color w:val="auto"/>
                <w:szCs w:val="21"/>
                <w:highlight w:val="none"/>
              </w:rPr>
              <w:t>最近期的厦门市建筑施工企业信用综合评价结果的评价等级为A的投标人中按投标报价由低往高进行报价排序</w:t>
            </w:r>
            <w:r>
              <w:rPr>
                <w:rFonts w:hint="eastAsia" w:cs="宋体"/>
                <w:color w:val="auto"/>
                <w:szCs w:val="21"/>
                <w:highlight w:val="none"/>
              </w:rPr>
              <w:t>，依序增补相应数量入围投标人，</w:t>
            </w:r>
            <w:r>
              <w:rPr>
                <w:rFonts w:cs="宋体"/>
                <w:color w:val="auto"/>
                <w:szCs w:val="21"/>
                <w:highlight w:val="none"/>
              </w:rPr>
              <w:t>A等级的投标人数量不足的，再从BB+等级投标人中按投标报价由低往高排序并依</w:t>
            </w:r>
            <w:r>
              <w:rPr>
                <w:rFonts w:hint="eastAsia" w:cs="宋体"/>
                <w:color w:val="auto"/>
                <w:szCs w:val="21"/>
                <w:highlight w:val="none"/>
              </w:rPr>
              <w:t>序增补相应数量入围投标人。</w:t>
            </w:r>
          </w:p>
          <w:p>
            <w:pPr>
              <w:spacing w:line="300" w:lineRule="auto"/>
              <w:ind w:firstLine="420" w:firstLineChars="200"/>
              <w:rPr>
                <w:rFonts w:cs="宋体"/>
                <w:color w:val="auto"/>
                <w:kern w:val="1"/>
                <w:sz w:val="21"/>
                <w:szCs w:val="21"/>
                <w:highlight w:val="none"/>
              </w:rPr>
            </w:pPr>
            <w:r>
              <w:rPr>
                <w:rFonts w:hint="eastAsia" w:cs="宋体"/>
                <w:color w:val="auto"/>
                <w:kern w:val="1"/>
                <w:sz w:val="21"/>
                <w:szCs w:val="21"/>
                <w:highlight w:val="none"/>
              </w:rPr>
              <w:t>投标报价与本项增补为入围投标人中最高投标报价相同的投标人，一并增补为入围投标人。</w:t>
            </w:r>
          </w:p>
          <w:p>
            <w:pPr>
              <w:spacing w:line="300" w:lineRule="auto"/>
              <w:ind w:firstLine="420" w:firstLineChars="200"/>
              <w:rPr>
                <w:rFonts w:cs="宋体"/>
                <w:color w:val="auto"/>
                <w:kern w:val="1"/>
                <w:sz w:val="21"/>
                <w:szCs w:val="21"/>
                <w:highlight w:val="none"/>
              </w:rPr>
            </w:pPr>
            <w:r>
              <w:rPr>
                <w:rFonts w:hint="eastAsia" w:cs="宋体"/>
                <w:color w:val="auto"/>
                <w:kern w:val="1"/>
                <w:sz w:val="21"/>
                <w:szCs w:val="21"/>
                <w:highlight w:val="none"/>
              </w:rPr>
              <w:t>（2）B类工程（同2.2项）</w:t>
            </w:r>
          </w:p>
          <w:p>
            <w:pPr>
              <w:pStyle w:val="59"/>
              <w:spacing w:after="0" w:line="300" w:lineRule="auto"/>
              <w:ind w:left="0" w:firstLine="0"/>
              <w:rPr>
                <w:color w:val="auto"/>
                <w:highlight w:val="none"/>
              </w:rPr>
            </w:pPr>
            <w:r>
              <w:rPr>
                <w:rFonts w:hint="eastAsia"/>
                <w:color w:val="auto"/>
                <w:highlight w:val="none"/>
              </w:rPr>
              <w:t xml:space="preserve">    </w:t>
            </w:r>
            <w:r>
              <w:rPr>
                <w:rFonts w:hint="eastAsia" w:cs="宋体"/>
                <w:color w:val="auto"/>
                <w:szCs w:val="21"/>
                <w:highlight w:val="none"/>
              </w:rPr>
              <w:t>从</w:t>
            </w:r>
            <w:r>
              <w:rPr>
                <w:rFonts w:cs="宋体"/>
                <w:color w:val="auto"/>
                <w:szCs w:val="21"/>
                <w:highlight w:val="none"/>
              </w:rPr>
              <w:t>最近期的厦门市建筑施工企业信用综合评价结果的评价等级为</w:t>
            </w:r>
            <w:r>
              <w:rPr>
                <w:rFonts w:hint="eastAsia" w:cs="宋体"/>
                <w:color w:val="auto"/>
                <w:szCs w:val="21"/>
                <w:highlight w:val="none"/>
              </w:rPr>
              <w:t>BB+及以上</w:t>
            </w:r>
            <w:r>
              <w:rPr>
                <w:rFonts w:cs="宋体"/>
                <w:color w:val="auto"/>
                <w:szCs w:val="21"/>
                <w:highlight w:val="none"/>
              </w:rPr>
              <w:t>的投标人中按投标报价由低往高进行报价排序</w:t>
            </w:r>
            <w:r>
              <w:rPr>
                <w:rFonts w:hint="eastAsia" w:cs="宋体"/>
                <w:color w:val="auto"/>
                <w:szCs w:val="21"/>
                <w:highlight w:val="none"/>
              </w:rPr>
              <w:t>，依序增补相应数量入围投标人。</w:t>
            </w:r>
          </w:p>
          <w:p>
            <w:pPr>
              <w:pStyle w:val="59"/>
              <w:spacing w:after="0" w:line="300" w:lineRule="auto"/>
              <w:ind w:left="0" w:firstLineChars="200"/>
              <w:rPr>
                <w:rFonts w:ascii="宋体" w:hAnsi="宋体" w:cs="宋体"/>
                <w:color w:val="auto"/>
                <w:kern w:val="0"/>
                <w:szCs w:val="21"/>
                <w:highlight w:val="none"/>
              </w:rPr>
            </w:pPr>
            <w:r>
              <w:rPr>
                <w:rFonts w:hint="eastAsia" w:cs="宋体"/>
                <w:color w:val="auto"/>
                <w:szCs w:val="21"/>
                <w:highlight w:val="none"/>
              </w:rPr>
              <w:t>（3）</w:t>
            </w:r>
            <w:r>
              <w:rPr>
                <w:rFonts w:hint="eastAsia" w:ascii="宋体" w:hAnsi="宋体" w:cs="宋体"/>
                <w:color w:val="auto"/>
                <w:kern w:val="0"/>
                <w:szCs w:val="21"/>
                <w:highlight w:val="none"/>
              </w:rPr>
              <w:t>按照投标人须知前附表第1.4.2项第1条组成联合体投标的，以该条规定为准；按照投标人须知前附表第1.4.2项第2条组成联合体投标的，以联合体成员中信用综合评价等级最低的成员确定联合体投标人的信用综合评价等级。</w:t>
            </w:r>
          </w:p>
          <w:p>
            <w:pPr>
              <w:spacing w:line="300" w:lineRule="auto"/>
              <w:ind w:firstLine="420" w:firstLineChars="200"/>
              <w:rPr>
                <w:rFonts w:cs="宋体"/>
                <w:color w:val="auto"/>
                <w:kern w:val="1"/>
                <w:sz w:val="21"/>
                <w:szCs w:val="21"/>
                <w:highlight w:val="none"/>
              </w:rPr>
            </w:pPr>
            <w:r>
              <w:rPr>
                <w:rFonts w:hint="eastAsia" w:cs="宋体"/>
                <w:color w:val="auto"/>
                <w:kern w:val="1"/>
                <w:sz w:val="21"/>
                <w:szCs w:val="21"/>
                <w:highlight w:val="none"/>
              </w:rPr>
              <w:t>（4）按照第1项、第2项、第4项以及第5.1项规定未被确定为入围投标人的剩余投标人数量不足的，剩余投标人全部增补为入围投标人。</w:t>
            </w:r>
          </w:p>
          <w:p>
            <w:pPr>
              <w:spacing w:line="300" w:lineRule="auto"/>
              <w:ind w:firstLine="420" w:firstLineChars="200"/>
              <w:rPr>
                <w:rFonts w:cs="宋体"/>
                <w:color w:val="auto"/>
                <w:kern w:val="1"/>
                <w:sz w:val="21"/>
                <w:szCs w:val="21"/>
                <w:highlight w:val="none"/>
              </w:rPr>
            </w:pPr>
            <w:r>
              <w:rPr>
                <w:rFonts w:hint="eastAsia" w:cs="宋体"/>
                <w:color w:val="auto"/>
                <w:kern w:val="1"/>
                <w:sz w:val="21"/>
                <w:szCs w:val="21"/>
                <w:highlight w:val="none"/>
              </w:rPr>
              <w:t>5.3信用因素增补入围投标人</w:t>
            </w:r>
          </w:p>
          <w:p>
            <w:pPr>
              <w:pStyle w:val="59"/>
              <w:spacing w:after="0" w:line="300" w:lineRule="auto"/>
              <w:ind w:left="0" w:firstLineChars="200"/>
              <w:rPr>
                <w:rFonts w:ascii="宋体" w:hAnsi="宋体" w:cs="宋体"/>
                <w:color w:val="auto"/>
                <w:kern w:val="0"/>
                <w:szCs w:val="21"/>
                <w:highlight w:val="none"/>
              </w:rPr>
            </w:pPr>
            <w:r>
              <w:rPr>
                <w:rFonts w:hint="eastAsia" w:ascii="宋体" w:hAnsi="宋体" w:cs="宋体"/>
                <w:color w:val="auto"/>
                <w:kern w:val="0"/>
                <w:szCs w:val="21"/>
                <w:highlight w:val="none"/>
              </w:rPr>
              <w:t>按照第1项、第2项、第4项、第5.1项以及第5.2项规定确定（或增补）的入围投标人中，</w:t>
            </w:r>
            <w:r>
              <w:rPr>
                <w:rFonts w:cs="宋体"/>
                <w:color w:val="auto"/>
                <w:szCs w:val="21"/>
                <w:highlight w:val="none"/>
              </w:rPr>
              <w:t>最近期的厦门市建筑施工企业信用综合评价结果的评价等级为A</w:t>
            </w:r>
            <w:r>
              <w:rPr>
                <w:rFonts w:ascii="宋体" w:hAnsi="宋体" w:cs="宋体"/>
                <w:color w:val="auto"/>
                <w:kern w:val="0"/>
                <w:szCs w:val="21"/>
                <w:highlight w:val="none"/>
              </w:rPr>
              <w:t>的投标人少于10家</w:t>
            </w:r>
            <w:r>
              <w:rPr>
                <w:rFonts w:hint="eastAsia" w:ascii="宋体" w:hAnsi="宋体" w:cs="宋体"/>
                <w:color w:val="auto"/>
                <w:kern w:val="0"/>
                <w:szCs w:val="21"/>
                <w:highlight w:val="none"/>
              </w:rPr>
              <w:t>时</w:t>
            </w:r>
            <w:r>
              <w:rPr>
                <w:rFonts w:ascii="宋体" w:hAnsi="宋体" w:cs="宋体"/>
                <w:color w:val="auto"/>
                <w:kern w:val="0"/>
                <w:szCs w:val="21"/>
                <w:highlight w:val="none"/>
              </w:rPr>
              <w:t>，</w:t>
            </w:r>
            <w:r>
              <w:rPr>
                <w:rFonts w:hint="eastAsia" w:ascii="宋体" w:hAnsi="宋体" w:cs="宋体"/>
                <w:color w:val="auto"/>
                <w:kern w:val="0"/>
                <w:szCs w:val="21"/>
                <w:highlight w:val="none"/>
              </w:rPr>
              <w:t>则在按照第1项、第2项、第4项、第5.1项以及第5.2项规定未被确定为入围投标人的剩余投标人中</w:t>
            </w:r>
            <w:r>
              <w:rPr>
                <w:rFonts w:ascii="宋体" w:hAnsi="宋体" w:cs="宋体"/>
                <w:color w:val="auto"/>
                <w:kern w:val="0"/>
                <w:szCs w:val="21"/>
                <w:highlight w:val="none"/>
              </w:rPr>
              <w:t>，</w:t>
            </w:r>
            <w:r>
              <w:rPr>
                <w:rFonts w:hint="eastAsia" w:ascii="宋体" w:hAnsi="宋体" w:cs="宋体"/>
                <w:color w:val="auto"/>
                <w:kern w:val="0"/>
                <w:szCs w:val="21"/>
                <w:highlight w:val="none"/>
              </w:rPr>
              <w:t>按报价排序依序选取具备A级别的投标人增补为入围投标人直至最终入围投标人中具备A级别的投标人满足</w:t>
            </w:r>
            <w:r>
              <w:rPr>
                <w:rFonts w:ascii="宋体" w:hAnsi="宋体" w:cs="宋体"/>
                <w:color w:val="auto"/>
                <w:kern w:val="0"/>
                <w:szCs w:val="21"/>
                <w:highlight w:val="none"/>
              </w:rPr>
              <w:t>10家</w:t>
            </w:r>
            <w:r>
              <w:rPr>
                <w:rFonts w:hint="eastAsia" w:ascii="宋体" w:hAnsi="宋体" w:cs="宋体"/>
                <w:color w:val="auto"/>
                <w:kern w:val="0"/>
                <w:szCs w:val="21"/>
                <w:highlight w:val="none"/>
              </w:rPr>
              <w:t>（不满足10家的，具备A级别的剩余投标人全部增补为入围投标人）。</w:t>
            </w:r>
          </w:p>
          <w:p>
            <w:pPr>
              <w:pStyle w:val="59"/>
              <w:spacing w:after="0" w:line="300" w:lineRule="auto"/>
              <w:ind w:left="0" w:firstLineChars="200"/>
              <w:rPr>
                <w:rFonts w:ascii="宋体" w:hAnsi="宋体" w:cs="宋体"/>
                <w:color w:val="auto"/>
                <w:kern w:val="0"/>
                <w:szCs w:val="21"/>
                <w:highlight w:val="none"/>
              </w:rPr>
            </w:pPr>
            <w:r>
              <w:rPr>
                <w:rFonts w:hint="eastAsia" w:ascii="宋体" w:hAnsi="宋体" w:cs="宋体"/>
                <w:color w:val="auto"/>
                <w:kern w:val="0"/>
                <w:szCs w:val="21"/>
                <w:highlight w:val="none"/>
              </w:rPr>
              <w:t>注：按照投标人须知前附表第1.4.2项第1条组成联合体投标的，以该条规定为准；按照投标人须知前附表第1.4.2项第2条组成联合体投标的，以联合体成员中信用综合评价等级最低的成员确定联合体投标人的信用综合评价等级。</w:t>
            </w:r>
          </w:p>
          <w:p>
            <w:pPr>
              <w:spacing w:line="300" w:lineRule="auto"/>
              <w:ind w:firstLine="420" w:firstLineChars="200"/>
              <w:rPr>
                <w:color w:val="auto"/>
                <w:kern w:val="1"/>
                <w:sz w:val="21"/>
                <w:szCs w:val="21"/>
                <w:highlight w:val="none"/>
                <w:lang w:val="zh-CN"/>
              </w:rPr>
            </w:pPr>
            <w:r>
              <w:rPr>
                <w:rFonts w:hint="eastAsia"/>
                <w:color w:val="auto"/>
                <w:kern w:val="1"/>
                <w:sz w:val="21"/>
                <w:szCs w:val="21"/>
                <w:highlight w:val="none"/>
                <w:lang w:val="zh-CN"/>
              </w:rPr>
              <w:t>6.招标人将资格审查程序先于确定入围投标人程序的，</w:t>
            </w:r>
            <w:r>
              <w:rPr>
                <w:rFonts w:hint="eastAsia" w:cs="宋体"/>
                <w:color w:val="auto"/>
                <w:kern w:val="1"/>
                <w:sz w:val="21"/>
                <w:szCs w:val="21"/>
                <w:highlight w:val="none"/>
              </w:rPr>
              <w:t>“投标人”指资格审查合格的投标人。</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c>
          <w:tcPr>
            <w:tcW w:w="710" w:type="dxa"/>
            <w:vMerge w:val="restart"/>
            <w:tcBorders>
              <w:right w:val="single" w:color="auto" w:sz="4" w:space="0"/>
            </w:tcBorders>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2</w:t>
            </w:r>
          </w:p>
        </w:tc>
        <w:tc>
          <w:tcPr>
            <w:tcW w:w="850" w:type="dxa"/>
            <w:vMerge w:val="restart"/>
            <w:tcBorders>
              <w:right w:val="single" w:color="auto" w:sz="4" w:space="0"/>
            </w:tcBorders>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3.4</w:t>
            </w:r>
          </w:p>
        </w:tc>
        <w:tc>
          <w:tcPr>
            <w:tcW w:w="1134" w:type="dxa"/>
            <w:vMerge w:val="restart"/>
            <w:tcBorders>
              <w:left w:val="single" w:color="auto" w:sz="4" w:space="0"/>
              <w:right w:val="single" w:color="auto" w:sz="4" w:space="0"/>
            </w:tcBorders>
            <w:vAlign w:val="center"/>
          </w:tcPr>
          <w:p>
            <w:pPr>
              <w:spacing w:line="300" w:lineRule="auto"/>
              <w:jc w:val="left"/>
              <w:rPr>
                <w:rFonts w:cs="宋体"/>
                <w:color w:val="auto"/>
                <w:kern w:val="1"/>
                <w:sz w:val="21"/>
                <w:szCs w:val="21"/>
                <w:highlight w:val="none"/>
              </w:rPr>
            </w:pPr>
            <w:r>
              <w:rPr>
                <w:rFonts w:cs="宋体"/>
                <w:color w:val="auto"/>
                <w:kern w:val="1"/>
                <w:sz w:val="21"/>
                <w:szCs w:val="21"/>
                <w:highlight w:val="none"/>
              </w:rPr>
              <w:t>资格审查</w:t>
            </w:r>
          </w:p>
        </w:tc>
        <w:tc>
          <w:tcPr>
            <w:tcW w:w="1701" w:type="dxa"/>
            <w:gridSpan w:val="2"/>
            <w:tcBorders>
              <w:left w:val="single" w:color="auto" w:sz="4" w:space="0"/>
            </w:tcBorders>
            <w:vAlign w:val="center"/>
          </w:tcPr>
          <w:p>
            <w:pPr>
              <w:autoSpaceDE w:val="0"/>
              <w:autoSpaceDN w:val="0"/>
              <w:spacing w:line="300" w:lineRule="auto"/>
              <w:jc w:val="center"/>
              <w:rPr>
                <w:rFonts w:cs="宋体"/>
                <w:color w:val="auto"/>
                <w:kern w:val="1"/>
                <w:sz w:val="21"/>
                <w:szCs w:val="21"/>
                <w:highlight w:val="none"/>
                <w:lang w:val="zh-CN" w:bidi="zh-CN"/>
              </w:rPr>
            </w:pPr>
            <w:r>
              <w:rPr>
                <w:rFonts w:cs="宋体"/>
                <w:color w:val="auto"/>
                <w:kern w:val="1"/>
                <w:sz w:val="21"/>
                <w:szCs w:val="21"/>
                <w:highlight w:val="none"/>
                <w:lang w:val="zh-CN" w:bidi="zh-CN"/>
              </w:rPr>
              <w:t>投标人名称</w:t>
            </w:r>
          </w:p>
        </w:tc>
        <w:tc>
          <w:tcPr>
            <w:tcW w:w="5387" w:type="dxa"/>
            <w:vAlign w:val="center"/>
          </w:tcPr>
          <w:p>
            <w:pPr>
              <w:autoSpaceDE w:val="0"/>
              <w:autoSpaceDN w:val="0"/>
              <w:spacing w:line="300" w:lineRule="auto"/>
              <w:ind w:firstLine="420" w:firstLineChars="200"/>
              <w:jc w:val="left"/>
              <w:rPr>
                <w:rFonts w:cs="宋体"/>
                <w:color w:val="auto"/>
                <w:kern w:val="1"/>
                <w:sz w:val="21"/>
                <w:szCs w:val="21"/>
                <w:highlight w:val="none"/>
                <w:lang w:val="zh-CN" w:bidi="zh-CN"/>
              </w:rPr>
            </w:pPr>
            <w:r>
              <w:rPr>
                <w:rFonts w:cs="宋体"/>
                <w:color w:val="auto"/>
                <w:sz w:val="21"/>
                <w:szCs w:val="21"/>
                <w:highlight w:val="none"/>
                <w:lang w:val="zh-CN" w:bidi="zh-CN"/>
              </w:rPr>
              <w:t>与营业执照、资质证书</w:t>
            </w:r>
            <w:r>
              <w:rPr>
                <w:rFonts w:hint="eastAsia" w:cs="宋体"/>
                <w:color w:val="auto"/>
                <w:sz w:val="21"/>
                <w:szCs w:val="21"/>
                <w:highlight w:val="none"/>
                <w:lang w:val="zh-CN" w:bidi="zh-CN"/>
              </w:rPr>
              <w:t>、安全生产许可证</w:t>
            </w:r>
            <w:r>
              <w:rPr>
                <w:rFonts w:cs="宋体"/>
                <w:color w:val="auto"/>
                <w:sz w:val="21"/>
                <w:szCs w:val="21"/>
                <w:highlight w:val="none"/>
                <w:lang w:val="zh-CN" w:bidi="zh-CN"/>
              </w:rPr>
              <w:t>一致</w:t>
            </w:r>
            <w:r>
              <w:rPr>
                <w:rFonts w:hint="eastAsia" w:cs="宋体"/>
                <w:color w:val="auto"/>
                <w:sz w:val="21"/>
                <w:szCs w:val="21"/>
                <w:highlight w:val="none"/>
                <w:lang w:val="zh-CN" w:bidi="zh-CN"/>
              </w:rPr>
              <w:t>。</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c>
          <w:tcPr>
            <w:tcW w:w="710" w:type="dxa"/>
            <w:vMerge w:val="continue"/>
            <w:tcBorders>
              <w:right w:val="single" w:color="auto" w:sz="4" w:space="0"/>
            </w:tcBorders>
            <w:vAlign w:val="center"/>
          </w:tcPr>
          <w:p>
            <w:pPr>
              <w:spacing w:line="300" w:lineRule="auto"/>
              <w:jc w:val="center"/>
              <w:rPr>
                <w:rFonts w:cs="宋体"/>
                <w:color w:val="auto"/>
                <w:kern w:val="1"/>
                <w:sz w:val="21"/>
                <w:szCs w:val="21"/>
                <w:highlight w:val="none"/>
              </w:rPr>
            </w:pPr>
          </w:p>
        </w:tc>
        <w:tc>
          <w:tcPr>
            <w:tcW w:w="850" w:type="dxa"/>
            <w:vMerge w:val="continue"/>
            <w:tcBorders>
              <w:right w:val="single" w:color="auto" w:sz="4" w:space="0"/>
            </w:tcBorders>
          </w:tcPr>
          <w:p>
            <w:pPr>
              <w:spacing w:line="300" w:lineRule="auto"/>
              <w:jc w:val="center"/>
              <w:rPr>
                <w:rFonts w:cs="宋体"/>
                <w:color w:val="auto"/>
                <w:kern w:val="1"/>
                <w:sz w:val="21"/>
                <w:szCs w:val="21"/>
                <w:highlight w:val="none"/>
              </w:rPr>
            </w:pPr>
          </w:p>
        </w:tc>
        <w:tc>
          <w:tcPr>
            <w:tcW w:w="1134" w:type="dxa"/>
            <w:vMerge w:val="continue"/>
            <w:tcBorders>
              <w:left w:val="single" w:color="auto" w:sz="4" w:space="0"/>
              <w:right w:val="single" w:color="auto" w:sz="4" w:space="0"/>
            </w:tcBorders>
            <w:vAlign w:val="center"/>
          </w:tcPr>
          <w:p>
            <w:pPr>
              <w:spacing w:line="300" w:lineRule="auto"/>
              <w:jc w:val="left"/>
              <w:rPr>
                <w:rFonts w:cs="宋体"/>
                <w:color w:val="auto"/>
                <w:kern w:val="1"/>
                <w:sz w:val="21"/>
                <w:szCs w:val="21"/>
                <w:highlight w:val="none"/>
              </w:rPr>
            </w:pPr>
          </w:p>
        </w:tc>
        <w:tc>
          <w:tcPr>
            <w:tcW w:w="1701" w:type="dxa"/>
            <w:gridSpan w:val="2"/>
            <w:tcBorders>
              <w:left w:val="single" w:color="auto" w:sz="4" w:space="0"/>
            </w:tcBorders>
            <w:vAlign w:val="center"/>
          </w:tcPr>
          <w:p>
            <w:pPr>
              <w:autoSpaceDE w:val="0"/>
              <w:autoSpaceDN w:val="0"/>
              <w:spacing w:line="300" w:lineRule="auto"/>
              <w:jc w:val="center"/>
              <w:rPr>
                <w:rFonts w:cs="宋体"/>
                <w:color w:val="auto"/>
                <w:kern w:val="1"/>
                <w:sz w:val="21"/>
                <w:szCs w:val="21"/>
                <w:highlight w:val="none"/>
              </w:rPr>
            </w:pPr>
            <w:r>
              <w:rPr>
                <w:rFonts w:hint="eastAsia" w:cs="宋体"/>
                <w:color w:val="auto"/>
                <w:kern w:val="1"/>
                <w:sz w:val="21"/>
                <w:szCs w:val="21"/>
                <w:highlight w:val="none"/>
              </w:rPr>
              <w:t>资格文件内容、格式与</w:t>
            </w:r>
            <w:r>
              <w:rPr>
                <w:rFonts w:hint="eastAsia" w:cs="宋体"/>
                <w:color w:val="auto"/>
                <w:sz w:val="21"/>
                <w:szCs w:val="21"/>
                <w:highlight w:val="none"/>
              </w:rPr>
              <w:t>签署</w:t>
            </w:r>
          </w:p>
        </w:tc>
        <w:tc>
          <w:tcPr>
            <w:tcW w:w="5387" w:type="dxa"/>
            <w:vAlign w:val="center"/>
          </w:tcPr>
          <w:p>
            <w:pPr>
              <w:autoSpaceDE w:val="0"/>
              <w:autoSpaceDN w:val="0"/>
              <w:spacing w:line="300" w:lineRule="auto"/>
              <w:ind w:firstLine="420" w:firstLineChars="200"/>
              <w:jc w:val="left"/>
              <w:rPr>
                <w:rFonts w:cs="宋体"/>
                <w:color w:val="auto"/>
                <w:kern w:val="1"/>
                <w:sz w:val="21"/>
                <w:szCs w:val="21"/>
                <w:highlight w:val="none"/>
              </w:rPr>
            </w:pPr>
            <w:r>
              <w:rPr>
                <w:rFonts w:hint="eastAsia" w:cs="宋体"/>
                <w:color w:val="auto"/>
                <w:kern w:val="1"/>
                <w:sz w:val="21"/>
                <w:szCs w:val="21"/>
                <w:highlight w:val="none"/>
              </w:rPr>
              <w:t>按照第九章“投标文件格式”的规定，完整提供了资格文件的全部内容并</w:t>
            </w:r>
            <w:r>
              <w:rPr>
                <w:rFonts w:hint="eastAsia" w:cs="宋体"/>
                <w:color w:val="auto"/>
                <w:sz w:val="21"/>
                <w:szCs w:val="21"/>
                <w:highlight w:val="none"/>
              </w:rPr>
              <w:t>按规定盖章或签字。</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c>
          <w:tcPr>
            <w:tcW w:w="710" w:type="dxa"/>
            <w:vMerge w:val="continue"/>
            <w:tcBorders>
              <w:right w:val="single" w:color="auto" w:sz="4" w:space="0"/>
            </w:tcBorders>
            <w:vAlign w:val="center"/>
          </w:tcPr>
          <w:p>
            <w:pPr>
              <w:spacing w:line="300" w:lineRule="auto"/>
              <w:jc w:val="center"/>
              <w:rPr>
                <w:rFonts w:cs="宋体"/>
                <w:color w:val="auto"/>
                <w:kern w:val="1"/>
                <w:sz w:val="21"/>
                <w:szCs w:val="21"/>
                <w:highlight w:val="none"/>
              </w:rPr>
            </w:pPr>
          </w:p>
        </w:tc>
        <w:tc>
          <w:tcPr>
            <w:tcW w:w="850" w:type="dxa"/>
            <w:vMerge w:val="continue"/>
            <w:tcBorders>
              <w:right w:val="single" w:color="auto" w:sz="4" w:space="0"/>
            </w:tcBorders>
          </w:tcPr>
          <w:p>
            <w:pPr>
              <w:spacing w:line="300" w:lineRule="auto"/>
              <w:jc w:val="center"/>
              <w:rPr>
                <w:rFonts w:cs="宋体"/>
                <w:color w:val="auto"/>
                <w:kern w:val="1"/>
                <w:sz w:val="21"/>
                <w:szCs w:val="21"/>
                <w:highlight w:val="none"/>
              </w:rPr>
            </w:pPr>
          </w:p>
        </w:tc>
        <w:tc>
          <w:tcPr>
            <w:tcW w:w="1134" w:type="dxa"/>
            <w:vMerge w:val="continue"/>
            <w:tcBorders>
              <w:left w:val="single" w:color="auto" w:sz="4" w:space="0"/>
              <w:right w:val="single" w:color="auto" w:sz="4" w:space="0"/>
            </w:tcBorders>
            <w:vAlign w:val="center"/>
          </w:tcPr>
          <w:p>
            <w:pPr>
              <w:spacing w:line="300" w:lineRule="auto"/>
              <w:jc w:val="left"/>
              <w:rPr>
                <w:rFonts w:cs="宋体"/>
                <w:color w:val="auto"/>
                <w:kern w:val="1"/>
                <w:sz w:val="21"/>
                <w:szCs w:val="21"/>
                <w:highlight w:val="none"/>
              </w:rPr>
            </w:pPr>
          </w:p>
        </w:tc>
        <w:tc>
          <w:tcPr>
            <w:tcW w:w="1701" w:type="dxa"/>
            <w:gridSpan w:val="2"/>
            <w:tcBorders>
              <w:left w:val="single" w:color="auto" w:sz="4" w:space="0"/>
            </w:tcBorders>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资格</w:t>
            </w:r>
            <w:r>
              <w:rPr>
                <w:rFonts w:cs="宋体"/>
                <w:color w:val="auto"/>
                <w:kern w:val="1"/>
                <w:sz w:val="21"/>
                <w:szCs w:val="21"/>
                <w:highlight w:val="none"/>
              </w:rPr>
              <w:t>文件文字、数据清晰程度</w:t>
            </w:r>
          </w:p>
        </w:tc>
        <w:tc>
          <w:tcPr>
            <w:tcW w:w="5387" w:type="dxa"/>
            <w:vAlign w:val="center"/>
          </w:tcPr>
          <w:p>
            <w:pPr>
              <w:spacing w:line="300" w:lineRule="auto"/>
              <w:ind w:firstLine="420" w:firstLineChars="200"/>
              <w:jc w:val="left"/>
              <w:rPr>
                <w:rFonts w:cs="宋体"/>
                <w:color w:val="auto"/>
                <w:kern w:val="1"/>
                <w:sz w:val="21"/>
                <w:szCs w:val="21"/>
                <w:highlight w:val="none"/>
              </w:rPr>
            </w:pPr>
            <w:r>
              <w:rPr>
                <w:rFonts w:hint="eastAsia" w:cs="宋体"/>
                <w:color w:val="auto"/>
                <w:kern w:val="1"/>
                <w:sz w:val="21"/>
                <w:szCs w:val="21"/>
                <w:highlight w:val="none"/>
              </w:rPr>
              <w:t>资格</w:t>
            </w:r>
            <w:r>
              <w:rPr>
                <w:rFonts w:cs="宋体"/>
                <w:color w:val="auto"/>
                <w:kern w:val="1"/>
                <w:sz w:val="21"/>
                <w:szCs w:val="21"/>
                <w:highlight w:val="none"/>
              </w:rPr>
              <w:t>文件中涉及关键性或实质性的文字、数据未被三分之二及以上的</w:t>
            </w:r>
            <w:r>
              <w:rPr>
                <w:rFonts w:hint="eastAsia" w:cs="宋体"/>
                <w:color w:val="auto"/>
                <w:kern w:val="1"/>
                <w:sz w:val="21"/>
                <w:szCs w:val="21"/>
                <w:highlight w:val="none"/>
              </w:rPr>
              <w:t>资格</w:t>
            </w:r>
            <w:r>
              <w:rPr>
                <w:rFonts w:cs="宋体"/>
                <w:color w:val="auto"/>
                <w:kern w:val="1"/>
                <w:sz w:val="21"/>
                <w:szCs w:val="21"/>
                <w:highlight w:val="none"/>
              </w:rPr>
              <w:t>审查委员会成员认为模糊辨认不清。</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c>
          <w:tcPr>
            <w:tcW w:w="710" w:type="dxa"/>
            <w:vMerge w:val="continue"/>
            <w:tcBorders>
              <w:right w:val="single" w:color="auto" w:sz="4" w:space="0"/>
            </w:tcBorders>
            <w:vAlign w:val="center"/>
          </w:tcPr>
          <w:p>
            <w:pPr>
              <w:spacing w:line="300" w:lineRule="auto"/>
              <w:jc w:val="center"/>
              <w:rPr>
                <w:rFonts w:cs="宋体"/>
                <w:color w:val="auto"/>
                <w:kern w:val="1"/>
                <w:sz w:val="21"/>
                <w:szCs w:val="21"/>
                <w:highlight w:val="none"/>
              </w:rPr>
            </w:pPr>
          </w:p>
        </w:tc>
        <w:tc>
          <w:tcPr>
            <w:tcW w:w="850" w:type="dxa"/>
            <w:vMerge w:val="continue"/>
            <w:tcBorders>
              <w:right w:val="single" w:color="auto" w:sz="4" w:space="0"/>
            </w:tcBorders>
          </w:tcPr>
          <w:p>
            <w:pPr>
              <w:spacing w:line="300" w:lineRule="auto"/>
              <w:jc w:val="center"/>
              <w:rPr>
                <w:rFonts w:cs="宋体"/>
                <w:color w:val="auto"/>
                <w:kern w:val="1"/>
                <w:sz w:val="21"/>
                <w:szCs w:val="21"/>
                <w:highlight w:val="none"/>
              </w:rPr>
            </w:pPr>
          </w:p>
        </w:tc>
        <w:tc>
          <w:tcPr>
            <w:tcW w:w="1134" w:type="dxa"/>
            <w:vMerge w:val="continue"/>
            <w:tcBorders>
              <w:left w:val="single" w:color="auto" w:sz="4" w:space="0"/>
              <w:right w:val="single" w:color="auto" w:sz="4" w:space="0"/>
            </w:tcBorders>
            <w:vAlign w:val="center"/>
          </w:tcPr>
          <w:p>
            <w:pPr>
              <w:spacing w:line="300" w:lineRule="auto"/>
              <w:jc w:val="left"/>
              <w:rPr>
                <w:rFonts w:cs="宋体"/>
                <w:color w:val="auto"/>
                <w:kern w:val="1"/>
                <w:sz w:val="21"/>
                <w:szCs w:val="21"/>
                <w:highlight w:val="none"/>
              </w:rPr>
            </w:pPr>
          </w:p>
        </w:tc>
        <w:tc>
          <w:tcPr>
            <w:tcW w:w="1701" w:type="dxa"/>
            <w:gridSpan w:val="2"/>
            <w:tcBorders>
              <w:left w:val="single" w:color="auto" w:sz="4" w:space="0"/>
            </w:tcBorders>
            <w:vAlign w:val="center"/>
          </w:tcPr>
          <w:p>
            <w:pPr>
              <w:autoSpaceDE w:val="0"/>
              <w:autoSpaceDN w:val="0"/>
              <w:spacing w:line="300" w:lineRule="auto"/>
              <w:jc w:val="center"/>
              <w:rPr>
                <w:rFonts w:cs="宋体"/>
                <w:color w:val="auto"/>
                <w:kern w:val="1"/>
                <w:sz w:val="21"/>
                <w:szCs w:val="21"/>
                <w:highlight w:val="none"/>
                <w:lang w:val="zh-CN" w:bidi="zh-CN"/>
              </w:rPr>
            </w:pPr>
            <w:r>
              <w:rPr>
                <w:rFonts w:hint="eastAsia" w:cs="宋体"/>
                <w:color w:val="auto"/>
                <w:kern w:val="1"/>
                <w:sz w:val="21"/>
                <w:szCs w:val="21"/>
                <w:highlight w:val="none"/>
                <w:lang w:val="zh-CN" w:bidi="zh-CN"/>
              </w:rPr>
              <w:t>投标人</w:t>
            </w:r>
            <w:r>
              <w:rPr>
                <w:rFonts w:cs="宋体"/>
                <w:color w:val="auto"/>
                <w:kern w:val="1"/>
                <w:sz w:val="21"/>
                <w:szCs w:val="21"/>
                <w:highlight w:val="none"/>
                <w:lang w:val="zh-CN" w:bidi="zh-CN"/>
              </w:rPr>
              <w:t>资质条件</w:t>
            </w:r>
            <w:r>
              <w:rPr>
                <w:rFonts w:hint="eastAsia" w:cs="宋体"/>
                <w:color w:val="auto"/>
                <w:kern w:val="1"/>
                <w:sz w:val="21"/>
                <w:szCs w:val="21"/>
                <w:highlight w:val="none"/>
                <w:lang w:val="zh-CN" w:bidi="zh-CN"/>
              </w:rPr>
              <w:t>、</w:t>
            </w:r>
            <w:r>
              <w:rPr>
                <w:rFonts w:cs="宋体"/>
                <w:color w:val="auto"/>
                <w:kern w:val="1"/>
                <w:sz w:val="21"/>
                <w:szCs w:val="21"/>
                <w:highlight w:val="none"/>
                <w:lang w:val="zh-CN" w:bidi="zh-CN"/>
              </w:rPr>
              <w:t>能力和信</w:t>
            </w:r>
            <w:r>
              <w:rPr>
                <w:rFonts w:hint="eastAsia" w:cs="宋体"/>
                <w:color w:val="auto"/>
                <w:kern w:val="1"/>
                <w:sz w:val="21"/>
                <w:szCs w:val="21"/>
                <w:highlight w:val="none"/>
                <w:lang w:val="zh-CN" w:bidi="zh-CN"/>
              </w:rPr>
              <w:t>用</w:t>
            </w:r>
          </w:p>
        </w:tc>
        <w:tc>
          <w:tcPr>
            <w:tcW w:w="5387" w:type="dxa"/>
            <w:vAlign w:val="center"/>
          </w:tcPr>
          <w:p>
            <w:pPr>
              <w:autoSpaceDE w:val="0"/>
              <w:autoSpaceDN w:val="0"/>
              <w:spacing w:line="300" w:lineRule="auto"/>
              <w:ind w:firstLine="420" w:firstLineChars="200"/>
              <w:jc w:val="left"/>
              <w:rPr>
                <w:rFonts w:cs="宋体"/>
                <w:color w:val="auto"/>
                <w:kern w:val="1"/>
                <w:sz w:val="21"/>
                <w:szCs w:val="21"/>
                <w:highlight w:val="none"/>
                <w:lang w:val="zh-CN" w:bidi="zh-CN"/>
              </w:rPr>
            </w:pPr>
            <w:r>
              <w:rPr>
                <w:rFonts w:hint="eastAsia" w:cs="宋体"/>
                <w:color w:val="auto"/>
                <w:kern w:val="1"/>
                <w:sz w:val="21"/>
                <w:szCs w:val="21"/>
                <w:highlight w:val="none"/>
                <w:lang w:val="zh-CN" w:bidi="zh-CN"/>
              </w:rPr>
              <w:t>1.</w:t>
            </w:r>
            <w:r>
              <w:rPr>
                <w:rFonts w:cs="宋体"/>
                <w:color w:val="auto"/>
                <w:kern w:val="1"/>
                <w:sz w:val="21"/>
                <w:szCs w:val="21"/>
                <w:highlight w:val="none"/>
                <w:lang w:val="zh-CN" w:bidi="zh-CN"/>
              </w:rPr>
              <w:t>资质</w:t>
            </w:r>
            <w:r>
              <w:rPr>
                <w:rFonts w:hint="eastAsia" w:cs="宋体"/>
                <w:color w:val="auto"/>
                <w:kern w:val="1"/>
                <w:sz w:val="21"/>
                <w:szCs w:val="21"/>
                <w:highlight w:val="none"/>
                <w:lang w:val="zh-CN" w:bidi="zh-CN"/>
              </w:rPr>
              <w:t>：</w:t>
            </w:r>
          </w:p>
          <w:p>
            <w:pPr>
              <w:autoSpaceDE w:val="0"/>
              <w:autoSpaceDN w:val="0"/>
              <w:spacing w:line="300" w:lineRule="auto"/>
              <w:ind w:firstLine="420" w:firstLineChars="200"/>
              <w:jc w:val="left"/>
              <w:rPr>
                <w:rFonts w:cs="宋体"/>
                <w:color w:val="auto"/>
                <w:kern w:val="1"/>
                <w:sz w:val="21"/>
                <w:szCs w:val="21"/>
                <w:highlight w:val="none"/>
                <w:lang w:val="zh-CN" w:bidi="zh-CN"/>
              </w:rPr>
            </w:pPr>
            <w:r>
              <w:rPr>
                <w:rFonts w:cs="宋体"/>
                <w:color w:val="auto"/>
                <w:kern w:val="1"/>
                <w:sz w:val="21"/>
                <w:szCs w:val="21"/>
                <w:highlight w:val="none"/>
                <w:lang w:val="zh-CN" w:bidi="zh-CN"/>
              </w:rPr>
              <w:t>符合第二章“投标人须知”前附表附录</w:t>
            </w:r>
            <w:r>
              <w:rPr>
                <w:rFonts w:hint="eastAsia" w:cs="宋体"/>
                <w:color w:val="auto"/>
                <w:kern w:val="1"/>
                <w:sz w:val="21"/>
                <w:szCs w:val="21"/>
                <w:highlight w:val="none"/>
                <w:lang w:val="zh-CN" w:bidi="zh-CN"/>
              </w:rPr>
              <w:t>第1项</w:t>
            </w:r>
            <w:r>
              <w:rPr>
                <w:rFonts w:cs="宋体"/>
                <w:color w:val="auto"/>
                <w:kern w:val="1"/>
                <w:sz w:val="21"/>
                <w:szCs w:val="21"/>
                <w:highlight w:val="none"/>
                <w:lang w:val="zh-CN" w:bidi="zh-CN"/>
              </w:rPr>
              <w:t>规定</w:t>
            </w:r>
            <w:r>
              <w:rPr>
                <w:rFonts w:hint="eastAsia" w:cs="宋体"/>
                <w:color w:val="auto"/>
                <w:kern w:val="1"/>
                <w:sz w:val="21"/>
                <w:szCs w:val="21"/>
                <w:highlight w:val="none"/>
                <w:lang w:val="zh-CN" w:bidi="zh-CN"/>
              </w:rPr>
              <w:t>。</w:t>
            </w:r>
          </w:p>
          <w:p>
            <w:pPr>
              <w:autoSpaceDE w:val="0"/>
              <w:autoSpaceDN w:val="0"/>
              <w:spacing w:line="300" w:lineRule="auto"/>
              <w:ind w:firstLine="420" w:firstLineChars="200"/>
              <w:jc w:val="left"/>
              <w:rPr>
                <w:rFonts w:cs="宋体"/>
                <w:color w:val="auto"/>
                <w:kern w:val="1"/>
                <w:sz w:val="21"/>
                <w:szCs w:val="21"/>
                <w:highlight w:val="none"/>
                <w:lang w:val="zh-CN" w:bidi="zh-CN"/>
              </w:rPr>
            </w:pPr>
            <w:r>
              <w:rPr>
                <w:rFonts w:hint="eastAsia" w:cs="宋体"/>
                <w:color w:val="auto"/>
                <w:kern w:val="1"/>
                <w:sz w:val="21"/>
                <w:szCs w:val="21"/>
                <w:highlight w:val="none"/>
                <w:lang w:val="zh-CN" w:bidi="zh-CN"/>
              </w:rPr>
              <w:t>2.</w:t>
            </w:r>
            <w:r>
              <w:rPr>
                <w:rFonts w:cs="宋体"/>
                <w:color w:val="auto"/>
                <w:kern w:val="1"/>
                <w:sz w:val="21"/>
                <w:szCs w:val="21"/>
                <w:highlight w:val="none"/>
                <w:lang w:val="zh-CN" w:bidi="zh-CN"/>
              </w:rPr>
              <w:t>类似</w:t>
            </w:r>
            <w:r>
              <w:rPr>
                <w:rFonts w:hint="eastAsia" w:cs="宋体"/>
                <w:color w:val="auto"/>
                <w:kern w:val="1"/>
                <w:sz w:val="21"/>
                <w:szCs w:val="21"/>
                <w:highlight w:val="none"/>
                <w:lang w:val="zh-CN" w:bidi="zh-CN"/>
              </w:rPr>
              <w:t>工程</w:t>
            </w:r>
            <w:r>
              <w:rPr>
                <w:rFonts w:cs="宋体"/>
                <w:color w:val="auto"/>
                <w:kern w:val="1"/>
                <w:sz w:val="21"/>
                <w:szCs w:val="21"/>
                <w:highlight w:val="none"/>
                <w:lang w:val="zh-CN" w:bidi="zh-CN"/>
              </w:rPr>
              <w:t>业绩</w:t>
            </w:r>
            <w:r>
              <w:rPr>
                <w:rFonts w:hint="eastAsia" w:cs="宋体"/>
                <w:color w:val="auto"/>
                <w:kern w:val="1"/>
                <w:sz w:val="21"/>
                <w:szCs w:val="21"/>
                <w:highlight w:val="none"/>
                <w:lang w:val="zh-CN" w:bidi="zh-CN"/>
              </w:rPr>
              <w:t>：</w:t>
            </w:r>
          </w:p>
          <w:p>
            <w:pPr>
              <w:autoSpaceDE w:val="0"/>
              <w:autoSpaceDN w:val="0"/>
              <w:spacing w:line="300" w:lineRule="auto"/>
              <w:ind w:firstLine="420" w:firstLineChars="200"/>
              <w:jc w:val="left"/>
              <w:rPr>
                <w:rFonts w:cs="宋体"/>
                <w:color w:val="auto"/>
                <w:kern w:val="1"/>
                <w:sz w:val="21"/>
                <w:szCs w:val="21"/>
                <w:highlight w:val="none"/>
                <w:lang w:val="zh-CN" w:bidi="zh-CN"/>
              </w:rPr>
            </w:pPr>
            <w:r>
              <w:rPr>
                <w:rFonts w:cs="宋体"/>
                <w:color w:val="auto"/>
                <w:kern w:val="1"/>
                <w:sz w:val="21"/>
                <w:szCs w:val="21"/>
                <w:highlight w:val="none"/>
                <w:lang w:val="zh-CN" w:bidi="zh-CN"/>
              </w:rPr>
              <w:t>符合第二章“投标人须知”前附表附录</w:t>
            </w:r>
            <w:r>
              <w:rPr>
                <w:rFonts w:hint="eastAsia" w:cs="宋体"/>
                <w:color w:val="auto"/>
                <w:kern w:val="1"/>
                <w:sz w:val="21"/>
                <w:szCs w:val="21"/>
                <w:highlight w:val="none"/>
                <w:lang w:val="zh-CN" w:bidi="zh-CN"/>
              </w:rPr>
              <w:t>第2项</w:t>
            </w:r>
            <w:r>
              <w:rPr>
                <w:rFonts w:cs="宋体"/>
                <w:color w:val="auto"/>
                <w:kern w:val="1"/>
                <w:sz w:val="21"/>
                <w:szCs w:val="21"/>
                <w:highlight w:val="none"/>
                <w:lang w:val="zh-CN" w:bidi="zh-CN"/>
              </w:rPr>
              <w:t>规定</w:t>
            </w:r>
            <w:r>
              <w:rPr>
                <w:rFonts w:hint="eastAsia" w:cs="宋体"/>
                <w:color w:val="auto"/>
                <w:kern w:val="1"/>
                <w:sz w:val="21"/>
                <w:szCs w:val="21"/>
                <w:highlight w:val="none"/>
                <w:lang w:val="zh-CN" w:bidi="zh-CN"/>
              </w:rPr>
              <w:t>。</w:t>
            </w:r>
          </w:p>
          <w:p>
            <w:pPr>
              <w:autoSpaceDE w:val="0"/>
              <w:autoSpaceDN w:val="0"/>
              <w:spacing w:line="300" w:lineRule="auto"/>
              <w:ind w:firstLine="420" w:firstLineChars="200"/>
              <w:jc w:val="left"/>
              <w:rPr>
                <w:rFonts w:cs="宋体"/>
                <w:color w:val="auto"/>
                <w:kern w:val="1"/>
                <w:sz w:val="21"/>
                <w:szCs w:val="21"/>
                <w:highlight w:val="none"/>
                <w:lang w:val="zh-CN" w:bidi="zh-CN"/>
              </w:rPr>
            </w:pPr>
            <w:r>
              <w:rPr>
                <w:rFonts w:hint="eastAsia" w:cs="宋体"/>
                <w:color w:val="auto"/>
                <w:kern w:val="1"/>
                <w:sz w:val="21"/>
                <w:szCs w:val="21"/>
                <w:highlight w:val="none"/>
                <w:lang w:val="zh-CN" w:bidi="zh-CN"/>
              </w:rPr>
              <w:t>3.</w:t>
            </w:r>
            <w:r>
              <w:rPr>
                <w:rFonts w:cs="宋体"/>
                <w:color w:val="auto"/>
                <w:kern w:val="1"/>
                <w:sz w:val="21"/>
                <w:szCs w:val="21"/>
                <w:highlight w:val="none"/>
                <w:lang w:val="zh-CN" w:bidi="zh-CN"/>
              </w:rPr>
              <w:t>信</w:t>
            </w:r>
            <w:r>
              <w:rPr>
                <w:rFonts w:hint="eastAsia" w:cs="宋体"/>
                <w:color w:val="auto"/>
                <w:kern w:val="1"/>
                <w:sz w:val="21"/>
                <w:szCs w:val="21"/>
                <w:highlight w:val="none"/>
                <w:lang w:val="zh-CN" w:bidi="zh-CN"/>
              </w:rPr>
              <w:t>用：</w:t>
            </w:r>
          </w:p>
          <w:p>
            <w:pPr>
              <w:autoSpaceDE w:val="0"/>
              <w:autoSpaceDN w:val="0"/>
              <w:spacing w:line="300" w:lineRule="auto"/>
              <w:ind w:firstLine="420" w:firstLineChars="200"/>
              <w:jc w:val="left"/>
              <w:rPr>
                <w:rFonts w:cs="宋体"/>
                <w:color w:val="auto"/>
                <w:kern w:val="1"/>
                <w:sz w:val="21"/>
                <w:szCs w:val="21"/>
                <w:highlight w:val="none"/>
                <w:lang w:val="zh-CN" w:bidi="zh-CN"/>
              </w:rPr>
            </w:pPr>
            <w:r>
              <w:rPr>
                <w:rFonts w:cs="宋体"/>
                <w:color w:val="auto"/>
                <w:kern w:val="1"/>
                <w:sz w:val="21"/>
                <w:szCs w:val="21"/>
                <w:highlight w:val="none"/>
                <w:lang w:val="zh-CN" w:bidi="zh-CN"/>
              </w:rPr>
              <w:t>符合第二章“投标人须知”前附表附录</w:t>
            </w:r>
            <w:r>
              <w:rPr>
                <w:rFonts w:hint="eastAsia" w:cs="宋体"/>
                <w:color w:val="auto"/>
                <w:kern w:val="1"/>
                <w:sz w:val="21"/>
                <w:szCs w:val="21"/>
                <w:highlight w:val="none"/>
                <w:lang w:val="zh-CN" w:bidi="zh-CN"/>
              </w:rPr>
              <w:t>第3项</w:t>
            </w:r>
            <w:r>
              <w:rPr>
                <w:rFonts w:cs="宋体"/>
                <w:color w:val="auto"/>
                <w:kern w:val="1"/>
                <w:sz w:val="21"/>
                <w:szCs w:val="21"/>
                <w:highlight w:val="none"/>
                <w:lang w:val="zh-CN" w:bidi="zh-CN"/>
              </w:rPr>
              <w:t>规定</w:t>
            </w:r>
            <w:r>
              <w:rPr>
                <w:rFonts w:hint="eastAsia" w:cs="宋体"/>
                <w:color w:val="auto"/>
                <w:kern w:val="1"/>
                <w:sz w:val="21"/>
                <w:szCs w:val="21"/>
                <w:highlight w:val="none"/>
                <w:lang w:val="zh-CN" w:bidi="zh-CN"/>
              </w:rPr>
              <w:t>。</w:t>
            </w:r>
          </w:p>
          <w:p>
            <w:pPr>
              <w:autoSpaceDE w:val="0"/>
              <w:autoSpaceDN w:val="0"/>
              <w:spacing w:line="300" w:lineRule="auto"/>
              <w:ind w:firstLine="420" w:firstLineChars="200"/>
              <w:jc w:val="left"/>
              <w:rPr>
                <w:rFonts w:cs="宋体"/>
                <w:color w:val="auto"/>
                <w:kern w:val="1"/>
                <w:sz w:val="21"/>
                <w:szCs w:val="21"/>
                <w:highlight w:val="none"/>
                <w:lang w:val="zh-CN" w:bidi="zh-CN"/>
              </w:rPr>
            </w:pPr>
            <w:r>
              <w:rPr>
                <w:rFonts w:hint="eastAsia" w:cs="宋体"/>
                <w:color w:val="auto"/>
                <w:kern w:val="1"/>
                <w:sz w:val="21"/>
                <w:szCs w:val="21"/>
                <w:highlight w:val="none"/>
                <w:lang w:val="zh-CN" w:bidi="zh-CN"/>
              </w:rPr>
              <w:t>4.</w:t>
            </w:r>
            <w:r>
              <w:rPr>
                <w:rFonts w:cs="宋体"/>
                <w:color w:val="auto"/>
                <w:kern w:val="1"/>
                <w:sz w:val="21"/>
                <w:szCs w:val="21"/>
                <w:highlight w:val="none"/>
                <w:lang w:val="zh-CN" w:bidi="zh-CN"/>
              </w:rPr>
              <w:t>施工现场管理人员</w:t>
            </w:r>
            <w:r>
              <w:rPr>
                <w:rFonts w:hint="eastAsia" w:cs="宋体"/>
                <w:color w:val="auto"/>
                <w:kern w:val="1"/>
                <w:sz w:val="21"/>
                <w:szCs w:val="21"/>
                <w:highlight w:val="none"/>
                <w:lang w:val="zh-CN" w:bidi="zh-CN"/>
              </w:rPr>
              <w:t>：</w:t>
            </w:r>
          </w:p>
          <w:p>
            <w:pPr>
              <w:autoSpaceDE w:val="0"/>
              <w:autoSpaceDN w:val="0"/>
              <w:spacing w:line="300" w:lineRule="auto"/>
              <w:ind w:firstLine="420" w:firstLineChars="200"/>
              <w:jc w:val="left"/>
              <w:rPr>
                <w:rFonts w:cs="宋体"/>
                <w:color w:val="auto"/>
                <w:kern w:val="1"/>
                <w:sz w:val="21"/>
                <w:szCs w:val="21"/>
                <w:highlight w:val="none"/>
                <w:lang w:val="zh-CN" w:bidi="zh-CN"/>
              </w:rPr>
            </w:pPr>
            <w:r>
              <w:rPr>
                <w:rFonts w:cs="宋体"/>
                <w:color w:val="auto"/>
                <w:kern w:val="1"/>
                <w:sz w:val="21"/>
                <w:szCs w:val="21"/>
                <w:highlight w:val="none"/>
                <w:lang w:val="zh-CN" w:bidi="zh-CN"/>
              </w:rPr>
              <w:t>符合第二章“投标人须知”前附表附录</w:t>
            </w:r>
            <w:r>
              <w:rPr>
                <w:rFonts w:hint="eastAsia" w:cs="宋体"/>
                <w:color w:val="auto"/>
                <w:kern w:val="1"/>
                <w:sz w:val="21"/>
                <w:szCs w:val="21"/>
                <w:highlight w:val="none"/>
                <w:lang w:val="zh-CN" w:bidi="zh-CN"/>
              </w:rPr>
              <w:t>第4项</w:t>
            </w:r>
            <w:r>
              <w:rPr>
                <w:rFonts w:cs="宋体"/>
                <w:color w:val="auto"/>
                <w:kern w:val="1"/>
                <w:sz w:val="21"/>
                <w:szCs w:val="21"/>
                <w:highlight w:val="none"/>
                <w:lang w:val="zh-CN" w:bidi="zh-CN"/>
              </w:rPr>
              <w:t>规定</w:t>
            </w:r>
            <w:r>
              <w:rPr>
                <w:rFonts w:hint="eastAsia" w:cs="宋体"/>
                <w:color w:val="auto"/>
                <w:kern w:val="1"/>
                <w:sz w:val="21"/>
                <w:szCs w:val="21"/>
                <w:highlight w:val="none"/>
                <w:lang w:val="zh-CN" w:bidi="zh-CN"/>
              </w:rPr>
              <w:t>。</w:t>
            </w:r>
          </w:p>
          <w:p>
            <w:pPr>
              <w:autoSpaceDE w:val="0"/>
              <w:autoSpaceDN w:val="0"/>
              <w:spacing w:line="300" w:lineRule="auto"/>
              <w:ind w:firstLine="420" w:firstLineChars="200"/>
              <w:jc w:val="left"/>
              <w:rPr>
                <w:rFonts w:cs="宋体"/>
                <w:color w:val="auto"/>
                <w:kern w:val="1"/>
                <w:sz w:val="21"/>
                <w:szCs w:val="21"/>
                <w:highlight w:val="none"/>
                <w:lang w:val="zh-CN" w:bidi="zh-CN"/>
              </w:rPr>
            </w:pPr>
            <w:r>
              <w:rPr>
                <w:rFonts w:hint="eastAsia" w:cs="宋体"/>
                <w:color w:val="auto"/>
                <w:kern w:val="1"/>
                <w:sz w:val="21"/>
                <w:szCs w:val="21"/>
                <w:highlight w:val="none"/>
                <w:lang w:val="zh-CN" w:bidi="zh-CN"/>
              </w:rPr>
              <w:t>5.其他要求：</w:t>
            </w:r>
          </w:p>
          <w:p>
            <w:pPr>
              <w:autoSpaceDE w:val="0"/>
              <w:autoSpaceDN w:val="0"/>
              <w:spacing w:line="300" w:lineRule="auto"/>
              <w:ind w:firstLine="420" w:firstLineChars="200"/>
              <w:jc w:val="left"/>
              <w:rPr>
                <w:rFonts w:cs="宋体"/>
                <w:color w:val="auto"/>
                <w:kern w:val="1"/>
                <w:sz w:val="21"/>
                <w:szCs w:val="21"/>
                <w:highlight w:val="none"/>
                <w:lang w:val="zh-CN" w:bidi="zh-CN"/>
              </w:rPr>
            </w:pPr>
            <w:r>
              <w:rPr>
                <w:rFonts w:cs="宋体"/>
                <w:color w:val="auto"/>
                <w:kern w:val="1"/>
                <w:sz w:val="21"/>
                <w:szCs w:val="21"/>
                <w:highlight w:val="none"/>
                <w:lang w:val="zh-CN" w:bidi="zh-CN"/>
              </w:rPr>
              <w:t>符合第二章“投标人须知”前附表附录</w:t>
            </w:r>
            <w:r>
              <w:rPr>
                <w:rFonts w:hint="eastAsia" w:cs="宋体"/>
                <w:color w:val="auto"/>
                <w:kern w:val="1"/>
                <w:sz w:val="21"/>
                <w:szCs w:val="21"/>
                <w:highlight w:val="none"/>
                <w:lang w:val="zh-CN" w:bidi="zh-CN"/>
              </w:rPr>
              <w:t>第5项</w:t>
            </w:r>
            <w:r>
              <w:rPr>
                <w:rFonts w:cs="宋体"/>
                <w:color w:val="auto"/>
                <w:kern w:val="1"/>
                <w:sz w:val="21"/>
                <w:szCs w:val="21"/>
                <w:highlight w:val="none"/>
                <w:lang w:val="zh-CN" w:bidi="zh-CN"/>
              </w:rPr>
              <w:t>规定</w:t>
            </w:r>
            <w:r>
              <w:rPr>
                <w:rFonts w:hint="eastAsia" w:cs="宋体"/>
                <w:color w:val="auto"/>
                <w:kern w:val="1"/>
                <w:sz w:val="21"/>
                <w:szCs w:val="21"/>
                <w:highlight w:val="none"/>
                <w:lang w:val="zh-CN" w:bidi="zh-CN"/>
              </w:rPr>
              <w:t>。</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c>
          <w:tcPr>
            <w:tcW w:w="710" w:type="dxa"/>
            <w:vMerge w:val="continue"/>
            <w:tcBorders>
              <w:right w:val="single" w:color="auto" w:sz="4" w:space="0"/>
            </w:tcBorders>
            <w:vAlign w:val="center"/>
          </w:tcPr>
          <w:p>
            <w:pPr>
              <w:spacing w:line="300" w:lineRule="auto"/>
              <w:jc w:val="center"/>
              <w:rPr>
                <w:rFonts w:cs="宋体"/>
                <w:color w:val="auto"/>
                <w:kern w:val="1"/>
                <w:sz w:val="21"/>
                <w:szCs w:val="21"/>
                <w:highlight w:val="none"/>
              </w:rPr>
            </w:pPr>
          </w:p>
        </w:tc>
        <w:tc>
          <w:tcPr>
            <w:tcW w:w="850" w:type="dxa"/>
            <w:vMerge w:val="continue"/>
            <w:tcBorders>
              <w:right w:val="single" w:color="auto" w:sz="4" w:space="0"/>
            </w:tcBorders>
          </w:tcPr>
          <w:p>
            <w:pPr>
              <w:spacing w:line="300" w:lineRule="auto"/>
              <w:jc w:val="center"/>
              <w:rPr>
                <w:rFonts w:cs="宋体"/>
                <w:color w:val="auto"/>
                <w:kern w:val="1"/>
                <w:sz w:val="21"/>
                <w:szCs w:val="21"/>
                <w:highlight w:val="none"/>
              </w:rPr>
            </w:pPr>
          </w:p>
        </w:tc>
        <w:tc>
          <w:tcPr>
            <w:tcW w:w="1134" w:type="dxa"/>
            <w:vMerge w:val="continue"/>
            <w:tcBorders>
              <w:left w:val="single" w:color="auto" w:sz="4" w:space="0"/>
              <w:right w:val="single" w:color="auto" w:sz="4" w:space="0"/>
            </w:tcBorders>
            <w:vAlign w:val="center"/>
          </w:tcPr>
          <w:p>
            <w:pPr>
              <w:spacing w:line="300" w:lineRule="auto"/>
              <w:jc w:val="left"/>
              <w:rPr>
                <w:rFonts w:cs="宋体"/>
                <w:color w:val="auto"/>
                <w:kern w:val="1"/>
                <w:sz w:val="21"/>
                <w:szCs w:val="21"/>
                <w:highlight w:val="none"/>
              </w:rPr>
            </w:pPr>
          </w:p>
        </w:tc>
        <w:tc>
          <w:tcPr>
            <w:tcW w:w="1701" w:type="dxa"/>
            <w:gridSpan w:val="2"/>
            <w:tcBorders>
              <w:left w:val="single" w:color="auto" w:sz="4" w:space="0"/>
            </w:tcBorders>
            <w:vAlign w:val="center"/>
          </w:tcPr>
          <w:p>
            <w:pPr>
              <w:autoSpaceDE w:val="0"/>
              <w:autoSpaceDN w:val="0"/>
              <w:spacing w:line="300" w:lineRule="auto"/>
              <w:jc w:val="center"/>
              <w:rPr>
                <w:rFonts w:cs="宋体"/>
                <w:color w:val="auto"/>
                <w:kern w:val="1"/>
                <w:sz w:val="21"/>
                <w:szCs w:val="21"/>
                <w:highlight w:val="none"/>
                <w:lang w:val="zh-CN" w:bidi="zh-CN"/>
              </w:rPr>
            </w:pPr>
            <w:r>
              <w:rPr>
                <w:rFonts w:hint="eastAsia" w:cs="宋体"/>
                <w:color w:val="auto"/>
                <w:kern w:val="1"/>
                <w:sz w:val="21"/>
                <w:szCs w:val="21"/>
                <w:highlight w:val="none"/>
                <w:lang w:val="zh-CN" w:bidi="zh-CN"/>
              </w:rPr>
              <w:t>投标保证金</w:t>
            </w:r>
          </w:p>
        </w:tc>
        <w:tc>
          <w:tcPr>
            <w:tcW w:w="5387" w:type="dxa"/>
            <w:vAlign w:val="center"/>
          </w:tcPr>
          <w:p>
            <w:pPr>
              <w:autoSpaceDE w:val="0"/>
              <w:autoSpaceDN w:val="0"/>
              <w:spacing w:line="300" w:lineRule="auto"/>
              <w:ind w:firstLine="420" w:firstLineChars="200"/>
              <w:jc w:val="left"/>
              <w:rPr>
                <w:rFonts w:cs="宋体"/>
                <w:color w:val="auto"/>
                <w:kern w:val="1"/>
                <w:sz w:val="21"/>
                <w:szCs w:val="21"/>
                <w:highlight w:val="none"/>
                <w:lang w:val="zh-CN" w:bidi="zh-CN"/>
              </w:rPr>
            </w:pPr>
            <w:r>
              <w:rPr>
                <w:rFonts w:cs="宋体"/>
                <w:color w:val="auto"/>
                <w:kern w:val="1"/>
                <w:sz w:val="21"/>
                <w:szCs w:val="21"/>
                <w:highlight w:val="none"/>
                <w:lang w:val="zh-CN" w:bidi="zh-CN"/>
              </w:rPr>
              <w:t>符合第二章“投标人须知”第</w:t>
            </w:r>
            <w:r>
              <w:rPr>
                <w:rFonts w:hint="eastAsia" w:cs="宋体"/>
                <w:color w:val="auto"/>
                <w:kern w:val="1"/>
                <w:sz w:val="21"/>
                <w:szCs w:val="21"/>
                <w:highlight w:val="none"/>
                <w:lang w:val="zh-CN" w:bidi="zh-CN"/>
              </w:rPr>
              <w:t>3.4.1</w:t>
            </w:r>
            <w:r>
              <w:rPr>
                <w:rFonts w:cs="宋体"/>
                <w:color w:val="auto"/>
                <w:kern w:val="1"/>
                <w:sz w:val="21"/>
                <w:szCs w:val="21"/>
                <w:highlight w:val="none"/>
                <w:lang w:val="zh-CN" w:bidi="zh-CN"/>
              </w:rPr>
              <w:t>项规定</w:t>
            </w:r>
            <w:r>
              <w:rPr>
                <w:rFonts w:hint="eastAsia" w:cs="宋体"/>
                <w:color w:val="auto"/>
                <w:kern w:val="1"/>
                <w:sz w:val="21"/>
                <w:szCs w:val="21"/>
                <w:highlight w:val="none"/>
                <w:lang w:val="zh-CN" w:bidi="zh-CN"/>
              </w:rPr>
              <w:t>。</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c>
          <w:tcPr>
            <w:tcW w:w="710" w:type="dxa"/>
            <w:vMerge w:val="continue"/>
            <w:tcBorders>
              <w:right w:val="single" w:color="auto" w:sz="4" w:space="0"/>
            </w:tcBorders>
            <w:vAlign w:val="center"/>
          </w:tcPr>
          <w:p>
            <w:pPr>
              <w:spacing w:line="300" w:lineRule="auto"/>
              <w:jc w:val="center"/>
              <w:rPr>
                <w:rFonts w:cs="宋体"/>
                <w:color w:val="auto"/>
                <w:kern w:val="1"/>
                <w:sz w:val="21"/>
                <w:szCs w:val="21"/>
                <w:highlight w:val="none"/>
              </w:rPr>
            </w:pPr>
          </w:p>
        </w:tc>
        <w:tc>
          <w:tcPr>
            <w:tcW w:w="850" w:type="dxa"/>
            <w:vMerge w:val="continue"/>
            <w:tcBorders>
              <w:right w:val="single" w:color="auto" w:sz="4" w:space="0"/>
            </w:tcBorders>
          </w:tcPr>
          <w:p>
            <w:pPr>
              <w:spacing w:line="300" w:lineRule="auto"/>
              <w:jc w:val="center"/>
              <w:rPr>
                <w:rFonts w:cs="宋体"/>
                <w:color w:val="auto"/>
                <w:kern w:val="1"/>
                <w:sz w:val="21"/>
                <w:szCs w:val="21"/>
                <w:highlight w:val="none"/>
              </w:rPr>
            </w:pPr>
          </w:p>
        </w:tc>
        <w:tc>
          <w:tcPr>
            <w:tcW w:w="1134" w:type="dxa"/>
            <w:vMerge w:val="continue"/>
            <w:tcBorders>
              <w:left w:val="single" w:color="auto" w:sz="4" w:space="0"/>
              <w:right w:val="single" w:color="auto" w:sz="4" w:space="0"/>
            </w:tcBorders>
            <w:vAlign w:val="center"/>
          </w:tcPr>
          <w:p>
            <w:pPr>
              <w:spacing w:line="300" w:lineRule="auto"/>
              <w:jc w:val="left"/>
              <w:rPr>
                <w:rFonts w:cs="宋体"/>
                <w:color w:val="auto"/>
                <w:kern w:val="1"/>
                <w:sz w:val="21"/>
                <w:szCs w:val="21"/>
                <w:highlight w:val="none"/>
              </w:rPr>
            </w:pPr>
          </w:p>
        </w:tc>
        <w:tc>
          <w:tcPr>
            <w:tcW w:w="1701" w:type="dxa"/>
            <w:gridSpan w:val="2"/>
            <w:tcBorders>
              <w:left w:val="single" w:color="auto" w:sz="4" w:space="0"/>
            </w:tcBorders>
            <w:vAlign w:val="center"/>
          </w:tcPr>
          <w:p>
            <w:pPr>
              <w:autoSpaceDE w:val="0"/>
              <w:autoSpaceDN w:val="0"/>
              <w:spacing w:line="300" w:lineRule="auto"/>
              <w:jc w:val="center"/>
              <w:rPr>
                <w:rFonts w:cs="宋体"/>
                <w:color w:val="auto"/>
                <w:kern w:val="1"/>
                <w:sz w:val="21"/>
                <w:szCs w:val="21"/>
                <w:highlight w:val="none"/>
                <w:lang w:val="zh-CN" w:bidi="zh-CN"/>
              </w:rPr>
            </w:pPr>
            <w:r>
              <w:rPr>
                <w:rFonts w:cs="宋体"/>
                <w:color w:val="auto"/>
                <w:kern w:val="1"/>
                <w:sz w:val="21"/>
                <w:szCs w:val="21"/>
                <w:highlight w:val="none"/>
                <w:lang w:val="zh-CN" w:bidi="zh-CN"/>
              </w:rPr>
              <w:t>联合体投标人</w:t>
            </w:r>
          </w:p>
        </w:tc>
        <w:tc>
          <w:tcPr>
            <w:tcW w:w="5387" w:type="dxa"/>
            <w:vAlign w:val="center"/>
          </w:tcPr>
          <w:p>
            <w:pPr>
              <w:autoSpaceDE w:val="0"/>
              <w:autoSpaceDN w:val="0"/>
              <w:spacing w:line="300" w:lineRule="auto"/>
              <w:ind w:firstLine="420" w:firstLineChars="200"/>
              <w:jc w:val="left"/>
              <w:rPr>
                <w:rFonts w:cs="宋体"/>
                <w:color w:val="auto"/>
                <w:kern w:val="1"/>
                <w:sz w:val="21"/>
                <w:szCs w:val="21"/>
                <w:highlight w:val="none"/>
                <w:lang w:val="zh-CN" w:bidi="zh-CN"/>
              </w:rPr>
            </w:pPr>
            <w:r>
              <w:rPr>
                <w:rFonts w:cs="宋体"/>
                <w:color w:val="auto"/>
                <w:kern w:val="1"/>
                <w:sz w:val="21"/>
                <w:szCs w:val="21"/>
                <w:highlight w:val="none"/>
                <w:lang w:val="zh-CN" w:bidi="zh-CN"/>
              </w:rPr>
              <w:t>符合第二章“投标人须知”第</w:t>
            </w:r>
            <w:r>
              <w:rPr>
                <w:rFonts w:hint="eastAsia" w:cs="宋体"/>
                <w:color w:val="auto"/>
                <w:kern w:val="1"/>
                <w:sz w:val="21"/>
                <w:szCs w:val="21"/>
                <w:highlight w:val="none"/>
                <w:lang w:val="zh-CN" w:bidi="zh-CN"/>
              </w:rPr>
              <w:t>1.4.2</w:t>
            </w:r>
            <w:r>
              <w:rPr>
                <w:rFonts w:cs="宋体"/>
                <w:color w:val="auto"/>
                <w:kern w:val="1"/>
                <w:sz w:val="21"/>
                <w:szCs w:val="21"/>
                <w:highlight w:val="none"/>
                <w:lang w:val="zh-CN" w:bidi="zh-CN"/>
              </w:rPr>
              <w:t>项规定</w:t>
            </w:r>
            <w:r>
              <w:rPr>
                <w:rFonts w:hint="eastAsia" w:cs="宋体"/>
                <w:color w:val="auto"/>
                <w:kern w:val="1"/>
                <w:sz w:val="21"/>
                <w:szCs w:val="21"/>
                <w:highlight w:val="none"/>
                <w:lang w:val="zh-CN" w:bidi="zh-CN"/>
              </w:rPr>
              <w:t>。</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c>
          <w:tcPr>
            <w:tcW w:w="710" w:type="dxa"/>
            <w:vMerge w:val="continue"/>
            <w:tcBorders>
              <w:right w:val="single" w:color="auto" w:sz="4" w:space="0"/>
            </w:tcBorders>
            <w:vAlign w:val="center"/>
          </w:tcPr>
          <w:p>
            <w:pPr>
              <w:spacing w:line="300" w:lineRule="auto"/>
              <w:jc w:val="center"/>
              <w:rPr>
                <w:rFonts w:cs="宋体"/>
                <w:color w:val="auto"/>
                <w:kern w:val="1"/>
                <w:sz w:val="21"/>
                <w:szCs w:val="21"/>
                <w:highlight w:val="none"/>
              </w:rPr>
            </w:pPr>
          </w:p>
        </w:tc>
        <w:tc>
          <w:tcPr>
            <w:tcW w:w="850" w:type="dxa"/>
            <w:vMerge w:val="continue"/>
            <w:tcBorders>
              <w:right w:val="single" w:color="auto" w:sz="4" w:space="0"/>
            </w:tcBorders>
          </w:tcPr>
          <w:p>
            <w:pPr>
              <w:spacing w:line="300" w:lineRule="auto"/>
              <w:jc w:val="center"/>
              <w:rPr>
                <w:rFonts w:cs="宋体"/>
                <w:color w:val="auto"/>
                <w:kern w:val="1"/>
                <w:sz w:val="21"/>
                <w:szCs w:val="21"/>
                <w:highlight w:val="none"/>
              </w:rPr>
            </w:pPr>
          </w:p>
        </w:tc>
        <w:tc>
          <w:tcPr>
            <w:tcW w:w="1134" w:type="dxa"/>
            <w:vMerge w:val="continue"/>
            <w:tcBorders>
              <w:left w:val="single" w:color="auto" w:sz="4" w:space="0"/>
              <w:right w:val="single" w:color="auto" w:sz="4" w:space="0"/>
            </w:tcBorders>
            <w:vAlign w:val="center"/>
          </w:tcPr>
          <w:p>
            <w:pPr>
              <w:spacing w:line="300" w:lineRule="auto"/>
              <w:jc w:val="left"/>
              <w:rPr>
                <w:rFonts w:cs="宋体"/>
                <w:color w:val="auto"/>
                <w:kern w:val="1"/>
                <w:sz w:val="21"/>
                <w:szCs w:val="21"/>
                <w:highlight w:val="none"/>
              </w:rPr>
            </w:pPr>
          </w:p>
        </w:tc>
        <w:tc>
          <w:tcPr>
            <w:tcW w:w="1701" w:type="dxa"/>
            <w:gridSpan w:val="2"/>
            <w:tcBorders>
              <w:left w:val="single" w:color="auto" w:sz="4" w:space="0"/>
            </w:tcBorders>
            <w:vAlign w:val="center"/>
          </w:tcPr>
          <w:p>
            <w:pPr>
              <w:autoSpaceDE w:val="0"/>
              <w:autoSpaceDN w:val="0"/>
              <w:spacing w:line="300" w:lineRule="auto"/>
              <w:jc w:val="center"/>
              <w:rPr>
                <w:rFonts w:cs="宋体"/>
                <w:color w:val="auto"/>
                <w:kern w:val="1"/>
                <w:sz w:val="21"/>
                <w:szCs w:val="21"/>
                <w:highlight w:val="none"/>
                <w:lang w:val="zh-CN" w:bidi="zh-CN"/>
              </w:rPr>
            </w:pPr>
            <w:r>
              <w:rPr>
                <w:rFonts w:cs="宋体"/>
                <w:color w:val="auto"/>
                <w:kern w:val="1"/>
                <w:sz w:val="21"/>
                <w:szCs w:val="21"/>
                <w:highlight w:val="none"/>
                <w:lang w:val="zh-CN" w:bidi="zh-CN"/>
              </w:rPr>
              <w:t>投标人不得存在的情形</w:t>
            </w:r>
          </w:p>
        </w:tc>
        <w:tc>
          <w:tcPr>
            <w:tcW w:w="5387" w:type="dxa"/>
            <w:vAlign w:val="center"/>
          </w:tcPr>
          <w:p>
            <w:pPr>
              <w:autoSpaceDE w:val="0"/>
              <w:autoSpaceDN w:val="0"/>
              <w:spacing w:line="300" w:lineRule="auto"/>
              <w:ind w:firstLine="420" w:firstLineChars="200"/>
              <w:jc w:val="left"/>
              <w:rPr>
                <w:rFonts w:cs="宋体"/>
                <w:color w:val="auto"/>
                <w:kern w:val="1"/>
                <w:sz w:val="21"/>
                <w:szCs w:val="21"/>
                <w:highlight w:val="none"/>
                <w:lang w:val="zh-CN" w:bidi="zh-CN"/>
              </w:rPr>
            </w:pPr>
            <w:r>
              <w:rPr>
                <w:rFonts w:cs="宋体"/>
                <w:color w:val="auto"/>
                <w:kern w:val="1"/>
                <w:sz w:val="21"/>
                <w:szCs w:val="21"/>
                <w:highlight w:val="none"/>
                <w:lang w:val="zh-CN" w:bidi="zh-CN"/>
              </w:rPr>
              <w:t>符合第二章“投标人须知”第</w:t>
            </w:r>
            <w:r>
              <w:rPr>
                <w:rFonts w:hint="eastAsia" w:cs="宋体"/>
                <w:color w:val="auto"/>
                <w:kern w:val="1"/>
                <w:sz w:val="21"/>
                <w:szCs w:val="21"/>
                <w:highlight w:val="none"/>
                <w:lang w:val="zh-CN" w:bidi="zh-CN"/>
              </w:rPr>
              <w:t>1.4.3</w:t>
            </w:r>
            <w:r>
              <w:rPr>
                <w:rFonts w:cs="宋体"/>
                <w:color w:val="auto"/>
                <w:kern w:val="1"/>
                <w:sz w:val="21"/>
                <w:szCs w:val="21"/>
                <w:highlight w:val="none"/>
                <w:lang w:val="zh-CN" w:bidi="zh-CN"/>
              </w:rPr>
              <w:t>项规定</w:t>
            </w:r>
            <w:r>
              <w:rPr>
                <w:rFonts w:hint="eastAsia" w:cs="宋体"/>
                <w:color w:val="auto"/>
                <w:kern w:val="1"/>
                <w:sz w:val="21"/>
                <w:szCs w:val="21"/>
                <w:highlight w:val="none"/>
                <w:lang w:val="zh-CN" w:bidi="zh-CN"/>
              </w:rPr>
              <w:t>。</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c>
          <w:tcPr>
            <w:tcW w:w="710" w:type="dxa"/>
            <w:vMerge w:val="continue"/>
            <w:tcBorders>
              <w:right w:val="single" w:color="auto" w:sz="4" w:space="0"/>
            </w:tcBorders>
            <w:vAlign w:val="center"/>
          </w:tcPr>
          <w:p>
            <w:pPr>
              <w:spacing w:line="300" w:lineRule="auto"/>
              <w:jc w:val="center"/>
              <w:rPr>
                <w:rFonts w:cs="宋体"/>
                <w:color w:val="auto"/>
                <w:kern w:val="1"/>
                <w:sz w:val="21"/>
                <w:szCs w:val="21"/>
                <w:highlight w:val="none"/>
              </w:rPr>
            </w:pPr>
          </w:p>
        </w:tc>
        <w:tc>
          <w:tcPr>
            <w:tcW w:w="850" w:type="dxa"/>
            <w:vMerge w:val="continue"/>
            <w:tcBorders>
              <w:right w:val="single" w:color="auto" w:sz="4" w:space="0"/>
            </w:tcBorders>
          </w:tcPr>
          <w:p>
            <w:pPr>
              <w:spacing w:line="300" w:lineRule="auto"/>
              <w:jc w:val="center"/>
              <w:rPr>
                <w:rFonts w:cs="宋体"/>
                <w:color w:val="auto"/>
                <w:kern w:val="1"/>
                <w:sz w:val="21"/>
                <w:szCs w:val="21"/>
                <w:highlight w:val="none"/>
              </w:rPr>
            </w:pPr>
          </w:p>
        </w:tc>
        <w:tc>
          <w:tcPr>
            <w:tcW w:w="1134" w:type="dxa"/>
            <w:vMerge w:val="continue"/>
            <w:tcBorders>
              <w:left w:val="single" w:color="auto" w:sz="4" w:space="0"/>
              <w:right w:val="single" w:color="auto" w:sz="4" w:space="0"/>
            </w:tcBorders>
            <w:vAlign w:val="center"/>
          </w:tcPr>
          <w:p>
            <w:pPr>
              <w:spacing w:line="300" w:lineRule="auto"/>
              <w:jc w:val="left"/>
              <w:rPr>
                <w:rFonts w:cs="宋体"/>
                <w:color w:val="auto"/>
                <w:kern w:val="1"/>
                <w:sz w:val="21"/>
                <w:szCs w:val="21"/>
                <w:highlight w:val="none"/>
              </w:rPr>
            </w:pPr>
          </w:p>
        </w:tc>
        <w:tc>
          <w:tcPr>
            <w:tcW w:w="1701" w:type="dxa"/>
            <w:gridSpan w:val="2"/>
            <w:tcBorders>
              <w:left w:val="single" w:color="auto" w:sz="4" w:space="0"/>
            </w:tcBorders>
            <w:vAlign w:val="center"/>
          </w:tcPr>
          <w:p>
            <w:pPr>
              <w:spacing w:line="300" w:lineRule="auto"/>
              <w:jc w:val="center"/>
              <w:rPr>
                <w:rFonts w:cs="宋体"/>
                <w:color w:val="auto"/>
                <w:kern w:val="1"/>
                <w:sz w:val="21"/>
                <w:szCs w:val="21"/>
                <w:highlight w:val="none"/>
              </w:rPr>
            </w:pPr>
            <w:r>
              <w:rPr>
                <w:rFonts w:cs="宋体"/>
                <w:color w:val="auto"/>
                <w:kern w:val="1"/>
                <w:sz w:val="21"/>
                <w:szCs w:val="21"/>
                <w:highlight w:val="none"/>
              </w:rPr>
              <w:t>投标文件雷同</w:t>
            </w:r>
          </w:p>
        </w:tc>
        <w:tc>
          <w:tcPr>
            <w:tcW w:w="5387" w:type="dxa"/>
            <w:vAlign w:val="center"/>
          </w:tcPr>
          <w:p>
            <w:pPr>
              <w:spacing w:line="300" w:lineRule="auto"/>
              <w:ind w:firstLine="420" w:firstLineChars="200"/>
              <w:jc w:val="left"/>
              <w:rPr>
                <w:rFonts w:cs="宋体"/>
                <w:color w:val="auto"/>
                <w:kern w:val="1"/>
                <w:sz w:val="21"/>
                <w:szCs w:val="21"/>
                <w:highlight w:val="none"/>
              </w:rPr>
            </w:pPr>
            <w:r>
              <w:rPr>
                <w:rFonts w:hint="eastAsia" w:cs="宋体"/>
                <w:color w:val="auto"/>
                <w:kern w:val="1"/>
                <w:sz w:val="21"/>
                <w:szCs w:val="21"/>
                <w:highlight w:val="none"/>
              </w:rPr>
              <w:t>不得</w:t>
            </w:r>
            <w:r>
              <w:rPr>
                <w:rFonts w:cs="宋体"/>
                <w:color w:val="auto"/>
                <w:kern w:val="1"/>
                <w:sz w:val="21"/>
                <w:szCs w:val="21"/>
                <w:highlight w:val="none"/>
              </w:rPr>
              <w:t>存在第二章</w:t>
            </w:r>
            <w:r>
              <w:rPr>
                <w:rFonts w:hint="eastAsia" w:cs="宋体"/>
                <w:color w:val="auto"/>
                <w:kern w:val="1"/>
                <w:sz w:val="21"/>
                <w:szCs w:val="21"/>
                <w:highlight w:val="none"/>
              </w:rPr>
              <w:t>“投标人须知”第3.6.4项中第（1）目、第（2）目或第（3）目规定的情形。</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c>
          <w:tcPr>
            <w:tcW w:w="710" w:type="dxa"/>
            <w:vMerge w:val="continue"/>
            <w:tcBorders>
              <w:right w:val="single" w:color="auto" w:sz="4" w:space="0"/>
            </w:tcBorders>
            <w:vAlign w:val="center"/>
          </w:tcPr>
          <w:p>
            <w:pPr>
              <w:spacing w:line="300" w:lineRule="auto"/>
              <w:jc w:val="center"/>
              <w:rPr>
                <w:rFonts w:cs="宋体"/>
                <w:color w:val="auto"/>
                <w:kern w:val="1"/>
                <w:sz w:val="21"/>
                <w:szCs w:val="21"/>
                <w:highlight w:val="none"/>
              </w:rPr>
            </w:pPr>
          </w:p>
        </w:tc>
        <w:tc>
          <w:tcPr>
            <w:tcW w:w="850" w:type="dxa"/>
            <w:vMerge w:val="continue"/>
            <w:tcBorders>
              <w:right w:val="single" w:color="auto" w:sz="4" w:space="0"/>
            </w:tcBorders>
          </w:tcPr>
          <w:p>
            <w:pPr>
              <w:spacing w:line="300" w:lineRule="auto"/>
              <w:jc w:val="center"/>
              <w:rPr>
                <w:rFonts w:cs="宋体"/>
                <w:color w:val="auto"/>
                <w:kern w:val="1"/>
                <w:sz w:val="21"/>
                <w:szCs w:val="21"/>
                <w:highlight w:val="none"/>
              </w:rPr>
            </w:pPr>
          </w:p>
        </w:tc>
        <w:tc>
          <w:tcPr>
            <w:tcW w:w="1134" w:type="dxa"/>
            <w:vMerge w:val="continue"/>
            <w:tcBorders>
              <w:left w:val="single" w:color="auto" w:sz="4" w:space="0"/>
              <w:right w:val="single" w:color="auto" w:sz="4" w:space="0"/>
            </w:tcBorders>
            <w:vAlign w:val="center"/>
          </w:tcPr>
          <w:p>
            <w:pPr>
              <w:spacing w:line="300" w:lineRule="auto"/>
              <w:jc w:val="left"/>
              <w:rPr>
                <w:rFonts w:cs="宋体"/>
                <w:color w:val="auto"/>
                <w:kern w:val="1"/>
                <w:sz w:val="21"/>
                <w:szCs w:val="21"/>
                <w:highlight w:val="none"/>
              </w:rPr>
            </w:pPr>
          </w:p>
        </w:tc>
        <w:tc>
          <w:tcPr>
            <w:tcW w:w="1701" w:type="dxa"/>
            <w:gridSpan w:val="2"/>
            <w:tcBorders>
              <w:left w:val="single" w:color="auto" w:sz="4" w:space="0"/>
            </w:tcBorders>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投标文件不得存在的情形</w:t>
            </w:r>
          </w:p>
        </w:tc>
        <w:tc>
          <w:tcPr>
            <w:tcW w:w="5387" w:type="dxa"/>
            <w:vAlign w:val="center"/>
          </w:tcPr>
          <w:p>
            <w:pPr>
              <w:spacing w:line="300" w:lineRule="auto"/>
              <w:ind w:firstLine="420" w:firstLineChars="200"/>
              <w:rPr>
                <w:rFonts w:cs="宋体"/>
                <w:color w:val="auto"/>
                <w:kern w:val="1"/>
                <w:sz w:val="21"/>
                <w:szCs w:val="21"/>
                <w:highlight w:val="none"/>
              </w:rPr>
            </w:pPr>
            <w:r>
              <w:rPr>
                <w:rFonts w:hint="eastAsia" w:cs="宋体"/>
                <w:color w:val="auto"/>
                <w:kern w:val="1"/>
                <w:sz w:val="21"/>
                <w:szCs w:val="21"/>
                <w:highlight w:val="none"/>
              </w:rPr>
              <w:t>已标价工程量清单XML电子文档不符合</w:t>
            </w:r>
            <w:r>
              <w:rPr>
                <w:rFonts w:cs="宋体"/>
                <w:color w:val="auto"/>
                <w:kern w:val="1"/>
                <w:sz w:val="21"/>
                <w:szCs w:val="21"/>
                <w:highlight w:val="none"/>
              </w:rPr>
              <w:t>第二章</w:t>
            </w:r>
            <w:r>
              <w:rPr>
                <w:rFonts w:hint="eastAsia" w:cs="宋体"/>
                <w:color w:val="auto"/>
                <w:kern w:val="1"/>
                <w:sz w:val="21"/>
                <w:szCs w:val="21"/>
                <w:highlight w:val="none"/>
              </w:rPr>
              <w:t>“投标人须知”第3</w:t>
            </w:r>
            <w:r>
              <w:rPr>
                <w:rFonts w:cs="宋体"/>
                <w:color w:val="auto"/>
                <w:kern w:val="1"/>
                <w:sz w:val="21"/>
                <w:szCs w:val="21"/>
                <w:highlight w:val="none"/>
              </w:rPr>
              <w:t>.6.1</w:t>
            </w:r>
            <w:r>
              <w:rPr>
                <w:rFonts w:hint="eastAsia" w:cs="宋体"/>
                <w:color w:val="auto"/>
                <w:kern w:val="1"/>
                <w:sz w:val="21"/>
                <w:szCs w:val="21"/>
                <w:highlight w:val="none"/>
              </w:rPr>
              <w:t>项规定，或记录的软硬件信息经电子招标投标交易平台校验认定被篡改的，或已标价工程量清单XML电子文档或者电子投标文件记录的计算机硬件信息中，存在一条及以上的计算机的CPU序列号、硬盘序列号空值的。</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c>
          <w:tcPr>
            <w:tcW w:w="710" w:type="dxa"/>
            <w:vMerge w:val="restart"/>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3</w:t>
            </w:r>
          </w:p>
        </w:tc>
        <w:tc>
          <w:tcPr>
            <w:tcW w:w="850" w:type="dxa"/>
            <w:vMerge w:val="restart"/>
            <w:vAlign w:val="center"/>
          </w:tcPr>
          <w:p>
            <w:pPr>
              <w:spacing w:line="300" w:lineRule="auto"/>
              <w:jc w:val="center"/>
              <w:rPr>
                <w:rFonts w:cs="宋体"/>
                <w:color w:val="auto"/>
                <w:kern w:val="1"/>
                <w:sz w:val="21"/>
                <w:szCs w:val="21"/>
                <w:highlight w:val="none"/>
              </w:rPr>
            </w:pPr>
            <w:r>
              <w:rPr>
                <w:rFonts w:hint="eastAsia"/>
                <w:color w:val="auto"/>
                <w:sz w:val="21"/>
                <w:szCs w:val="21"/>
                <w:highlight w:val="none"/>
                <w:lang w:val="zh-CN" w:bidi="zh-CN"/>
              </w:rPr>
              <w:t>4.4</w:t>
            </w:r>
          </w:p>
        </w:tc>
        <w:tc>
          <w:tcPr>
            <w:tcW w:w="1134" w:type="dxa"/>
            <w:vMerge w:val="restart"/>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初步评审</w:t>
            </w:r>
          </w:p>
        </w:tc>
        <w:tc>
          <w:tcPr>
            <w:tcW w:w="1701" w:type="dxa"/>
            <w:gridSpan w:val="2"/>
            <w:vAlign w:val="center"/>
          </w:tcPr>
          <w:p>
            <w:pPr>
              <w:spacing w:line="300" w:lineRule="auto"/>
              <w:jc w:val="center"/>
              <w:rPr>
                <w:rFonts w:cs="宋体"/>
                <w:color w:val="auto"/>
                <w:kern w:val="1"/>
                <w:sz w:val="21"/>
                <w:szCs w:val="21"/>
                <w:highlight w:val="none"/>
              </w:rPr>
            </w:pPr>
            <w:r>
              <w:rPr>
                <w:rFonts w:cs="宋体"/>
                <w:color w:val="auto"/>
                <w:kern w:val="1"/>
                <w:sz w:val="21"/>
                <w:szCs w:val="21"/>
                <w:highlight w:val="none"/>
                <w:lang w:val="zh-CN" w:bidi="zh-CN"/>
              </w:rPr>
              <w:t>投标人名称</w:t>
            </w:r>
          </w:p>
        </w:tc>
        <w:tc>
          <w:tcPr>
            <w:tcW w:w="5387" w:type="dxa"/>
            <w:vAlign w:val="center"/>
          </w:tcPr>
          <w:p>
            <w:pPr>
              <w:spacing w:line="300" w:lineRule="auto"/>
              <w:ind w:firstLine="420" w:firstLineChars="200"/>
              <w:jc w:val="left"/>
              <w:rPr>
                <w:rFonts w:cs="宋体"/>
                <w:color w:val="auto"/>
                <w:kern w:val="1"/>
                <w:sz w:val="21"/>
                <w:szCs w:val="21"/>
                <w:highlight w:val="none"/>
              </w:rPr>
            </w:pPr>
            <w:r>
              <w:rPr>
                <w:rFonts w:cs="宋体"/>
                <w:color w:val="auto"/>
                <w:kern w:val="1"/>
                <w:sz w:val="21"/>
                <w:szCs w:val="21"/>
                <w:highlight w:val="none"/>
              </w:rPr>
              <w:t>商务文件的投标人名称与资格文件中投标人名称一致</w:t>
            </w:r>
            <w:r>
              <w:rPr>
                <w:rFonts w:hint="eastAsia" w:cs="宋体"/>
                <w:color w:val="auto"/>
                <w:kern w:val="1"/>
                <w:sz w:val="21"/>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c>
          <w:tcPr>
            <w:tcW w:w="710" w:type="dxa"/>
            <w:vMerge w:val="continue"/>
            <w:vAlign w:val="center"/>
          </w:tcPr>
          <w:p>
            <w:pPr>
              <w:spacing w:line="300" w:lineRule="auto"/>
              <w:jc w:val="center"/>
              <w:rPr>
                <w:rFonts w:cs="宋体"/>
                <w:color w:val="auto"/>
                <w:kern w:val="1"/>
                <w:sz w:val="21"/>
                <w:szCs w:val="21"/>
                <w:highlight w:val="none"/>
              </w:rPr>
            </w:pPr>
          </w:p>
        </w:tc>
        <w:tc>
          <w:tcPr>
            <w:tcW w:w="850" w:type="dxa"/>
            <w:vMerge w:val="continue"/>
            <w:vAlign w:val="center"/>
          </w:tcPr>
          <w:p>
            <w:pPr>
              <w:spacing w:line="300" w:lineRule="auto"/>
              <w:jc w:val="center"/>
              <w:rPr>
                <w:color w:val="auto"/>
                <w:sz w:val="21"/>
                <w:szCs w:val="21"/>
                <w:highlight w:val="none"/>
                <w:lang w:val="zh-CN" w:bidi="zh-CN"/>
              </w:rPr>
            </w:pPr>
          </w:p>
        </w:tc>
        <w:tc>
          <w:tcPr>
            <w:tcW w:w="1134" w:type="dxa"/>
            <w:vMerge w:val="continue"/>
            <w:vAlign w:val="center"/>
          </w:tcPr>
          <w:p>
            <w:pPr>
              <w:spacing w:line="300" w:lineRule="auto"/>
              <w:jc w:val="center"/>
              <w:rPr>
                <w:rFonts w:cs="宋体"/>
                <w:color w:val="auto"/>
                <w:kern w:val="1"/>
                <w:sz w:val="21"/>
                <w:szCs w:val="21"/>
                <w:highlight w:val="none"/>
              </w:rPr>
            </w:pPr>
          </w:p>
        </w:tc>
        <w:tc>
          <w:tcPr>
            <w:tcW w:w="1701" w:type="dxa"/>
            <w:gridSpan w:val="2"/>
            <w:vAlign w:val="center"/>
          </w:tcPr>
          <w:p>
            <w:pPr>
              <w:autoSpaceDE w:val="0"/>
              <w:autoSpaceDN w:val="0"/>
              <w:spacing w:line="300" w:lineRule="auto"/>
              <w:jc w:val="center"/>
              <w:rPr>
                <w:rFonts w:cs="宋体"/>
                <w:color w:val="auto"/>
                <w:kern w:val="1"/>
                <w:sz w:val="21"/>
                <w:szCs w:val="21"/>
                <w:highlight w:val="none"/>
              </w:rPr>
            </w:pPr>
            <w:r>
              <w:rPr>
                <w:rFonts w:hint="eastAsia" w:cs="宋体"/>
                <w:color w:val="auto"/>
                <w:kern w:val="1"/>
                <w:sz w:val="21"/>
                <w:szCs w:val="21"/>
                <w:highlight w:val="none"/>
              </w:rPr>
              <w:t>投标文件内容、格式与</w:t>
            </w:r>
            <w:r>
              <w:rPr>
                <w:rFonts w:hint="eastAsia" w:cs="宋体"/>
                <w:color w:val="auto"/>
                <w:sz w:val="21"/>
                <w:szCs w:val="21"/>
                <w:highlight w:val="none"/>
              </w:rPr>
              <w:t>签署</w:t>
            </w:r>
          </w:p>
        </w:tc>
        <w:tc>
          <w:tcPr>
            <w:tcW w:w="5387" w:type="dxa"/>
            <w:vAlign w:val="center"/>
          </w:tcPr>
          <w:p>
            <w:pPr>
              <w:autoSpaceDE w:val="0"/>
              <w:autoSpaceDN w:val="0"/>
              <w:spacing w:line="300" w:lineRule="auto"/>
              <w:ind w:firstLine="420" w:firstLineChars="200"/>
              <w:jc w:val="left"/>
              <w:rPr>
                <w:rFonts w:cs="宋体"/>
                <w:color w:val="auto"/>
                <w:kern w:val="1"/>
                <w:sz w:val="21"/>
                <w:szCs w:val="21"/>
                <w:highlight w:val="none"/>
              </w:rPr>
            </w:pPr>
            <w:r>
              <w:rPr>
                <w:rFonts w:hint="eastAsia" w:cs="宋体"/>
                <w:color w:val="auto"/>
                <w:kern w:val="1"/>
                <w:sz w:val="21"/>
                <w:szCs w:val="21"/>
                <w:highlight w:val="none"/>
              </w:rPr>
              <w:t>按照第九章“投标文件格式”规定的格式，提供了商务文件的全部内容和技术文件，且商务文件</w:t>
            </w:r>
            <w:r>
              <w:rPr>
                <w:rFonts w:hint="eastAsia" w:cs="宋体"/>
                <w:color w:val="auto"/>
                <w:sz w:val="21"/>
                <w:szCs w:val="21"/>
                <w:highlight w:val="none"/>
              </w:rPr>
              <w:t>按规定盖章或签字。</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c>
          <w:tcPr>
            <w:tcW w:w="710" w:type="dxa"/>
            <w:vMerge w:val="continue"/>
            <w:vAlign w:val="center"/>
          </w:tcPr>
          <w:p>
            <w:pPr>
              <w:spacing w:line="300" w:lineRule="auto"/>
              <w:jc w:val="center"/>
              <w:rPr>
                <w:rFonts w:cs="宋体"/>
                <w:color w:val="auto"/>
                <w:kern w:val="1"/>
                <w:sz w:val="21"/>
                <w:szCs w:val="21"/>
                <w:highlight w:val="none"/>
              </w:rPr>
            </w:pPr>
          </w:p>
        </w:tc>
        <w:tc>
          <w:tcPr>
            <w:tcW w:w="850" w:type="dxa"/>
            <w:vMerge w:val="continue"/>
            <w:vAlign w:val="center"/>
          </w:tcPr>
          <w:p>
            <w:pPr>
              <w:spacing w:line="300" w:lineRule="auto"/>
              <w:jc w:val="center"/>
              <w:rPr>
                <w:color w:val="auto"/>
                <w:sz w:val="21"/>
                <w:szCs w:val="21"/>
                <w:highlight w:val="none"/>
                <w:lang w:val="zh-CN" w:bidi="zh-CN"/>
              </w:rPr>
            </w:pPr>
          </w:p>
        </w:tc>
        <w:tc>
          <w:tcPr>
            <w:tcW w:w="1134" w:type="dxa"/>
            <w:vMerge w:val="continue"/>
            <w:vAlign w:val="center"/>
          </w:tcPr>
          <w:p>
            <w:pPr>
              <w:spacing w:line="300" w:lineRule="auto"/>
              <w:jc w:val="center"/>
              <w:rPr>
                <w:rFonts w:cs="宋体"/>
                <w:color w:val="auto"/>
                <w:kern w:val="1"/>
                <w:sz w:val="21"/>
                <w:szCs w:val="21"/>
                <w:highlight w:val="none"/>
              </w:rPr>
            </w:pPr>
          </w:p>
        </w:tc>
        <w:tc>
          <w:tcPr>
            <w:tcW w:w="1701" w:type="dxa"/>
            <w:gridSpan w:val="2"/>
            <w:vAlign w:val="center"/>
          </w:tcPr>
          <w:p>
            <w:pPr>
              <w:spacing w:line="300" w:lineRule="auto"/>
              <w:jc w:val="center"/>
              <w:rPr>
                <w:rFonts w:cs="宋体"/>
                <w:color w:val="auto"/>
                <w:kern w:val="1"/>
                <w:sz w:val="21"/>
                <w:szCs w:val="21"/>
                <w:highlight w:val="none"/>
              </w:rPr>
            </w:pPr>
            <w:r>
              <w:rPr>
                <w:rFonts w:cs="宋体"/>
                <w:color w:val="auto"/>
                <w:kern w:val="1"/>
                <w:sz w:val="21"/>
                <w:szCs w:val="21"/>
                <w:highlight w:val="none"/>
              </w:rPr>
              <w:t>投标文件文字、数据清晰程度</w:t>
            </w:r>
          </w:p>
        </w:tc>
        <w:tc>
          <w:tcPr>
            <w:tcW w:w="5387" w:type="dxa"/>
            <w:vAlign w:val="center"/>
          </w:tcPr>
          <w:p>
            <w:pPr>
              <w:spacing w:line="300" w:lineRule="auto"/>
              <w:ind w:firstLine="340"/>
              <w:jc w:val="left"/>
              <w:rPr>
                <w:rFonts w:cs="宋体"/>
                <w:color w:val="auto"/>
                <w:kern w:val="1"/>
                <w:sz w:val="21"/>
                <w:szCs w:val="21"/>
                <w:highlight w:val="none"/>
              </w:rPr>
            </w:pPr>
            <w:r>
              <w:rPr>
                <w:rFonts w:cs="宋体"/>
                <w:color w:val="auto"/>
                <w:kern w:val="1"/>
                <w:sz w:val="21"/>
                <w:szCs w:val="21"/>
                <w:highlight w:val="none"/>
              </w:rPr>
              <w:t>投标文件中涉及关键性或实质性的文字、数据未被三分之二及以上的评委认为模糊辨认不清。</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8165" w:hRule="atLeast"/>
        </w:trPr>
        <w:tc>
          <w:tcPr>
            <w:tcW w:w="710" w:type="dxa"/>
            <w:vMerge w:val="continue"/>
            <w:vAlign w:val="center"/>
          </w:tcPr>
          <w:p>
            <w:pPr>
              <w:spacing w:line="300" w:lineRule="auto"/>
              <w:jc w:val="left"/>
              <w:rPr>
                <w:rFonts w:cs="宋体"/>
                <w:color w:val="auto"/>
                <w:kern w:val="1"/>
                <w:sz w:val="21"/>
                <w:szCs w:val="21"/>
                <w:highlight w:val="none"/>
              </w:rPr>
            </w:pPr>
          </w:p>
        </w:tc>
        <w:tc>
          <w:tcPr>
            <w:tcW w:w="850" w:type="dxa"/>
            <w:vMerge w:val="continue"/>
          </w:tcPr>
          <w:p>
            <w:pPr>
              <w:spacing w:line="300" w:lineRule="auto"/>
              <w:jc w:val="left"/>
              <w:rPr>
                <w:rFonts w:cs="宋体"/>
                <w:color w:val="auto"/>
                <w:kern w:val="1"/>
                <w:sz w:val="21"/>
                <w:szCs w:val="21"/>
                <w:highlight w:val="none"/>
              </w:rPr>
            </w:pPr>
          </w:p>
        </w:tc>
        <w:tc>
          <w:tcPr>
            <w:tcW w:w="1134" w:type="dxa"/>
            <w:vMerge w:val="continue"/>
            <w:vAlign w:val="center"/>
          </w:tcPr>
          <w:p>
            <w:pPr>
              <w:spacing w:line="300" w:lineRule="auto"/>
              <w:jc w:val="left"/>
              <w:rPr>
                <w:rFonts w:cs="宋体"/>
                <w:color w:val="auto"/>
                <w:kern w:val="1"/>
                <w:sz w:val="21"/>
                <w:szCs w:val="21"/>
                <w:highlight w:val="none"/>
              </w:rPr>
            </w:pPr>
          </w:p>
        </w:tc>
        <w:tc>
          <w:tcPr>
            <w:tcW w:w="1701" w:type="dxa"/>
            <w:gridSpan w:val="2"/>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投标报价不得存在的情形</w:t>
            </w:r>
          </w:p>
        </w:tc>
        <w:tc>
          <w:tcPr>
            <w:tcW w:w="5387" w:type="dxa"/>
            <w:vAlign w:val="center"/>
          </w:tcPr>
          <w:p>
            <w:pPr>
              <w:spacing w:line="300" w:lineRule="auto"/>
              <w:ind w:firstLine="420" w:firstLineChars="200"/>
              <w:jc w:val="left"/>
              <w:rPr>
                <w:rFonts w:cs="宋体"/>
                <w:color w:val="auto"/>
                <w:kern w:val="1"/>
                <w:sz w:val="21"/>
                <w:szCs w:val="21"/>
                <w:highlight w:val="none"/>
              </w:rPr>
            </w:pPr>
            <w:r>
              <w:rPr>
                <w:rFonts w:hint="eastAsia" w:cs="宋体"/>
                <w:color w:val="auto"/>
                <w:kern w:val="1"/>
                <w:sz w:val="21"/>
                <w:szCs w:val="21"/>
                <w:highlight w:val="none"/>
              </w:rPr>
              <w:t>1.投标人递交两份或多份内容不同的投标文件，或在一份投标文件中对同一招标项目报有两个或多个报价，且未声明哪一个有效（按招标文件规定要求提交备选投标方案的除外）。</w:t>
            </w:r>
          </w:p>
          <w:p>
            <w:pPr>
              <w:spacing w:line="300" w:lineRule="auto"/>
              <w:ind w:firstLine="420" w:firstLineChars="200"/>
              <w:jc w:val="left"/>
              <w:rPr>
                <w:rFonts w:cs="宋体"/>
                <w:color w:val="auto"/>
                <w:kern w:val="1"/>
                <w:sz w:val="21"/>
                <w:szCs w:val="21"/>
                <w:highlight w:val="none"/>
              </w:rPr>
            </w:pPr>
            <w:r>
              <w:rPr>
                <w:rFonts w:hint="eastAsia" w:cs="宋体"/>
                <w:color w:val="auto"/>
                <w:kern w:val="1"/>
                <w:sz w:val="21"/>
                <w:szCs w:val="21"/>
                <w:highlight w:val="none"/>
              </w:rPr>
              <w:t>2.投标报价总价（如有修正，为修正后报价）高于最高投标报价限价。</w:t>
            </w:r>
          </w:p>
          <w:p>
            <w:pPr>
              <w:spacing w:line="300" w:lineRule="auto"/>
              <w:ind w:firstLine="420" w:firstLineChars="200"/>
              <w:jc w:val="left"/>
              <w:rPr>
                <w:rFonts w:cs="宋体"/>
                <w:color w:val="auto"/>
                <w:kern w:val="1"/>
                <w:sz w:val="21"/>
                <w:szCs w:val="21"/>
                <w:highlight w:val="none"/>
              </w:rPr>
            </w:pPr>
            <w:r>
              <w:rPr>
                <w:rFonts w:hint="eastAsia" w:cs="宋体"/>
                <w:color w:val="auto"/>
                <w:kern w:val="1"/>
                <w:sz w:val="21"/>
                <w:szCs w:val="21"/>
                <w:highlight w:val="none"/>
              </w:rPr>
              <w:t>3.投标报价中工程项目总价表中的单项工程费金额与相对应的单项工程费汇总表中合计金额不一致的，或单项工程费汇总表中的单位工程费金额与相对应的单位工程费汇总表中的合计金额不一致，或单位工程费汇总表中的各项清单计价合计与相对应的清单计价表中的合计金额不一致（因“四舍五入”引起的计算误差可以视为细微偏差）。</w:t>
            </w:r>
          </w:p>
          <w:p>
            <w:pPr>
              <w:spacing w:line="300" w:lineRule="auto"/>
              <w:ind w:firstLine="420" w:firstLineChars="200"/>
              <w:jc w:val="left"/>
              <w:rPr>
                <w:rFonts w:cs="宋体"/>
                <w:color w:val="auto"/>
                <w:kern w:val="1"/>
                <w:sz w:val="21"/>
                <w:szCs w:val="21"/>
                <w:highlight w:val="none"/>
              </w:rPr>
            </w:pPr>
            <w:r>
              <w:rPr>
                <w:rFonts w:hint="eastAsia" w:cs="宋体"/>
                <w:color w:val="auto"/>
                <w:kern w:val="1"/>
                <w:sz w:val="21"/>
                <w:szCs w:val="21"/>
                <w:highlight w:val="none"/>
              </w:rPr>
              <w:t>4.投标报价中影响工程质量安全的基础、主体结构等主要分部分项工程综合单价，低于最高投标报价限价中相应综合单价的85％。前述有关分部分项工程综合单价详见第六章工程量清单与计价中最高投标报价限价附件。</w:t>
            </w:r>
          </w:p>
          <w:p>
            <w:pPr>
              <w:tabs>
                <w:tab w:val="left" w:pos="720"/>
                <w:tab w:val="left" w:pos="900"/>
              </w:tabs>
              <w:adjustRightInd w:val="0"/>
              <w:spacing w:line="300" w:lineRule="auto"/>
              <w:ind w:firstLine="420" w:firstLineChars="200"/>
              <w:textAlignment w:val="baseline"/>
              <w:rPr>
                <w:rFonts w:cs="宋体"/>
                <w:color w:val="auto"/>
                <w:kern w:val="1"/>
                <w:sz w:val="21"/>
                <w:szCs w:val="21"/>
                <w:highlight w:val="none"/>
              </w:rPr>
            </w:pPr>
            <w:r>
              <w:rPr>
                <w:rFonts w:hint="eastAsia" w:cs="宋体"/>
                <w:color w:val="auto"/>
                <w:kern w:val="1"/>
                <w:sz w:val="21"/>
                <w:szCs w:val="21"/>
                <w:highlight w:val="none"/>
              </w:rPr>
              <w:t>5.投标报价中影响工程质量安全的脚手架、混凝土及钢筋混凝土模板、垂直运输机械、基坑支护等措施项目报价低于最高投标报价限价相应项目费用的85％。前述有关措施项目费用详见第六章工程量清单与计价中最高投标报价限价附件。</w:t>
            </w:r>
          </w:p>
          <w:p>
            <w:pPr>
              <w:pStyle w:val="59"/>
              <w:spacing w:after="0" w:line="300" w:lineRule="auto"/>
              <w:ind w:left="0" w:firstLineChars="200"/>
              <w:rPr>
                <w:rFonts w:ascii="宋体" w:hAnsi="宋体"/>
                <w:color w:val="auto"/>
                <w:highlight w:val="none"/>
              </w:rPr>
            </w:pPr>
            <w:r>
              <w:rPr>
                <w:rFonts w:hint="eastAsia" w:ascii="宋体" w:hAnsi="宋体" w:cs="宋体"/>
                <w:color w:val="auto"/>
                <w:szCs w:val="21"/>
                <w:highlight w:val="none"/>
              </w:rPr>
              <w:t>6.投标报价中影响工程质量安全的钢筋、钢结构的钢材、商品混凝土、水泥、预制桩、装配式建筑的预制构件、沥青及沥青混凝土、电线电缆、铸铁管等主要材料、设备单价，低于最高投标报价限价相应材料、设备单价的85％。前述有关主要材料、设备单价详见第六章工程量清单与计价中最高投标报价限价附件。</w:t>
            </w:r>
          </w:p>
          <w:p>
            <w:pPr>
              <w:pStyle w:val="59"/>
              <w:spacing w:after="0" w:line="300" w:lineRule="auto"/>
              <w:ind w:left="0" w:firstLineChars="200"/>
              <w:rPr>
                <w:rFonts w:ascii="宋体" w:hAnsi="宋体"/>
                <w:color w:val="auto"/>
                <w:highlight w:val="none"/>
              </w:rPr>
            </w:pPr>
            <w:r>
              <w:rPr>
                <w:rFonts w:hint="eastAsia" w:cs="宋体"/>
                <w:color w:val="auto"/>
                <w:szCs w:val="21"/>
                <w:highlight w:val="none"/>
              </w:rPr>
              <w:t>7.安全文明施工费按照费率计算的，其费率低于最高投标报价限价相应费率；安全文明施工费按照最低金额计算的，其金额低于最高投标报价限价相应金额。</w:t>
            </w:r>
          </w:p>
          <w:p>
            <w:pPr>
              <w:adjustRightInd w:val="0"/>
              <w:spacing w:line="300" w:lineRule="auto"/>
              <w:ind w:firstLine="420" w:firstLineChars="200"/>
              <w:textAlignment w:val="baseline"/>
              <w:rPr>
                <w:rFonts w:cs="宋体"/>
                <w:color w:val="auto"/>
                <w:kern w:val="1"/>
                <w:sz w:val="21"/>
                <w:szCs w:val="21"/>
                <w:highlight w:val="none"/>
              </w:rPr>
            </w:pPr>
            <w:r>
              <w:rPr>
                <w:rFonts w:hint="eastAsia" w:cs="宋体"/>
                <w:color w:val="auto"/>
                <w:kern w:val="1"/>
                <w:sz w:val="21"/>
                <w:szCs w:val="21"/>
                <w:highlight w:val="none"/>
              </w:rPr>
              <w:t>8.暂列金额、专业工程暂估价不按照招标工程量清单中列出金额填写。</w:t>
            </w:r>
          </w:p>
          <w:p>
            <w:pPr>
              <w:adjustRightInd w:val="0"/>
              <w:spacing w:line="300" w:lineRule="auto"/>
              <w:ind w:firstLine="420" w:firstLineChars="200"/>
              <w:textAlignment w:val="baseline"/>
              <w:rPr>
                <w:rFonts w:cs="宋体"/>
                <w:color w:val="auto"/>
                <w:kern w:val="1"/>
                <w:sz w:val="21"/>
                <w:szCs w:val="21"/>
                <w:highlight w:val="none"/>
              </w:rPr>
            </w:pPr>
            <w:r>
              <w:rPr>
                <w:rFonts w:hint="eastAsia" w:cs="宋体"/>
                <w:color w:val="auto"/>
                <w:kern w:val="1"/>
                <w:sz w:val="21"/>
                <w:szCs w:val="21"/>
                <w:highlight w:val="none"/>
              </w:rPr>
              <w:t>9.项目编码、项目名称、项目特征、计量单位、工程量与招标工程量清单相应内容不一致。</w:t>
            </w:r>
          </w:p>
          <w:p>
            <w:pPr>
              <w:adjustRightInd w:val="0"/>
              <w:spacing w:line="300" w:lineRule="auto"/>
              <w:ind w:firstLine="420" w:firstLineChars="200"/>
              <w:textAlignment w:val="baseline"/>
              <w:rPr>
                <w:rFonts w:cs="宋体"/>
                <w:color w:val="auto"/>
                <w:kern w:val="1"/>
                <w:sz w:val="21"/>
                <w:szCs w:val="21"/>
                <w:highlight w:val="none"/>
              </w:rPr>
            </w:pPr>
            <w:r>
              <w:rPr>
                <w:rFonts w:hint="eastAsia" w:cs="宋体"/>
                <w:color w:val="auto"/>
                <w:kern w:val="1"/>
                <w:sz w:val="21"/>
                <w:szCs w:val="21"/>
                <w:highlight w:val="none"/>
              </w:rPr>
              <w:t>10.甲供材料费未作为企业管理费、利润、规费、总价措施项目费、优质工程增加费、缩短定额工期增加费等相关费用的取费基数。</w:t>
            </w:r>
          </w:p>
          <w:p>
            <w:pPr>
              <w:spacing w:line="300" w:lineRule="auto"/>
              <w:ind w:firstLine="420" w:firstLineChars="200"/>
              <w:jc w:val="left"/>
              <w:rPr>
                <w:rFonts w:cs="宋体"/>
                <w:color w:val="auto"/>
                <w:kern w:val="1"/>
                <w:sz w:val="21"/>
                <w:szCs w:val="21"/>
                <w:highlight w:val="none"/>
              </w:rPr>
            </w:pPr>
            <w:r>
              <w:rPr>
                <w:rFonts w:hint="eastAsia" w:cs="宋体"/>
                <w:color w:val="auto"/>
                <w:kern w:val="1"/>
                <w:sz w:val="21"/>
                <w:szCs w:val="21"/>
                <w:highlight w:val="none"/>
              </w:rPr>
              <w:t>11.不同投标人的投标报价呈规律性变化的。</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c>
          <w:tcPr>
            <w:tcW w:w="710" w:type="dxa"/>
            <w:vMerge w:val="continue"/>
            <w:vAlign w:val="center"/>
          </w:tcPr>
          <w:p>
            <w:pPr>
              <w:spacing w:line="300" w:lineRule="auto"/>
              <w:jc w:val="left"/>
              <w:rPr>
                <w:rFonts w:cs="宋体"/>
                <w:color w:val="auto"/>
                <w:kern w:val="1"/>
                <w:sz w:val="21"/>
                <w:szCs w:val="21"/>
                <w:highlight w:val="none"/>
              </w:rPr>
            </w:pPr>
          </w:p>
        </w:tc>
        <w:tc>
          <w:tcPr>
            <w:tcW w:w="850" w:type="dxa"/>
            <w:vMerge w:val="continue"/>
          </w:tcPr>
          <w:p>
            <w:pPr>
              <w:spacing w:line="300" w:lineRule="auto"/>
              <w:jc w:val="left"/>
              <w:rPr>
                <w:rFonts w:cs="宋体"/>
                <w:color w:val="auto"/>
                <w:kern w:val="1"/>
                <w:sz w:val="21"/>
                <w:szCs w:val="21"/>
                <w:highlight w:val="none"/>
              </w:rPr>
            </w:pPr>
          </w:p>
        </w:tc>
        <w:tc>
          <w:tcPr>
            <w:tcW w:w="1134" w:type="dxa"/>
            <w:vMerge w:val="continue"/>
            <w:vAlign w:val="center"/>
          </w:tcPr>
          <w:p>
            <w:pPr>
              <w:spacing w:line="300" w:lineRule="auto"/>
              <w:jc w:val="left"/>
              <w:rPr>
                <w:rFonts w:cs="宋体"/>
                <w:color w:val="auto"/>
                <w:kern w:val="1"/>
                <w:sz w:val="21"/>
                <w:szCs w:val="21"/>
                <w:highlight w:val="none"/>
              </w:rPr>
            </w:pPr>
          </w:p>
        </w:tc>
        <w:tc>
          <w:tcPr>
            <w:tcW w:w="1701" w:type="dxa"/>
            <w:gridSpan w:val="2"/>
            <w:vAlign w:val="center"/>
          </w:tcPr>
          <w:p>
            <w:pPr>
              <w:spacing w:line="300" w:lineRule="auto"/>
              <w:jc w:val="center"/>
              <w:rPr>
                <w:rFonts w:cs="宋体"/>
                <w:color w:val="auto"/>
                <w:kern w:val="1"/>
                <w:sz w:val="21"/>
                <w:szCs w:val="21"/>
                <w:highlight w:val="none"/>
              </w:rPr>
            </w:pPr>
            <w:r>
              <w:rPr>
                <w:rFonts w:cs="宋体"/>
                <w:color w:val="auto"/>
                <w:kern w:val="1"/>
                <w:sz w:val="21"/>
                <w:szCs w:val="21"/>
                <w:highlight w:val="none"/>
              </w:rPr>
              <w:t>工期</w:t>
            </w:r>
          </w:p>
        </w:tc>
        <w:tc>
          <w:tcPr>
            <w:tcW w:w="5387" w:type="dxa"/>
            <w:vAlign w:val="center"/>
          </w:tcPr>
          <w:p>
            <w:pPr>
              <w:spacing w:line="300" w:lineRule="auto"/>
              <w:ind w:firstLine="340"/>
              <w:jc w:val="left"/>
              <w:rPr>
                <w:rFonts w:cs="宋体"/>
                <w:color w:val="auto"/>
                <w:kern w:val="1"/>
                <w:sz w:val="21"/>
                <w:szCs w:val="21"/>
                <w:highlight w:val="none"/>
              </w:rPr>
            </w:pPr>
            <w:r>
              <w:rPr>
                <w:rFonts w:hint="eastAsia" w:cs="宋体"/>
                <w:color w:val="auto"/>
                <w:kern w:val="1"/>
                <w:sz w:val="21"/>
                <w:szCs w:val="21"/>
                <w:highlight w:val="none"/>
              </w:rPr>
              <w:t>不超过</w:t>
            </w:r>
            <w:r>
              <w:rPr>
                <w:rFonts w:cs="宋体"/>
                <w:color w:val="auto"/>
                <w:kern w:val="1"/>
                <w:sz w:val="21"/>
                <w:szCs w:val="21"/>
                <w:highlight w:val="none"/>
              </w:rPr>
              <w:t>第二章“投标人须知”第</w:t>
            </w:r>
            <w:r>
              <w:rPr>
                <w:rFonts w:hint="eastAsia" w:cs="宋体"/>
                <w:color w:val="auto"/>
                <w:kern w:val="1"/>
                <w:sz w:val="21"/>
                <w:szCs w:val="21"/>
                <w:highlight w:val="none"/>
              </w:rPr>
              <w:t>1.1.9</w:t>
            </w:r>
            <w:r>
              <w:rPr>
                <w:rFonts w:cs="宋体"/>
                <w:color w:val="auto"/>
                <w:kern w:val="1"/>
                <w:sz w:val="21"/>
                <w:szCs w:val="21"/>
                <w:highlight w:val="none"/>
              </w:rPr>
              <w:t>项规定</w:t>
            </w:r>
            <w:r>
              <w:rPr>
                <w:rFonts w:hint="eastAsia" w:cs="宋体"/>
                <w:color w:val="auto"/>
                <w:kern w:val="1"/>
                <w:sz w:val="21"/>
                <w:szCs w:val="21"/>
                <w:highlight w:val="none"/>
              </w:rPr>
              <w:t>的计划工期（包括各关键节点工期）。</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c>
          <w:tcPr>
            <w:tcW w:w="710" w:type="dxa"/>
            <w:vMerge w:val="continue"/>
            <w:vAlign w:val="center"/>
          </w:tcPr>
          <w:p>
            <w:pPr>
              <w:spacing w:line="300" w:lineRule="auto"/>
              <w:jc w:val="left"/>
              <w:rPr>
                <w:rFonts w:cs="宋体"/>
                <w:color w:val="auto"/>
                <w:kern w:val="1"/>
                <w:sz w:val="21"/>
                <w:szCs w:val="21"/>
                <w:highlight w:val="none"/>
              </w:rPr>
            </w:pPr>
          </w:p>
        </w:tc>
        <w:tc>
          <w:tcPr>
            <w:tcW w:w="850" w:type="dxa"/>
            <w:vMerge w:val="continue"/>
          </w:tcPr>
          <w:p>
            <w:pPr>
              <w:spacing w:line="300" w:lineRule="auto"/>
              <w:jc w:val="left"/>
              <w:rPr>
                <w:rFonts w:cs="宋体"/>
                <w:color w:val="auto"/>
                <w:kern w:val="1"/>
                <w:sz w:val="21"/>
                <w:szCs w:val="21"/>
                <w:highlight w:val="none"/>
              </w:rPr>
            </w:pPr>
          </w:p>
        </w:tc>
        <w:tc>
          <w:tcPr>
            <w:tcW w:w="1134" w:type="dxa"/>
            <w:vMerge w:val="continue"/>
            <w:vAlign w:val="center"/>
          </w:tcPr>
          <w:p>
            <w:pPr>
              <w:spacing w:line="300" w:lineRule="auto"/>
              <w:jc w:val="left"/>
              <w:rPr>
                <w:rFonts w:cs="宋体"/>
                <w:color w:val="auto"/>
                <w:kern w:val="1"/>
                <w:sz w:val="21"/>
                <w:szCs w:val="21"/>
                <w:highlight w:val="none"/>
              </w:rPr>
            </w:pPr>
          </w:p>
        </w:tc>
        <w:tc>
          <w:tcPr>
            <w:tcW w:w="1701" w:type="dxa"/>
            <w:gridSpan w:val="2"/>
            <w:vAlign w:val="center"/>
          </w:tcPr>
          <w:p>
            <w:pPr>
              <w:spacing w:line="300" w:lineRule="auto"/>
              <w:jc w:val="center"/>
              <w:rPr>
                <w:rFonts w:cs="宋体"/>
                <w:color w:val="auto"/>
                <w:kern w:val="1"/>
                <w:sz w:val="21"/>
                <w:szCs w:val="21"/>
                <w:highlight w:val="none"/>
              </w:rPr>
            </w:pPr>
            <w:r>
              <w:rPr>
                <w:rFonts w:cs="宋体"/>
                <w:color w:val="auto"/>
                <w:kern w:val="1"/>
                <w:sz w:val="21"/>
                <w:szCs w:val="21"/>
                <w:highlight w:val="none"/>
              </w:rPr>
              <w:t>质量</w:t>
            </w:r>
          </w:p>
        </w:tc>
        <w:tc>
          <w:tcPr>
            <w:tcW w:w="5387" w:type="dxa"/>
            <w:vAlign w:val="center"/>
          </w:tcPr>
          <w:p>
            <w:pPr>
              <w:spacing w:line="300" w:lineRule="auto"/>
              <w:ind w:firstLine="340"/>
              <w:jc w:val="left"/>
              <w:rPr>
                <w:rFonts w:cs="宋体"/>
                <w:color w:val="auto"/>
                <w:kern w:val="1"/>
                <w:sz w:val="21"/>
                <w:szCs w:val="21"/>
                <w:highlight w:val="none"/>
              </w:rPr>
            </w:pPr>
            <w:r>
              <w:rPr>
                <w:rFonts w:cs="宋体"/>
                <w:color w:val="auto"/>
                <w:kern w:val="1"/>
                <w:sz w:val="21"/>
                <w:szCs w:val="21"/>
                <w:highlight w:val="none"/>
              </w:rPr>
              <w:t>未低于第二章“投标人须知”第</w:t>
            </w:r>
            <w:r>
              <w:rPr>
                <w:rFonts w:hint="eastAsia" w:cs="宋体"/>
                <w:color w:val="auto"/>
                <w:kern w:val="1"/>
                <w:sz w:val="21"/>
                <w:szCs w:val="21"/>
                <w:highlight w:val="none"/>
              </w:rPr>
              <w:t>1.1.10</w:t>
            </w:r>
            <w:r>
              <w:rPr>
                <w:rFonts w:cs="宋体"/>
                <w:color w:val="auto"/>
                <w:kern w:val="1"/>
                <w:sz w:val="21"/>
                <w:szCs w:val="21"/>
                <w:highlight w:val="none"/>
              </w:rPr>
              <w:t>项规定</w:t>
            </w:r>
            <w:r>
              <w:rPr>
                <w:rFonts w:hint="eastAsia" w:cs="宋体"/>
                <w:color w:val="auto"/>
                <w:kern w:val="1"/>
                <w:sz w:val="21"/>
                <w:szCs w:val="21"/>
                <w:highlight w:val="none"/>
              </w:rPr>
              <w:t>的质量标准。</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387" w:hRule="atLeast"/>
        </w:trPr>
        <w:tc>
          <w:tcPr>
            <w:tcW w:w="710" w:type="dxa"/>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4</w:t>
            </w:r>
          </w:p>
        </w:tc>
        <w:tc>
          <w:tcPr>
            <w:tcW w:w="850" w:type="dxa"/>
            <w:vAlign w:val="center"/>
          </w:tcPr>
          <w:p>
            <w:pPr>
              <w:spacing w:line="300" w:lineRule="auto"/>
              <w:jc w:val="center"/>
              <w:rPr>
                <w:color w:val="auto"/>
                <w:kern w:val="1"/>
                <w:sz w:val="21"/>
                <w:szCs w:val="21"/>
                <w:highlight w:val="none"/>
                <w:lang w:val="zh-CN"/>
              </w:rPr>
            </w:pPr>
            <w:r>
              <w:rPr>
                <w:rFonts w:hint="eastAsia"/>
                <w:color w:val="auto"/>
                <w:sz w:val="21"/>
                <w:szCs w:val="21"/>
                <w:highlight w:val="none"/>
                <w:lang w:val="zh-CN" w:bidi="zh-CN"/>
              </w:rPr>
              <w:t>4.5</w:t>
            </w:r>
          </w:p>
          <w:p>
            <w:pPr>
              <w:spacing w:line="300" w:lineRule="auto"/>
              <w:jc w:val="center"/>
              <w:rPr>
                <w:rFonts w:cs="宋体"/>
                <w:color w:val="auto"/>
                <w:sz w:val="21"/>
                <w:szCs w:val="21"/>
                <w:highlight w:val="none"/>
                <w:lang w:val="zh-CN" w:bidi="zh-CN"/>
              </w:rPr>
            </w:pPr>
            <w:r>
              <w:rPr>
                <w:rFonts w:hint="eastAsia" w:cs="宋体"/>
                <w:color w:val="auto"/>
                <w:sz w:val="21"/>
                <w:szCs w:val="21"/>
                <w:highlight w:val="none"/>
                <w:lang w:val="zh-CN" w:bidi="zh-CN"/>
              </w:rPr>
              <w:t>4.6</w:t>
            </w:r>
          </w:p>
        </w:tc>
        <w:tc>
          <w:tcPr>
            <w:tcW w:w="1134" w:type="dxa"/>
            <w:tcBorders>
              <w:right w:val="single" w:color="auto" w:sz="4" w:space="0"/>
            </w:tcBorders>
            <w:vAlign w:val="center"/>
          </w:tcPr>
          <w:p>
            <w:pPr>
              <w:spacing w:line="300" w:lineRule="auto"/>
              <w:jc w:val="center"/>
              <w:rPr>
                <w:rFonts w:cs="宋体"/>
                <w:color w:val="auto"/>
                <w:sz w:val="21"/>
                <w:szCs w:val="21"/>
                <w:highlight w:val="none"/>
                <w:lang w:val="zh-CN" w:bidi="zh-CN"/>
              </w:rPr>
            </w:pPr>
            <w:r>
              <w:rPr>
                <w:rFonts w:cs="宋体"/>
                <w:color w:val="auto"/>
                <w:sz w:val="21"/>
                <w:szCs w:val="21"/>
                <w:highlight w:val="none"/>
                <w:lang w:val="zh-CN" w:bidi="zh-CN"/>
              </w:rPr>
              <w:t>澄清、说明</w:t>
            </w:r>
            <w:r>
              <w:rPr>
                <w:rFonts w:hint="eastAsia" w:cs="宋体"/>
                <w:color w:val="auto"/>
                <w:sz w:val="21"/>
                <w:szCs w:val="21"/>
                <w:highlight w:val="none"/>
                <w:lang w:val="zh-CN" w:bidi="zh-CN"/>
              </w:rPr>
              <w:t>和</w:t>
            </w:r>
            <w:r>
              <w:rPr>
                <w:rFonts w:cs="宋体"/>
                <w:color w:val="auto"/>
                <w:sz w:val="21"/>
                <w:szCs w:val="21"/>
                <w:highlight w:val="none"/>
                <w:lang w:val="zh-CN" w:bidi="zh-CN"/>
              </w:rPr>
              <w:t>补正</w:t>
            </w:r>
          </w:p>
          <w:p>
            <w:pPr>
              <w:spacing w:line="300" w:lineRule="auto"/>
              <w:jc w:val="center"/>
              <w:rPr>
                <w:rFonts w:cs="宋体"/>
                <w:color w:val="auto"/>
                <w:kern w:val="1"/>
                <w:sz w:val="21"/>
                <w:szCs w:val="21"/>
                <w:highlight w:val="none"/>
              </w:rPr>
            </w:pPr>
            <w:r>
              <w:rPr>
                <w:rFonts w:hint="eastAsia" w:cs="宋体"/>
                <w:color w:val="auto"/>
                <w:sz w:val="21"/>
                <w:szCs w:val="21"/>
                <w:highlight w:val="none"/>
                <w:lang w:val="zh-CN" w:bidi="zh-CN"/>
              </w:rPr>
              <w:t>或修正</w:t>
            </w:r>
          </w:p>
        </w:tc>
        <w:tc>
          <w:tcPr>
            <w:tcW w:w="1701" w:type="dxa"/>
            <w:gridSpan w:val="2"/>
            <w:tcBorders>
              <w:left w:val="single" w:color="auto" w:sz="4" w:space="0"/>
            </w:tcBorders>
            <w:vAlign w:val="center"/>
          </w:tcPr>
          <w:p>
            <w:pPr>
              <w:spacing w:line="300" w:lineRule="auto"/>
              <w:jc w:val="center"/>
              <w:rPr>
                <w:rFonts w:cs="宋体"/>
                <w:color w:val="auto"/>
                <w:kern w:val="1"/>
                <w:sz w:val="21"/>
                <w:szCs w:val="21"/>
                <w:highlight w:val="none"/>
              </w:rPr>
            </w:pPr>
            <w:r>
              <w:rPr>
                <w:rFonts w:cs="宋体"/>
                <w:color w:val="auto"/>
                <w:sz w:val="21"/>
                <w:szCs w:val="21"/>
                <w:highlight w:val="none"/>
                <w:lang w:val="zh-CN" w:bidi="zh-CN"/>
              </w:rPr>
              <w:t>投标人回复澄清、说明</w:t>
            </w:r>
            <w:r>
              <w:rPr>
                <w:rFonts w:hint="eastAsia" w:cs="宋体"/>
                <w:color w:val="auto"/>
                <w:sz w:val="21"/>
                <w:szCs w:val="21"/>
                <w:highlight w:val="none"/>
                <w:lang w:val="zh-CN" w:bidi="zh-CN"/>
              </w:rPr>
              <w:t>和</w:t>
            </w:r>
            <w:r>
              <w:rPr>
                <w:rFonts w:cs="宋体"/>
                <w:color w:val="auto"/>
                <w:sz w:val="21"/>
                <w:szCs w:val="21"/>
                <w:highlight w:val="none"/>
                <w:lang w:val="zh-CN" w:bidi="zh-CN"/>
              </w:rPr>
              <w:t>补正或确认修正</w:t>
            </w:r>
            <w:r>
              <w:rPr>
                <w:rFonts w:hint="eastAsia" w:cs="宋体"/>
                <w:color w:val="auto"/>
                <w:sz w:val="21"/>
                <w:szCs w:val="21"/>
                <w:highlight w:val="none"/>
                <w:lang w:val="zh-CN" w:bidi="zh-CN"/>
              </w:rPr>
              <w:t>的</w:t>
            </w:r>
            <w:r>
              <w:rPr>
                <w:rFonts w:cs="宋体"/>
                <w:color w:val="auto"/>
                <w:sz w:val="21"/>
                <w:szCs w:val="21"/>
                <w:highlight w:val="none"/>
                <w:lang w:val="zh-CN" w:bidi="zh-CN"/>
              </w:rPr>
              <w:t>时限</w:t>
            </w:r>
          </w:p>
        </w:tc>
        <w:tc>
          <w:tcPr>
            <w:tcW w:w="5387" w:type="dxa"/>
            <w:vAlign w:val="center"/>
          </w:tcPr>
          <w:p>
            <w:pPr>
              <w:spacing w:line="300" w:lineRule="auto"/>
              <w:ind w:firstLine="420" w:firstLineChars="200"/>
              <w:jc w:val="left"/>
              <w:rPr>
                <w:rFonts w:cs="宋体"/>
                <w:color w:val="auto"/>
                <w:kern w:val="1"/>
                <w:sz w:val="21"/>
                <w:szCs w:val="21"/>
                <w:highlight w:val="none"/>
              </w:rPr>
            </w:pPr>
            <w:r>
              <w:rPr>
                <w:rFonts w:hint="eastAsia" w:cs="宋体"/>
                <w:color w:val="auto"/>
                <w:kern w:val="1"/>
                <w:sz w:val="21"/>
                <w:szCs w:val="21"/>
                <w:highlight w:val="none"/>
              </w:rPr>
              <w:t>评标委员会通过电子交易平台发出通知后</w:t>
            </w:r>
            <w:r>
              <w:rPr>
                <w:rFonts w:hint="eastAsia" w:cs="宋体"/>
                <w:color w:val="auto"/>
                <w:kern w:val="1"/>
                <w:sz w:val="21"/>
                <w:szCs w:val="21"/>
                <w:highlight w:val="none"/>
                <w:u w:val="single"/>
              </w:rPr>
              <w:t xml:space="preserve">     </w:t>
            </w:r>
            <w:r>
              <w:rPr>
                <w:rFonts w:hint="eastAsia" w:cs="宋体"/>
                <w:color w:val="auto"/>
                <w:kern w:val="1"/>
                <w:sz w:val="21"/>
                <w:szCs w:val="21"/>
                <w:highlight w:val="none"/>
              </w:rPr>
              <w:t>分钟内。</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387" w:hRule="atLeast"/>
        </w:trPr>
        <w:tc>
          <w:tcPr>
            <w:tcW w:w="710" w:type="dxa"/>
            <w:vAlign w:val="center"/>
          </w:tcPr>
          <w:p>
            <w:pPr>
              <w:autoSpaceDE w:val="0"/>
              <w:autoSpaceDN w:val="0"/>
              <w:spacing w:line="300" w:lineRule="auto"/>
              <w:jc w:val="center"/>
              <w:rPr>
                <w:rFonts w:cs="宋体"/>
                <w:color w:val="auto"/>
                <w:kern w:val="1"/>
                <w:sz w:val="21"/>
                <w:szCs w:val="21"/>
                <w:highlight w:val="none"/>
              </w:rPr>
            </w:pPr>
            <w:r>
              <w:rPr>
                <w:rFonts w:hint="eastAsia" w:cs="宋体"/>
                <w:color w:val="auto"/>
                <w:kern w:val="1"/>
                <w:sz w:val="21"/>
                <w:szCs w:val="21"/>
                <w:highlight w:val="none"/>
              </w:rPr>
              <w:t>5</w:t>
            </w:r>
          </w:p>
        </w:tc>
        <w:tc>
          <w:tcPr>
            <w:tcW w:w="850" w:type="dxa"/>
            <w:vAlign w:val="center"/>
          </w:tcPr>
          <w:p>
            <w:pPr>
              <w:spacing w:line="300" w:lineRule="auto"/>
              <w:jc w:val="center"/>
              <w:rPr>
                <w:rFonts w:cs="宋体"/>
                <w:color w:val="auto"/>
                <w:kern w:val="1"/>
                <w:sz w:val="21"/>
                <w:szCs w:val="21"/>
                <w:highlight w:val="none"/>
              </w:rPr>
            </w:pPr>
            <w:r>
              <w:rPr>
                <w:rFonts w:hint="eastAsia"/>
                <w:color w:val="auto"/>
                <w:sz w:val="21"/>
                <w:szCs w:val="21"/>
                <w:highlight w:val="none"/>
                <w:lang w:val="zh-CN" w:bidi="zh-CN"/>
              </w:rPr>
              <w:t>4.7</w:t>
            </w:r>
          </w:p>
        </w:tc>
        <w:tc>
          <w:tcPr>
            <w:tcW w:w="1134" w:type="dxa"/>
            <w:tcBorders>
              <w:right w:val="single" w:color="auto" w:sz="4" w:space="0"/>
            </w:tcBorders>
            <w:vAlign w:val="center"/>
          </w:tcPr>
          <w:p>
            <w:pPr>
              <w:spacing w:line="300" w:lineRule="auto"/>
              <w:jc w:val="center"/>
              <w:rPr>
                <w:rFonts w:cs="宋体"/>
                <w:color w:val="auto"/>
                <w:kern w:val="1"/>
                <w:sz w:val="21"/>
                <w:szCs w:val="21"/>
                <w:highlight w:val="none"/>
              </w:rPr>
            </w:pPr>
            <w:r>
              <w:rPr>
                <w:rFonts w:hint="eastAsia" w:cs="宋体"/>
                <w:color w:val="auto"/>
                <w:kern w:val="1"/>
                <w:sz w:val="21"/>
                <w:szCs w:val="21"/>
                <w:highlight w:val="none"/>
              </w:rPr>
              <w:t>商务文件详细</w:t>
            </w:r>
            <w:r>
              <w:rPr>
                <w:rFonts w:cs="宋体"/>
                <w:color w:val="auto"/>
                <w:kern w:val="1"/>
                <w:sz w:val="21"/>
                <w:szCs w:val="21"/>
                <w:highlight w:val="none"/>
              </w:rPr>
              <w:t>评审</w:t>
            </w:r>
          </w:p>
        </w:tc>
        <w:tc>
          <w:tcPr>
            <w:tcW w:w="1701" w:type="dxa"/>
            <w:gridSpan w:val="2"/>
            <w:tcBorders>
              <w:left w:val="single" w:color="auto" w:sz="4" w:space="0"/>
            </w:tcBorders>
            <w:vAlign w:val="center"/>
          </w:tcPr>
          <w:p>
            <w:pPr>
              <w:autoSpaceDE w:val="0"/>
              <w:autoSpaceDN w:val="0"/>
              <w:spacing w:line="300" w:lineRule="auto"/>
              <w:jc w:val="center"/>
              <w:rPr>
                <w:rFonts w:cs="宋体"/>
                <w:color w:val="auto"/>
                <w:kern w:val="1"/>
                <w:sz w:val="21"/>
                <w:szCs w:val="21"/>
                <w:highlight w:val="none"/>
              </w:rPr>
            </w:pPr>
            <w:r>
              <w:rPr>
                <w:rFonts w:hint="eastAsia" w:cs="宋体"/>
                <w:color w:val="auto"/>
                <w:kern w:val="1"/>
                <w:sz w:val="21"/>
                <w:szCs w:val="21"/>
                <w:highlight w:val="none"/>
              </w:rPr>
              <w:t>不平衡投标报价</w:t>
            </w:r>
          </w:p>
        </w:tc>
        <w:tc>
          <w:tcPr>
            <w:tcW w:w="5387" w:type="dxa"/>
            <w:vAlign w:val="center"/>
          </w:tcPr>
          <w:p>
            <w:pPr>
              <w:autoSpaceDE w:val="0"/>
              <w:autoSpaceDN w:val="0"/>
              <w:spacing w:line="300" w:lineRule="auto"/>
              <w:ind w:firstLine="420" w:firstLineChars="200"/>
              <w:jc w:val="left"/>
              <w:rPr>
                <w:rFonts w:cs="宋体"/>
                <w:color w:val="auto"/>
                <w:kern w:val="1"/>
                <w:sz w:val="21"/>
                <w:szCs w:val="21"/>
                <w:highlight w:val="none"/>
              </w:rPr>
            </w:pPr>
            <w:r>
              <w:rPr>
                <w:rFonts w:hint="eastAsia" w:cs="宋体"/>
                <w:color w:val="auto"/>
                <w:kern w:val="1"/>
                <w:sz w:val="21"/>
                <w:szCs w:val="21"/>
                <w:highlight w:val="none"/>
              </w:rPr>
              <w:t>1.投标报价中出现下列情形的，视为不平衡报价，评标委员会在评标报告中列明各项不平衡报价项目：</w:t>
            </w:r>
          </w:p>
          <w:p>
            <w:pPr>
              <w:autoSpaceDE w:val="0"/>
              <w:autoSpaceDN w:val="0"/>
              <w:spacing w:line="300" w:lineRule="auto"/>
              <w:ind w:firstLine="420" w:firstLineChars="200"/>
              <w:jc w:val="left"/>
              <w:rPr>
                <w:rFonts w:cs="宋体"/>
                <w:color w:val="auto"/>
                <w:kern w:val="1"/>
                <w:sz w:val="21"/>
                <w:szCs w:val="21"/>
                <w:highlight w:val="none"/>
              </w:rPr>
            </w:pPr>
            <w:r>
              <w:rPr>
                <w:rFonts w:hint="eastAsia" w:cs="宋体"/>
                <w:color w:val="auto"/>
                <w:kern w:val="1"/>
                <w:sz w:val="21"/>
                <w:szCs w:val="21"/>
                <w:highlight w:val="none"/>
              </w:rPr>
              <w:t>(1)已标价工程量清单中有关综合单价高于最高投标报价限价中相应综合单价时，评标报告列明偏差幅度在10%以内（含本数）的相应清单项目及其综合单价。</w:t>
            </w:r>
          </w:p>
          <w:p>
            <w:pPr>
              <w:autoSpaceDE w:val="0"/>
              <w:autoSpaceDN w:val="0"/>
              <w:spacing w:line="300" w:lineRule="auto"/>
              <w:ind w:firstLine="420" w:firstLineChars="200"/>
              <w:jc w:val="left"/>
              <w:rPr>
                <w:rFonts w:cs="宋体"/>
                <w:color w:val="auto"/>
                <w:kern w:val="1"/>
                <w:sz w:val="21"/>
                <w:szCs w:val="21"/>
                <w:highlight w:val="none"/>
              </w:rPr>
            </w:pPr>
            <w:r>
              <w:rPr>
                <w:rFonts w:hint="eastAsia" w:cs="宋体"/>
                <w:color w:val="auto"/>
                <w:kern w:val="1"/>
                <w:sz w:val="21"/>
                <w:szCs w:val="21"/>
                <w:highlight w:val="none"/>
              </w:rPr>
              <w:t>(2)已标价工程量清单中各项综合单价低于最高投标报价限价中相应综合单价时，评标报告列明偏差幅度在20%以内（含本数）的相应清单项目及其综合单价。</w:t>
            </w:r>
          </w:p>
          <w:p>
            <w:pPr>
              <w:autoSpaceDE w:val="0"/>
              <w:autoSpaceDN w:val="0"/>
              <w:spacing w:line="300" w:lineRule="auto"/>
              <w:ind w:firstLine="420" w:firstLineChars="200"/>
              <w:jc w:val="left"/>
              <w:rPr>
                <w:rFonts w:cs="宋体"/>
                <w:color w:val="auto"/>
                <w:kern w:val="1"/>
                <w:sz w:val="21"/>
                <w:szCs w:val="21"/>
                <w:highlight w:val="none"/>
              </w:rPr>
            </w:pPr>
            <w:r>
              <w:rPr>
                <w:rFonts w:hint="eastAsia" w:cs="宋体"/>
                <w:color w:val="auto"/>
                <w:sz w:val="21"/>
                <w:szCs w:val="21"/>
                <w:highlight w:val="none"/>
              </w:rPr>
              <w:t>2.评标委员会对投标报价中的不平衡报价情况作出分析，为后续招标人定标、签订合同提供意见。</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387" w:hRule="atLeast"/>
        </w:trPr>
        <w:tc>
          <w:tcPr>
            <w:tcW w:w="710" w:type="dxa"/>
            <w:vMerge w:val="restart"/>
            <w:vAlign w:val="center"/>
          </w:tcPr>
          <w:p>
            <w:pPr>
              <w:autoSpaceDE w:val="0"/>
              <w:autoSpaceDN w:val="0"/>
              <w:spacing w:line="300" w:lineRule="auto"/>
              <w:jc w:val="center"/>
              <w:rPr>
                <w:rFonts w:ascii="Calibri" w:hAnsi="Calibri" w:cs="宋体"/>
                <w:color w:val="auto"/>
                <w:kern w:val="1"/>
                <w:sz w:val="21"/>
                <w:szCs w:val="21"/>
                <w:highlight w:val="none"/>
              </w:rPr>
            </w:pPr>
            <w:r>
              <w:rPr>
                <w:rFonts w:hint="eastAsia" w:ascii="Calibri" w:hAnsi="Calibri" w:cs="宋体"/>
                <w:color w:val="auto"/>
                <w:kern w:val="1"/>
                <w:sz w:val="21"/>
                <w:szCs w:val="21"/>
                <w:highlight w:val="none"/>
              </w:rPr>
              <w:t>6</w:t>
            </w:r>
          </w:p>
        </w:tc>
        <w:tc>
          <w:tcPr>
            <w:tcW w:w="850" w:type="dxa"/>
            <w:vMerge w:val="restart"/>
            <w:vAlign w:val="center"/>
          </w:tcPr>
          <w:p>
            <w:pPr>
              <w:spacing w:line="300" w:lineRule="auto"/>
              <w:jc w:val="center"/>
              <w:rPr>
                <w:rFonts w:ascii="Calibri" w:hAnsi="Calibri" w:cs="宋体"/>
                <w:color w:val="auto"/>
                <w:kern w:val="1"/>
                <w:sz w:val="21"/>
                <w:szCs w:val="21"/>
                <w:highlight w:val="none"/>
              </w:rPr>
            </w:pPr>
            <w:r>
              <w:rPr>
                <w:rFonts w:hint="eastAsia" w:ascii="Calibri" w:hAnsi="Calibri" w:cs="宋体"/>
                <w:color w:val="auto"/>
                <w:kern w:val="1"/>
                <w:sz w:val="21"/>
                <w:szCs w:val="21"/>
                <w:highlight w:val="none"/>
              </w:rPr>
              <w:t>4.7.2</w:t>
            </w:r>
          </w:p>
        </w:tc>
        <w:tc>
          <w:tcPr>
            <w:tcW w:w="1134" w:type="dxa"/>
            <w:vMerge w:val="restart"/>
            <w:tcBorders>
              <w:right w:val="single" w:color="auto" w:sz="4" w:space="0"/>
            </w:tcBorders>
            <w:vAlign w:val="center"/>
          </w:tcPr>
          <w:p>
            <w:pPr>
              <w:spacing w:line="300" w:lineRule="auto"/>
              <w:jc w:val="center"/>
              <w:rPr>
                <w:rFonts w:ascii="Calibri" w:hAnsi="Calibri" w:cs="宋体"/>
                <w:color w:val="auto"/>
                <w:kern w:val="1"/>
                <w:sz w:val="21"/>
                <w:szCs w:val="21"/>
                <w:highlight w:val="none"/>
              </w:rPr>
            </w:pPr>
            <w:r>
              <w:rPr>
                <w:rFonts w:hint="eastAsia" w:ascii="Calibri" w:hAnsi="Calibri" w:cs="宋体"/>
                <w:color w:val="auto"/>
                <w:kern w:val="1"/>
                <w:sz w:val="21"/>
                <w:szCs w:val="21"/>
                <w:highlight w:val="none"/>
              </w:rPr>
              <w:t>技术文件详细评审</w:t>
            </w:r>
          </w:p>
        </w:tc>
        <w:tc>
          <w:tcPr>
            <w:tcW w:w="1701" w:type="dxa"/>
            <w:gridSpan w:val="2"/>
            <w:tcBorders>
              <w:left w:val="single" w:color="auto" w:sz="4" w:space="0"/>
            </w:tcBorders>
            <w:vAlign w:val="center"/>
          </w:tcPr>
          <w:p>
            <w:pPr>
              <w:autoSpaceDE w:val="0"/>
              <w:autoSpaceDN w:val="0"/>
              <w:adjustRightInd w:val="0"/>
              <w:snapToGrid w:val="0"/>
              <w:spacing w:line="300" w:lineRule="auto"/>
              <w:jc w:val="center"/>
              <w:rPr>
                <w:rFonts w:ascii="Calibri" w:hAnsi="Calibri" w:cs="宋体"/>
                <w:color w:val="auto"/>
                <w:sz w:val="21"/>
                <w:szCs w:val="21"/>
                <w:highlight w:val="none"/>
              </w:rPr>
            </w:pPr>
            <w:r>
              <w:rPr>
                <w:rFonts w:hint="eastAsia" w:ascii="Calibri" w:hAnsi="Calibri" w:cs="宋体"/>
                <w:color w:val="auto"/>
                <w:sz w:val="21"/>
                <w:szCs w:val="21"/>
                <w:highlight w:val="none"/>
              </w:rPr>
              <w:t>暗标评审</w:t>
            </w:r>
          </w:p>
        </w:tc>
        <w:tc>
          <w:tcPr>
            <w:tcW w:w="5387" w:type="dxa"/>
            <w:vAlign w:val="center"/>
          </w:tcPr>
          <w:p>
            <w:pPr>
              <w:adjustRightInd w:val="0"/>
              <w:snapToGrid w:val="0"/>
              <w:spacing w:line="30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技术文件不得存在体现投标人的名称及其他可识别投标人身份的字符、徽标、人员名称以及其他特殊标记等信息。</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387" w:hRule="atLeast"/>
        </w:trPr>
        <w:tc>
          <w:tcPr>
            <w:tcW w:w="710" w:type="dxa"/>
            <w:vMerge w:val="continue"/>
            <w:vAlign w:val="center"/>
          </w:tcPr>
          <w:p>
            <w:pPr>
              <w:autoSpaceDE w:val="0"/>
              <w:autoSpaceDN w:val="0"/>
              <w:spacing w:line="300" w:lineRule="auto"/>
              <w:jc w:val="center"/>
              <w:rPr>
                <w:rFonts w:ascii="Calibri" w:hAnsi="Calibri" w:cs="宋体"/>
                <w:color w:val="auto"/>
                <w:kern w:val="1"/>
                <w:sz w:val="21"/>
                <w:szCs w:val="21"/>
                <w:highlight w:val="none"/>
              </w:rPr>
            </w:pPr>
          </w:p>
        </w:tc>
        <w:tc>
          <w:tcPr>
            <w:tcW w:w="850" w:type="dxa"/>
            <w:vMerge w:val="continue"/>
            <w:vAlign w:val="center"/>
          </w:tcPr>
          <w:p>
            <w:pPr>
              <w:spacing w:line="300" w:lineRule="auto"/>
              <w:jc w:val="center"/>
              <w:rPr>
                <w:rFonts w:ascii="Calibri" w:hAnsi="Calibri" w:cs="宋体"/>
                <w:color w:val="auto"/>
                <w:kern w:val="1"/>
                <w:sz w:val="21"/>
                <w:szCs w:val="21"/>
                <w:highlight w:val="none"/>
              </w:rPr>
            </w:pPr>
          </w:p>
        </w:tc>
        <w:tc>
          <w:tcPr>
            <w:tcW w:w="1134" w:type="dxa"/>
            <w:vMerge w:val="continue"/>
            <w:tcBorders>
              <w:right w:val="single" w:color="auto" w:sz="4" w:space="0"/>
            </w:tcBorders>
            <w:vAlign w:val="center"/>
          </w:tcPr>
          <w:p>
            <w:pPr>
              <w:spacing w:line="300" w:lineRule="auto"/>
              <w:jc w:val="center"/>
              <w:rPr>
                <w:rFonts w:ascii="Calibri" w:hAnsi="Calibri" w:cs="宋体"/>
                <w:color w:val="auto"/>
                <w:kern w:val="1"/>
                <w:sz w:val="21"/>
                <w:szCs w:val="21"/>
                <w:highlight w:val="none"/>
              </w:rPr>
            </w:pPr>
          </w:p>
        </w:tc>
        <w:tc>
          <w:tcPr>
            <w:tcW w:w="1701" w:type="dxa"/>
            <w:gridSpan w:val="2"/>
            <w:tcBorders>
              <w:left w:val="single" w:color="auto" w:sz="4" w:space="0"/>
            </w:tcBorders>
            <w:vAlign w:val="center"/>
          </w:tcPr>
          <w:p>
            <w:pPr>
              <w:pStyle w:val="545"/>
              <w:spacing w:line="280" w:lineRule="exact"/>
              <w:ind w:left="63" w:right="50"/>
              <w:jc w:val="center"/>
              <w:rPr>
                <w:sz w:val="21"/>
                <w:szCs w:val="21"/>
                <w:highlight w:val="none"/>
                <w:lang w:eastAsia="zh-CN"/>
              </w:rPr>
            </w:pPr>
            <w:r>
              <w:rPr>
                <w:rFonts w:ascii="宋体" w:hAnsi="宋体" w:cs="宋体"/>
                <w:kern w:val="1"/>
                <w:sz w:val="21"/>
                <w:szCs w:val="21"/>
                <w:highlight w:val="none"/>
              </w:rPr>
              <w:t>投标文件雷同</w:t>
            </w:r>
          </w:p>
        </w:tc>
        <w:tc>
          <w:tcPr>
            <w:tcW w:w="5387" w:type="dxa"/>
            <w:vAlign w:val="center"/>
          </w:tcPr>
          <w:p>
            <w:pPr>
              <w:tabs>
                <w:tab w:val="left" w:pos="709"/>
                <w:tab w:val="left" w:pos="1000"/>
                <w:tab w:val="left" w:pos="1440"/>
              </w:tabs>
              <w:adjustRightInd w:val="0"/>
              <w:snapToGrid w:val="0"/>
              <w:spacing w:line="300" w:lineRule="auto"/>
              <w:ind w:firstLine="420" w:firstLineChars="200"/>
              <w:jc w:val="left"/>
              <w:textAlignment w:val="baseline"/>
              <w:rPr>
                <w:rFonts w:cs="宋体"/>
                <w:color w:val="auto"/>
                <w:kern w:val="2"/>
                <w:szCs w:val="21"/>
                <w:highlight w:val="none"/>
              </w:rPr>
            </w:pPr>
            <w:r>
              <w:rPr>
                <w:rFonts w:hint="eastAsia" w:cs="宋体"/>
                <w:color w:val="auto"/>
                <w:kern w:val="1"/>
                <w:sz w:val="21"/>
                <w:szCs w:val="21"/>
                <w:highlight w:val="none"/>
              </w:rPr>
              <w:t>不得</w:t>
            </w:r>
            <w:r>
              <w:rPr>
                <w:rFonts w:cs="宋体"/>
                <w:color w:val="auto"/>
                <w:kern w:val="1"/>
                <w:sz w:val="21"/>
                <w:szCs w:val="21"/>
                <w:highlight w:val="none"/>
              </w:rPr>
              <w:t>存在第二章</w:t>
            </w:r>
            <w:r>
              <w:rPr>
                <w:rFonts w:hint="eastAsia" w:cs="宋体"/>
                <w:color w:val="auto"/>
                <w:kern w:val="1"/>
                <w:sz w:val="21"/>
                <w:szCs w:val="21"/>
                <w:highlight w:val="none"/>
              </w:rPr>
              <w:t>“投标人须知”第3.6.4项中第（4）目规定的情形。</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387" w:hRule="atLeast"/>
        </w:trPr>
        <w:tc>
          <w:tcPr>
            <w:tcW w:w="710" w:type="dxa"/>
            <w:vMerge w:val="continue"/>
            <w:vAlign w:val="center"/>
          </w:tcPr>
          <w:p>
            <w:pPr>
              <w:autoSpaceDE w:val="0"/>
              <w:autoSpaceDN w:val="0"/>
              <w:spacing w:line="300" w:lineRule="auto"/>
              <w:jc w:val="center"/>
              <w:rPr>
                <w:rFonts w:ascii="Calibri" w:hAnsi="Calibri" w:cs="宋体"/>
                <w:color w:val="auto"/>
                <w:kern w:val="1"/>
                <w:sz w:val="21"/>
                <w:szCs w:val="21"/>
                <w:highlight w:val="none"/>
              </w:rPr>
            </w:pPr>
          </w:p>
        </w:tc>
        <w:tc>
          <w:tcPr>
            <w:tcW w:w="850" w:type="dxa"/>
            <w:vMerge w:val="continue"/>
            <w:vAlign w:val="center"/>
          </w:tcPr>
          <w:p>
            <w:pPr>
              <w:spacing w:line="300" w:lineRule="auto"/>
              <w:jc w:val="center"/>
              <w:rPr>
                <w:rFonts w:ascii="Calibri" w:hAnsi="Calibri" w:cs="宋体"/>
                <w:color w:val="auto"/>
                <w:kern w:val="1"/>
                <w:sz w:val="21"/>
                <w:szCs w:val="21"/>
                <w:highlight w:val="none"/>
              </w:rPr>
            </w:pPr>
          </w:p>
        </w:tc>
        <w:tc>
          <w:tcPr>
            <w:tcW w:w="1134" w:type="dxa"/>
            <w:vMerge w:val="continue"/>
            <w:tcBorders>
              <w:right w:val="single" w:color="auto" w:sz="4" w:space="0"/>
            </w:tcBorders>
            <w:vAlign w:val="center"/>
          </w:tcPr>
          <w:p>
            <w:pPr>
              <w:spacing w:line="300" w:lineRule="auto"/>
              <w:jc w:val="center"/>
              <w:rPr>
                <w:rFonts w:ascii="Calibri" w:hAnsi="Calibri" w:cs="宋体"/>
                <w:color w:val="auto"/>
                <w:kern w:val="1"/>
                <w:sz w:val="21"/>
                <w:szCs w:val="21"/>
                <w:highlight w:val="none"/>
              </w:rPr>
            </w:pPr>
          </w:p>
        </w:tc>
        <w:tc>
          <w:tcPr>
            <w:tcW w:w="1701" w:type="dxa"/>
            <w:gridSpan w:val="2"/>
            <w:tcBorders>
              <w:left w:val="single" w:color="auto" w:sz="4" w:space="0"/>
            </w:tcBorders>
            <w:vAlign w:val="center"/>
          </w:tcPr>
          <w:p>
            <w:pPr>
              <w:pStyle w:val="545"/>
              <w:spacing w:line="280" w:lineRule="exact"/>
              <w:ind w:left="63" w:right="50"/>
              <w:jc w:val="center"/>
              <w:rPr>
                <w:rFonts w:ascii="宋体" w:hAnsi="宋体" w:cs="宋体"/>
                <w:kern w:val="1"/>
                <w:sz w:val="21"/>
                <w:szCs w:val="21"/>
                <w:highlight w:val="none"/>
              </w:rPr>
            </w:pPr>
            <w:r>
              <w:rPr>
                <w:rFonts w:hint="eastAsia" w:ascii="宋体" w:hAnsi="宋体" w:cs="宋体"/>
                <w:kern w:val="1"/>
                <w:sz w:val="21"/>
                <w:szCs w:val="21"/>
                <w:highlight w:val="none"/>
                <w:lang w:eastAsia="zh-CN"/>
              </w:rPr>
              <w:t>技术文件</w:t>
            </w:r>
            <w:r>
              <w:rPr>
                <w:rFonts w:ascii="宋体" w:hAnsi="宋体" w:cs="宋体"/>
                <w:kern w:val="1"/>
                <w:sz w:val="21"/>
                <w:szCs w:val="21"/>
                <w:highlight w:val="none"/>
              </w:rPr>
              <w:t>完整性</w:t>
            </w:r>
          </w:p>
        </w:tc>
        <w:tc>
          <w:tcPr>
            <w:tcW w:w="5387" w:type="dxa"/>
            <w:vAlign w:val="center"/>
          </w:tcPr>
          <w:p>
            <w:pPr>
              <w:tabs>
                <w:tab w:val="left" w:pos="709"/>
                <w:tab w:val="left" w:pos="1000"/>
                <w:tab w:val="left" w:pos="1440"/>
              </w:tabs>
              <w:adjustRightInd w:val="0"/>
              <w:snapToGrid w:val="0"/>
              <w:spacing w:line="300" w:lineRule="auto"/>
              <w:ind w:firstLine="420" w:firstLineChars="200"/>
              <w:jc w:val="left"/>
              <w:textAlignment w:val="baseline"/>
              <w:rPr>
                <w:rFonts w:cs="宋体"/>
                <w:color w:val="auto"/>
                <w:kern w:val="1"/>
                <w:sz w:val="21"/>
                <w:szCs w:val="21"/>
                <w:highlight w:val="none"/>
              </w:rPr>
            </w:pPr>
            <w:r>
              <w:rPr>
                <w:rFonts w:hint="eastAsia" w:cs="宋体"/>
                <w:color w:val="auto"/>
                <w:kern w:val="1"/>
                <w:sz w:val="21"/>
                <w:szCs w:val="21"/>
                <w:highlight w:val="none"/>
              </w:rPr>
              <w:t>完整提供了招标文件规定的各专项技术方案（</w:t>
            </w:r>
            <w:r>
              <w:rPr>
                <w:rFonts w:hint="eastAsia"/>
                <w:color w:val="auto"/>
                <w:sz w:val="21"/>
                <w:szCs w:val="21"/>
                <w:highlight w:val="none"/>
              </w:rPr>
              <w:t>投标人补充完善的危险性较大的分部分项工程的专项技术方案除外</w:t>
            </w:r>
            <w:r>
              <w:rPr>
                <w:rFonts w:hint="eastAsia" w:cs="宋体"/>
                <w:color w:val="auto"/>
                <w:kern w:val="1"/>
                <w:sz w:val="21"/>
                <w:szCs w:val="21"/>
                <w:highlight w:val="none"/>
              </w:rPr>
              <w:t>）。招标文件要求提交BIM技术应用方案的，BIM技术应用方案还应符合招标文件的相应规定。</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387" w:hRule="atLeast"/>
        </w:trPr>
        <w:tc>
          <w:tcPr>
            <w:tcW w:w="710" w:type="dxa"/>
            <w:vMerge w:val="continue"/>
            <w:vAlign w:val="center"/>
          </w:tcPr>
          <w:p>
            <w:pPr>
              <w:autoSpaceDE w:val="0"/>
              <w:autoSpaceDN w:val="0"/>
              <w:spacing w:line="300" w:lineRule="auto"/>
              <w:jc w:val="center"/>
              <w:rPr>
                <w:rFonts w:cs="宋体"/>
                <w:color w:val="auto"/>
                <w:kern w:val="1"/>
                <w:sz w:val="21"/>
                <w:szCs w:val="21"/>
                <w:highlight w:val="none"/>
              </w:rPr>
            </w:pPr>
          </w:p>
        </w:tc>
        <w:tc>
          <w:tcPr>
            <w:tcW w:w="850" w:type="dxa"/>
            <w:vMerge w:val="continue"/>
            <w:vAlign w:val="center"/>
          </w:tcPr>
          <w:p>
            <w:pPr>
              <w:spacing w:line="300" w:lineRule="auto"/>
              <w:jc w:val="center"/>
              <w:rPr>
                <w:rFonts w:cs="宋体"/>
                <w:color w:val="auto"/>
                <w:kern w:val="1"/>
                <w:sz w:val="21"/>
                <w:szCs w:val="21"/>
                <w:highlight w:val="none"/>
              </w:rPr>
            </w:pPr>
          </w:p>
        </w:tc>
        <w:tc>
          <w:tcPr>
            <w:tcW w:w="1134" w:type="dxa"/>
            <w:vMerge w:val="continue"/>
            <w:tcBorders>
              <w:right w:val="single" w:color="auto" w:sz="4" w:space="0"/>
            </w:tcBorders>
            <w:vAlign w:val="center"/>
          </w:tcPr>
          <w:p>
            <w:pPr>
              <w:spacing w:line="300" w:lineRule="auto"/>
              <w:jc w:val="center"/>
              <w:rPr>
                <w:rFonts w:cs="宋体"/>
                <w:color w:val="auto"/>
                <w:kern w:val="1"/>
                <w:sz w:val="21"/>
                <w:szCs w:val="21"/>
                <w:highlight w:val="none"/>
              </w:rPr>
            </w:pPr>
          </w:p>
        </w:tc>
        <w:tc>
          <w:tcPr>
            <w:tcW w:w="531" w:type="dxa"/>
            <w:vMerge w:val="restart"/>
            <w:tcBorders>
              <w:left w:val="single" w:color="auto" w:sz="4" w:space="0"/>
              <w:right w:val="single" w:color="auto" w:sz="4" w:space="0"/>
            </w:tcBorders>
            <w:vAlign w:val="center"/>
          </w:tcPr>
          <w:p>
            <w:pPr>
              <w:autoSpaceDE w:val="0"/>
              <w:autoSpaceDN w:val="0"/>
              <w:adjustRightInd w:val="0"/>
              <w:snapToGrid w:val="0"/>
              <w:spacing w:line="300" w:lineRule="auto"/>
              <w:jc w:val="center"/>
              <w:rPr>
                <w:rFonts w:ascii="Calibri" w:hAnsi="Calibri" w:cs="宋体"/>
                <w:color w:val="auto"/>
                <w:sz w:val="21"/>
                <w:szCs w:val="21"/>
                <w:highlight w:val="none"/>
              </w:rPr>
            </w:pPr>
            <w:r>
              <w:rPr>
                <w:rFonts w:hint="eastAsia" w:ascii="Calibri" w:hAnsi="Calibri" w:cs="宋体"/>
                <w:color w:val="auto"/>
                <w:kern w:val="1"/>
                <w:sz w:val="21"/>
                <w:szCs w:val="21"/>
                <w:highlight w:val="none"/>
              </w:rPr>
              <w:t>专项技术方案</w:t>
            </w:r>
          </w:p>
        </w:tc>
        <w:tc>
          <w:tcPr>
            <w:tcW w:w="1170" w:type="dxa"/>
            <w:tcBorders>
              <w:left w:val="single" w:color="auto" w:sz="4" w:space="0"/>
            </w:tcBorders>
            <w:vAlign w:val="center"/>
          </w:tcPr>
          <w:p>
            <w:pPr>
              <w:autoSpaceDE w:val="0"/>
              <w:autoSpaceDN w:val="0"/>
              <w:adjustRightInd w:val="0"/>
              <w:snapToGrid w:val="0"/>
              <w:spacing w:line="300" w:lineRule="auto"/>
              <w:rPr>
                <w:rFonts w:hint="default" w:eastAsia="宋体" w:cs="宋体"/>
                <w:color w:val="auto"/>
                <w:sz w:val="21"/>
                <w:szCs w:val="21"/>
                <w:highlight w:val="none"/>
                <w:lang w:val="en-US" w:eastAsia="zh-CN"/>
              </w:rPr>
            </w:pPr>
            <w:r>
              <w:rPr>
                <w:rFonts w:hint="eastAsia" w:cs="宋体"/>
                <w:color w:val="auto"/>
                <w:sz w:val="21"/>
                <w:szCs w:val="21"/>
                <w:highlight w:val="none"/>
              </w:rPr>
              <w:t>危大工程清单（招标人列出）1：</w:t>
            </w:r>
            <w:r>
              <w:rPr>
                <w:rFonts w:hint="eastAsia" w:cs="宋体"/>
                <w:color w:val="auto"/>
                <w:sz w:val="21"/>
                <w:szCs w:val="21"/>
                <w:highlight w:val="none"/>
                <w:lang w:val="en-US" w:eastAsia="zh-CN"/>
              </w:rPr>
              <w:t>基坑工程</w:t>
            </w:r>
          </w:p>
        </w:tc>
        <w:tc>
          <w:tcPr>
            <w:tcW w:w="5387" w:type="dxa"/>
            <w:vAlign w:val="center"/>
          </w:tcPr>
          <w:p>
            <w:pPr>
              <w:pStyle w:val="54"/>
              <w:widowControl w:val="0"/>
              <w:adjustRightInd w:val="0"/>
              <w:snapToGrid w:val="0"/>
              <w:spacing w:before="0" w:beforeAutospacing="0" w:after="0" w:afterAutospacing="0" w:line="300" w:lineRule="auto"/>
              <w:ind w:firstLine="420" w:firstLineChars="200"/>
              <w:textAlignment w:val="baseline"/>
              <w:rPr>
                <w:color w:val="auto"/>
                <w:kern w:val="2"/>
                <w:sz w:val="21"/>
                <w:szCs w:val="21"/>
                <w:highlight w:val="none"/>
              </w:rPr>
            </w:pPr>
            <w:r>
              <w:rPr>
                <w:rFonts w:hint="eastAsia"/>
                <w:color w:val="auto"/>
                <w:sz w:val="21"/>
                <w:szCs w:val="21"/>
                <w:highlight w:val="none"/>
              </w:rPr>
              <w:t>评标委员会根据投标人对招标人列出的危险性较大的分部分项工程的安全管理措施科学性、可行性进行评审，分析优缺点。</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387" w:hRule="atLeast"/>
        </w:trPr>
        <w:tc>
          <w:tcPr>
            <w:tcW w:w="710" w:type="dxa"/>
            <w:vMerge w:val="continue"/>
            <w:vAlign w:val="center"/>
          </w:tcPr>
          <w:p>
            <w:pPr>
              <w:autoSpaceDE w:val="0"/>
              <w:autoSpaceDN w:val="0"/>
              <w:spacing w:line="300" w:lineRule="auto"/>
              <w:jc w:val="center"/>
              <w:rPr>
                <w:rFonts w:cs="宋体"/>
                <w:color w:val="auto"/>
                <w:kern w:val="1"/>
                <w:sz w:val="21"/>
                <w:szCs w:val="21"/>
                <w:highlight w:val="none"/>
              </w:rPr>
            </w:pPr>
          </w:p>
        </w:tc>
        <w:tc>
          <w:tcPr>
            <w:tcW w:w="850" w:type="dxa"/>
            <w:vMerge w:val="continue"/>
            <w:vAlign w:val="center"/>
          </w:tcPr>
          <w:p>
            <w:pPr>
              <w:spacing w:line="300" w:lineRule="auto"/>
              <w:jc w:val="center"/>
              <w:rPr>
                <w:rFonts w:cs="宋体"/>
                <w:color w:val="auto"/>
                <w:kern w:val="1"/>
                <w:sz w:val="21"/>
                <w:szCs w:val="21"/>
                <w:highlight w:val="none"/>
              </w:rPr>
            </w:pPr>
          </w:p>
        </w:tc>
        <w:tc>
          <w:tcPr>
            <w:tcW w:w="1134" w:type="dxa"/>
            <w:vMerge w:val="continue"/>
            <w:tcBorders>
              <w:right w:val="single" w:color="auto" w:sz="4" w:space="0"/>
            </w:tcBorders>
            <w:vAlign w:val="center"/>
          </w:tcPr>
          <w:p>
            <w:pPr>
              <w:spacing w:line="300" w:lineRule="auto"/>
              <w:jc w:val="center"/>
              <w:rPr>
                <w:rFonts w:cs="宋体"/>
                <w:color w:val="auto"/>
                <w:kern w:val="1"/>
                <w:sz w:val="21"/>
                <w:szCs w:val="21"/>
                <w:highlight w:val="none"/>
              </w:rPr>
            </w:pPr>
          </w:p>
        </w:tc>
        <w:tc>
          <w:tcPr>
            <w:tcW w:w="531" w:type="dxa"/>
            <w:vMerge w:val="continue"/>
            <w:tcBorders>
              <w:left w:val="single" w:color="auto" w:sz="4" w:space="0"/>
              <w:right w:val="single" w:color="auto" w:sz="4" w:space="0"/>
            </w:tcBorders>
            <w:vAlign w:val="center"/>
          </w:tcPr>
          <w:p>
            <w:pPr>
              <w:autoSpaceDE w:val="0"/>
              <w:autoSpaceDN w:val="0"/>
              <w:adjustRightInd w:val="0"/>
              <w:snapToGrid w:val="0"/>
              <w:spacing w:line="300" w:lineRule="auto"/>
              <w:jc w:val="center"/>
              <w:rPr>
                <w:rFonts w:ascii="Calibri" w:hAnsi="Calibri" w:cs="宋体"/>
                <w:color w:val="auto"/>
                <w:kern w:val="1"/>
                <w:sz w:val="21"/>
                <w:szCs w:val="21"/>
                <w:highlight w:val="none"/>
              </w:rPr>
            </w:pPr>
          </w:p>
        </w:tc>
        <w:tc>
          <w:tcPr>
            <w:tcW w:w="1170" w:type="dxa"/>
            <w:tcBorders>
              <w:left w:val="single" w:color="auto" w:sz="4" w:space="0"/>
            </w:tcBorders>
            <w:vAlign w:val="center"/>
          </w:tcPr>
          <w:p>
            <w:pPr>
              <w:autoSpaceDE w:val="0"/>
              <w:autoSpaceDN w:val="0"/>
              <w:adjustRightInd w:val="0"/>
              <w:snapToGrid w:val="0"/>
              <w:spacing w:line="300" w:lineRule="auto"/>
              <w:rPr>
                <w:rFonts w:hint="eastAsia" w:cs="宋体"/>
                <w:color w:val="auto"/>
                <w:sz w:val="21"/>
                <w:szCs w:val="21"/>
                <w:highlight w:val="none"/>
              </w:rPr>
            </w:pPr>
            <w:r>
              <w:rPr>
                <w:rFonts w:hint="eastAsia" w:cs="宋体"/>
                <w:color w:val="auto"/>
                <w:sz w:val="21"/>
                <w:szCs w:val="21"/>
                <w:highlight w:val="none"/>
              </w:rPr>
              <w:t>危大工程清单（招标人列出）</w:t>
            </w:r>
            <w:r>
              <w:rPr>
                <w:rFonts w:hint="eastAsia" w:cs="宋体"/>
                <w:color w:val="auto"/>
                <w:sz w:val="21"/>
                <w:szCs w:val="21"/>
                <w:highlight w:val="none"/>
                <w:lang w:val="en-US" w:eastAsia="zh-CN"/>
              </w:rPr>
              <w:t>2</w:t>
            </w:r>
            <w:r>
              <w:rPr>
                <w:rFonts w:hint="eastAsia" w:cs="宋体"/>
                <w:color w:val="auto"/>
                <w:sz w:val="21"/>
                <w:szCs w:val="21"/>
                <w:highlight w:val="none"/>
              </w:rPr>
              <w:t>：</w:t>
            </w:r>
            <w:r>
              <w:rPr>
                <w:rStyle w:val="62"/>
                <w:rFonts w:ascii="宋体" w:hAnsi="宋体" w:eastAsia="宋体" w:cs="宋体"/>
                <w:b w:val="0"/>
                <w:bCs w:val="0"/>
                <w:i w:val="0"/>
                <w:iCs w:val="0"/>
                <w:caps w:val="0"/>
                <w:color w:val="auto"/>
                <w:spacing w:val="0"/>
                <w:sz w:val="21"/>
                <w:szCs w:val="21"/>
                <w:highlight w:val="none"/>
              </w:rPr>
              <w:t>起重吊装及安装拆卸工程</w:t>
            </w:r>
          </w:p>
        </w:tc>
        <w:tc>
          <w:tcPr>
            <w:tcW w:w="5387" w:type="dxa"/>
            <w:vAlign w:val="center"/>
          </w:tcPr>
          <w:p>
            <w:pPr>
              <w:pStyle w:val="54"/>
              <w:widowControl w:val="0"/>
              <w:adjustRightInd w:val="0"/>
              <w:snapToGrid w:val="0"/>
              <w:spacing w:before="0" w:beforeAutospacing="0" w:after="0" w:afterAutospacing="0" w:line="300" w:lineRule="auto"/>
              <w:ind w:firstLine="420" w:firstLineChars="200"/>
              <w:textAlignment w:val="baseline"/>
              <w:rPr>
                <w:rFonts w:hint="eastAsia"/>
                <w:color w:val="auto"/>
                <w:sz w:val="21"/>
                <w:szCs w:val="21"/>
                <w:highlight w:val="none"/>
              </w:rPr>
            </w:pPr>
            <w:r>
              <w:rPr>
                <w:rFonts w:hint="eastAsia"/>
                <w:color w:val="auto"/>
                <w:sz w:val="21"/>
                <w:szCs w:val="21"/>
                <w:highlight w:val="none"/>
              </w:rPr>
              <w:t>评标委员会根据投标人对招标人列出的危险性较大的分部分项工程的安全管理措施科学性、可行性进行评审，分析优缺点。</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387" w:hRule="atLeast"/>
        </w:trPr>
        <w:tc>
          <w:tcPr>
            <w:tcW w:w="710" w:type="dxa"/>
            <w:vMerge w:val="continue"/>
            <w:vAlign w:val="center"/>
          </w:tcPr>
          <w:p>
            <w:pPr>
              <w:autoSpaceDE w:val="0"/>
              <w:autoSpaceDN w:val="0"/>
              <w:spacing w:line="300" w:lineRule="auto"/>
              <w:jc w:val="center"/>
              <w:rPr>
                <w:rFonts w:cs="宋体"/>
                <w:color w:val="auto"/>
                <w:kern w:val="1"/>
                <w:sz w:val="21"/>
                <w:szCs w:val="21"/>
                <w:highlight w:val="none"/>
              </w:rPr>
            </w:pPr>
          </w:p>
        </w:tc>
        <w:tc>
          <w:tcPr>
            <w:tcW w:w="850" w:type="dxa"/>
            <w:vMerge w:val="continue"/>
            <w:vAlign w:val="center"/>
          </w:tcPr>
          <w:p>
            <w:pPr>
              <w:spacing w:line="300" w:lineRule="auto"/>
              <w:jc w:val="center"/>
              <w:rPr>
                <w:rFonts w:cs="宋体"/>
                <w:color w:val="auto"/>
                <w:kern w:val="1"/>
                <w:sz w:val="21"/>
                <w:szCs w:val="21"/>
                <w:highlight w:val="none"/>
              </w:rPr>
            </w:pPr>
          </w:p>
        </w:tc>
        <w:tc>
          <w:tcPr>
            <w:tcW w:w="1134" w:type="dxa"/>
            <w:vMerge w:val="continue"/>
            <w:tcBorders>
              <w:right w:val="single" w:color="auto" w:sz="4" w:space="0"/>
            </w:tcBorders>
            <w:vAlign w:val="center"/>
          </w:tcPr>
          <w:p>
            <w:pPr>
              <w:spacing w:line="300" w:lineRule="auto"/>
              <w:jc w:val="center"/>
              <w:rPr>
                <w:rFonts w:cs="宋体"/>
                <w:color w:val="auto"/>
                <w:kern w:val="1"/>
                <w:sz w:val="21"/>
                <w:szCs w:val="21"/>
                <w:highlight w:val="none"/>
              </w:rPr>
            </w:pPr>
          </w:p>
        </w:tc>
        <w:tc>
          <w:tcPr>
            <w:tcW w:w="531" w:type="dxa"/>
            <w:vMerge w:val="continue"/>
            <w:tcBorders>
              <w:left w:val="single" w:color="auto" w:sz="4" w:space="0"/>
              <w:right w:val="single" w:color="auto" w:sz="4" w:space="0"/>
            </w:tcBorders>
            <w:vAlign w:val="center"/>
          </w:tcPr>
          <w:p>
            <w:pPr>
              <w:autoSpaceDE w:val="0"/>
              <w:autoSpaceDN w:val="0"/>
              <w:adjustRightInd w:val="0"/>
              <w:snapToGrid w:val="0"/>
              <w:spacing w:line="300" w:lineRule="auto"/>
              <w:jc w:val="center"/>
              <w:rPr>
                <w:rFonts w:ascii="Calibri" w:hAnsi="Calibri" w:cs="宋体"/>
                <w:color w:val="auto"/>
                <w:kern w:val="1"/>
                <w:sz w:val="21"/>
                <w:szCs w:val="21"/>
                <w:highlight w:val="none"/>
              </w:rPr>
            </w:pPr>
          </w:p>
        </w:tc>
        <w:tc>
          <w:tcPr>
            <w:tcW w:w="1170" w:type="dxa"/>
            <w:tcBorders>
              <w:left w:val="single" w:color="auto" w:sz="4" w:space="0"/>
            </w:tcBorders>
            <w:vAlign w:val="center"/>
          </w:tcPr>
          <w:p>
            <w:pPr>
              <w:autoSpaceDE w:val="0"/>
              <w:autoSpaceDN w:val="0"/>
              <w:adjustRightInd w:val="0"/>
              <w:snapToGrid w:val="0"/>
              <w:spacing w:line="300" w:lineRule="auto"/>
              <w:rPr>
                <w:rFonts w:hint="eastAsia" w:cs="宋体"/>
                <w:color w:val="auto"/>
                <w:sz w:val="21"/>
                <w:szCs w:val="21"/>
                <w:highlight w:val="none"/>
              </w:rPr>
            </w:pPr>
            <w:r>
              <w:rPr>
                <w:rFonts w:hint="eastAsia" w:cs="宋体"/>
                <w:color w:val="auto"/>
                <w:sz w:val="21"/>
                <w:szCs w:val="21"/>
                <w:highlight w:val="none"/>
              </w:rPr>
              <w:t>危大工程清单（招标人列出）</w:t>
            </w:r>
            <w:r>
              <w:rPr>
                <w:rFonts w:hint="eastAsia" w:cs="宋体"/>
                <w:color w:val="auto"/>
                <w:sz w:val="21"/>
                <w:szCs w:val="21"/>
                <w:highlight w:val="none"/>
                <w:lang w:val="en-US" w:eastAsia="zh-CN"/>
              </w:rPr>
              <w:t>4</w:t>
            </w:r>
            <w:r>
              <w:rPr>
                <w:rFonts w:hint="eastAsia" w:cs="宋体"/>
                <w:color w:val="auto"/>
                <w:sz w:val="21"/>
                <w:szCs w:val="21"/>
                <w:highlight w:val="none"/>
              </w:rPr>
              <w:t>：</w:t>
            </w:r>
            <w:r>
              <w:rPr>
                <w:rStyle w:val="62"/>
                <w:rFonts w:ascii="宋体" w:hAnsi="宋体" w:eastAsia="宋体" w:cs="宋体"/>
                <w:b w:val="0"/>
                <w:bCs w:val="0"/>
                <w:i w:val="0"/>
                <w:iCs w:val="0"/>
                <w:caps w:val="0"/>
                <w:color w:val="auto"/>
                <w:spacing w:val="0"/>
                <w:sz w:val="21"/>
                <w:szCs w:val="21"/>
                <w:highlight w:val="none"/>
              </w:rPr>
              <w:t>脚手架工程</w:t>
            </w:r>
          </w:p>
        </w:tc>
        <w:tc>
          <w:tcPr>
            <w:tcW w:w="5387" w:type="dxa"/>
            <w:vAlign w:val="center"/>
          </w:tcPr>
          <w:p>
            <w:pPr>
              <w:pStyle w:val="54"/>
              <w:widowControl w:val="0"/>
              <w:adjustRightInd w:val="0"/>
              <w:snapToGrid w:val="0"/>
              <w:spacing w:before="0" w:beforeAutospacing="0" w:after="0" w:afterAutospacing="0" w:line="300" w:lineRule="auto"/>
              <w:ind w:firstLine="420" w:firstLineChars="200"/>
              <w:textAlignment w:val="baseline"/>
              <w:rPr>
                <w:rFonts w:hint="eastAsia"/>
                <w:color w:val="auto"/>
                <w:sz w:val="21"/>
                <w:szCs w:val="21"/>
                <w:highlight w:val="none"/>
              </w:rPr>
            </w:pPr>
            <w:r>
              <w:rPr>
                <w:rFonts w:hint="eastAsia"/>
                <w:color w:val="auto"/>
                <w:sz w:val="21"/>
                <w:szCs w:val="21"/>
                <w:highlight w:val="none"/>
              </w:rPr>
              <w:t>评标委员会根据投标人对招标人列出的危险性较大的分部分项工程的安全管理措施科学性、可行性进行评审，分析优缺点。</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460" w:hRule="atLeast"/>
        </w:trPr>
        <w:tc>
          <w:tcPr>
            <w:tcW w:w="710" w:type="dxa"/>
            <w:vMerge w:val="continue"/>
            <w:vAlign w:val="center"/>
          </w:tcPr>
          <w:p>
            <w:pPr>
              <w:autoSpaceDE w:val="0"/>
              <w:autoSpaceDN w:val="0"/>
              <w:spacing w:line="300" w:lineRule="auto"/>
              <w:jc w:val="center"/>
              <w:rPr>
                <w:rFonts w:cs="宋体"/>
                <w:color w:val="auto"/>
                <w:kern w:val="1"/>
                <w:sz w:val="21"/>
                <w:szCs w:val="21"/>
                <w:highlight w:val="none"/>
              </w:rPr>
            </w:pPr>
          </w:p>
        </w:tc>
        <w:tc>
          <w:tcPr>
            <w:tcW w:w="850" w:type="dxa"/>
            <w:vMerge w:val="continue"/>
            <w:vAlign w:val="center"/>
          </w:tcPr>
          <w:p>
            <w:pPr>
              <w:spacing w:line="300" w:lineRule="auto"/>
              <w:jc w:val="center"/>
              <w:rPr>
                <w:rFonts w:cs="宋体"/>
                <w:color w:val="auto"/>
                <w:kern w:val="1"/>
                <w:sz w:val="21"/>
                <w:szCs w:val="21"/>
                <w:highlight w:val="none"/>
              </w:rPr>
            </w:pPr>
          </w:p>
        </w:tc>
        <w:tc>
          <w:tcPr>
            <w:tcW w:w="1134" w:type="dxa"/>
            <w:vMerge w:val="continue"/>
            <w:tcBorders>
              <w:right w:val="single" w:color="auto" w:sz="4" w:space="0"/>
            </w:tcBorders>
            <w:vAlign w:val="center"/>
          </w:tcPr>
          <w:p>
            <w:pPr>
              <w:spacing w:line="300" w:lineRule="auto"/>
              <w:jc w:val="center"/>
              <w:rPr>
                <w:rFonts w:cs="宋体"/>
                <w:color w:val="auto"/>
                <w:kern w:val="1"/>
                <w:sz w:val="21"/>
                <w:szCs w:val="21"/>
                <w:highlight w:val="none"/>
              </w:rPr>
            </w:pPr>
          </w:p>
        </w:tc>
        <w:tc>
          <w:tcPr>
            <w:tcW w:w="531" w:type="dxa"/>
            <w:vMerge w:val="continue"/>
            <w:tcBorders>
              <w:left w:val="single" w:color="auto" w:sz="4" w:space="0"/>
              <w:right w:val="single" w:color="auto" w:sz="4" w:space="0"/>
            </w:tcBorders>
            <w:vAlign w:val="center"/>
          </w:tcPr>
          <w:p>
            <w:pPr>
              <w:autoSpaceDE w:val="0"/>
              <w:autoSpaceDN w:val="0"/>
              <w:adjustRightInd w:val="0"/>
              <w:snapToGrid w:val="0"/>
              <w:spacing w:line="300" w:lineRule="auto"/>
              <w:jc w:val="center"/>
              <w:rPr>
                <w:rFonts w:ascii="Calibri" w:hAnsi="Calibri" w:cs="宋体"/>
                <w:color w:val="auto"/>
                <w:kern w:val="1"/>
                <w:sz w:val="21"/>
                <w:szCs w:val="21"/>
                <w:highlight w:val="none"/>
              </w:rPr>
            </w:pPr>
          </w:p>
        </w:tc>
        <w:tc>
          <w:tcPr>
            <w:tcW w:w="1170" w:type="dxa"/>
            <w:tcBorders>
              <w:left w:val="single" w:color="auto" w:sz="4" w:space="0"/>
            </w:tcBorders>
            <w:vAlign w:val="center"/>
          </w:tcPr>
          <w:p>
            <w:pPr>
              <w:autoSpaceDE w:val="0"/>
              <w:autoSpaceDN w:val="0"/>
              <w:adjustRightInd w:val="0"/>
              <w:snapToGrid w:val="0"/>
              <w:spacing w:line="300" w:lineRule="auto"/>
              <w:jc w:val="left"/>
              <w:rPr>
                <w:rFonts w:cs="宋体"/>
                <w:color w:val="auto"/>
                <w:sz w:val="21"/>
                <w:szCs w:val="21"/>
                <w:highlight w:val="none"/>
              </w:rPr>
            </w:pPr>
            <w:r>
              <w:rPr>
                <w:rFonts w:hint="eastAsia" w:cs="宋体"/>
                <w:color w:val="auto"/>
                <w:sz w:val="21"/>
                <w:szCs w:val="21"/>
                <w:highlight w:val="none"/>
              </w:rPr>
              <w:t>危大工程清单（招标人列出）</w:t>
            </w:r>
            <w:r>
              <w:rPr>
                <w:rFonts w:hint="eastAsia" w:cs="宋体"/>
                <w:color w:val="auto"/>
                <w:sz w:val="21"/>
                <w:szCs w:val="21"/>
                <w:highlight w:val="none"/>
                <w:lang w:val="en-US" w:eastAsia="zh-CN"/>
              </w:rPr>
              <w:t>4</w:t>
            </w:r>
            <w:r>
              <w:rPr>
                <w:rFonts w:hint="eastAsia" w:cs="宋体"/>
                <w:color w:val="auto"/>
                <w:sz w:val="21"/>
                <w:szCs w:val="21"/>
                <w:highlight w:val="none"/>
              </w:rPr>
              <w:t>：</w:t>
            </w:r>
            <w:r>
              <w:rPr>
                <w:rFonts w:hint="eastAsia" w:cs="宋体"/>
                <w:color w:val="auto"/>
                <w:sz w:val="21"/>
                <w:szCs w:val="21"/>
                <w:highlight w:val="none"/>
                <w:lang w:val="en-US" w:eastAsia="zh-CN"/>
              </w:rPr>
              <w:t>模板支撑体系工程</w:t>
            </w:r>
          </w:p>
        </w:tc>
        <w:tc>
          <w:tcPr>
            <w:tcW w:w="5387" w:type="dxa"/>
            <w:vAlign w:val="center"/>
          </w:tcPr>
          <w:p>
            <w:pPr>
              <w:pStyle w:val="54"/>
              <w:autoSpaceDE w:val="0"/>
              <w:autoSpaceDN w:val="0"/>
              <w:adjustRightInd w:val="0"/>
              <w:snapToGrid w:val="0"/>
              <w:spacing w:line="300" w:lineRule="auto"/>
              <w:ind w:firstLine="420" w:firstLineChars="200"/>
              <w:jc w:val="left"/>
              <w:textAlignment w:val="baseline"/>
              <w:rPr>
                <w:rFonts w:cs="宋体"/>
                <w:color w:val="auto"/>
                <w:sz w:val="21"/>
                <w:szCs w:val="21"/>
                <w:highlight w:val="none"/>
                <w:u w:val="single"/>
              </w:rPr>
            </w:pPr>
            <w:r>
              <w:rPr>
                <w:rFonts w:hint="eastAsia"/>
                <w:color w:val="auto"/>
                <w:sz w:val="21"/>
                <w:szCs w:val="21"/>
                <w:highlight w:val="none"/>
              </w:rPr>
              <w:t>评标委员会根据投标人对招标人列出的危险性较大的分部分项工程的安全管理措施科学性、可行性进行评审，分析优缺点。</w:t>
            </w:r>
          </w:p>
        </w:tc>
      </w:tr>
    </w:tbl>
    <w:p>
      <w:pPr>
        <w:pStyle w:val="5"/>
        <w:widowControl/>
        <w:spacing w:beforeLines="0" w:after="120"/>
        <w:rPr>
          <w:rFonts w:hAnsi="宋体" w:cs="宋体"/>
          <w:b/>
          <w:color w:val="auto"/>
          <w:sz w:val="32"/>
          <w:szCs w:val="32"/>
          <w:highlight w:val="none"/>
        </w:rPr>
      </w:pPr>
      <w:r>
        <w:rPr>
          <w:rFonts w:ascii="黑体" w:hAnsi="黑体" w:eastAsia="黑体" w:cs="宋体"/>
          <w:b/>
          <w:color w:val="auto"/>
          <w:kern w:val="1"/>
          <w:sz w:val="32"/>
          <w:szCs w:val="32"/>
          <w:highlight w:val="none"/>
          <w:lang w:val="zh-CN"/>
        </w:rPr>
        <w:br w:type="page"/>
      </w:r>
    </w:p>
    <w:p>
      <w:pPr>
        <w:keepNext/>
        <w:keepLines/>
        <w:spacing w:before="240" w:beforeLines="100" w:after="240" w:afterLines="100" w:line="360" w:lineRule="auto"/>
        <w:outlineLvl w:val="1"/>
        <w:rPr>
          <w:rFonts w:ascii="黑体" w:hAnsi="黑体" w:eastAsia="黑体" w:cs="宋体"/>
          <w:color w:val="auto"/>
          <w:kern w:val="1"/>
          <w:sz w:val="28"/>
          <w:szCs w:val="28"/>
          <w:highlight w:val="none"/>
          <w:lang w:val="zh-CN"/>
        </w:rPr>
      </w:pPr>
      <w:bookmarkStart w:id="721" w:name="_Toc52112953"/>
      <w:bookmarkStart w:id="722" w:name="_Toc2023"/>
      <w:bookmarkStart w:id="723" w:name="_Toc106703282"/>
      <w:bookmarkStart w:id="724" w:name="_Toc29084"/>
      <w:r>
        <w:rPr>
          <w:rFonts w:hint="eastAsia" w:ascii="黑体" w:hAnsi="黑体" w:eastAsia="黑体" w:cs="宋体"/>
          <w:color w:val="auto"/>
          <w:kern w:val="1"/>
          <w:sz w:val="28"/>
          <w:szCs w:val="28"/>
          <w:highlight w:val="none"/>
          <w:lang w:val="zh-CN"/>
        </w:rPr>
        <w:t>评标</w:t>
      </w:r>
      <w:r>
        <w:rPr>
          <w:rFonts w:ascii="黑体" w:hAnsi="黑体" w:eastAsia="黑体" w:cs="宋体"/>
          <w:color w:val="auto"/>
          <w:kern w:val="1"/>
          <w:sz w:val="28"/>
          <w:szCs w:val="28"/>
          <w:highlight w:val="none"/>
          <w:lang w:val="zh-CN"/>
        </w:rPr>
        <w:t>办法正文</w:t>
      </w:r>
      <w:r>
        <w:rPr>
          <w:rFonts w:hint="eastAsia" w:ascii="黑体" w:hAnsi="黑体" w:eastAsia="黑体"/>
          <w:color w:val="auto"/>
          <w:kern w:val="1"/>
          <w:sz w:val="21"/>
          <w:szCs w:val="21"/>
          <w:highlight w:val="none"/>
          <w:lang w:val="zh-CN"/>
        </w:rPr>
        <w:t>（适用于其他项目）</w:t>
      </w:r>
      <w:bookmarkEnd w:id="721"/>
      <w:bookmarkEnd w:id="722"/>
      <w:bookmarkEnd w:id="723"/>
      <w:bookmarkEnd w:id="724"/>
    </w:p>
    <w:p>
      <w:pPr>
        <w:keepNext/>
        <w:keepLines/>
        <w:spacing w:before="120" w:beforeLines="50" w:after="120" w:afterLines="50" w:line="360" w:lineRule="auto"/>
        <w:ind w:firstLine="136"/>
        <w:outlineLvl w:val="2"/>
        <w:rPr>
          <w:rFonts w:ascii="黑体" w:hAnsi="黑体" w:eastAsia="黑体"/>
          <w:color w:val="auto"/>
          <w:kern w:val="1"/>
          <w:sz w:val="28"/>
          <w:szCs w:val="28"/>
          <w:highlight w:val="none"/>
          <w:lang w:val="zh-CN"/>
        </w:rPr>
      </w:pPr>
      <w:bookmarkStart w:id="725" w:name="_Toc15290"/>
      <w:bookmarkStart w:id="726" w:name="_Toc106703283"/>
      <w:bookmarkStart w:id="727" w:name="_Toc18721"/>
      <w:bookmarkStart w:id="728" w:name="_Toc52112954"/>
      <w:r>
        <w:rPr>
          <w:rFonts w:hint="eastAsia" w:ascii="黑体" w:hAnsi="黑体" w:eastAsia="黑体"/>
          <w:color w:val="auto"/>
          <w:kern w:val="1"/>
          <w:sz w:val="28"/>
          <w:szCs w:val="28"/>
          <w:highlight w:val="none"/>
          <w:lang w:val="zh-CN"/>
        </w:rPr>
        <w:t>1. 评标方法</w:t>
      </w:r>
      <w:bookmarkEnd w:id="725"/>
      <w:bookmarkEnd w:id="726"/>
      <w:bookmarkEnd w:id="727"/>
      <w:bookmarkEnd w:id="728"/>
    </w:p>
    <w:p>
      <w:pPr>
        <w:spacing w:line="360" w:lineRule="auto"/>
        <w:ind w:firstLine="420"/>
        <w:rPr>
          <w:rFonts w:ascii="Calibri" w:hAnsi="Calibri"/>
          <w:color w:val="auto"/>
          <w:sz w:val="21"/>
          <w:szCs w:val="24"/>
          <w:highlight w:val="none"/>
        </w:rPr>
      </w:pPr>
      <w:r>
        <w:rPr>
          <w:rFonts w:hint="eastAsia"/>
          <w:color w:val="auto"/>
          <w:sz w:val="21"/>
          <w:szCs w:val="24"/>
          <w:highlight w:val="none"/>
        </w:rPr>
        <w:t>1.1</w:t>
      </w:r>
      <w:r>
        <w:rPr>
          <w:rFonts w:hint="eastAsia" w:ascii="Calibri" w:hAnsi="Calibri"/>
          <w:color w:val="auto"/>
          <w:sz w:val="21"/>
          <w:szCs w:val="24"/>
          <w:highlight w:val="none"/>
        </w:rPr>
        <w:t>本次评标采用定性评审法。</w:t>
      </w:r>
    </w:p>
    <w:p>
      <w:pPr>
        <w:spacing w:line="360" w:lineRule="auto"/>
        <w:ind w:firstLine="420"/>
        <w:rPr>
          <w:rFonts w:ascii="Calibri" w:hAnsi="Calibri"/>
          <w:color w:val="auto"/>
          <w:sz w:val="21"/>
          <w:szCs w:val="24"/>
          <w:highlight w:val="none"/>
        </w:rPr>
      </w:pPr>
      <w:r>
        <w:rPr>
          <w:rFonts w:hint="eastAsia"/>
          <w:color w:val="auto"/>
          <w:sz w:val="21"/>
          <w:szCs w:val="24"/>
          <w:highlight w:val="none"/>
        </w:rPr>
        <w:t>1.2招标人分别组建</w:t>
      </w:r>
      <w:r>
        <w:rPr>
          <w:rFonts w:hint="eastAsia" w:ascii="Calibri" w:hAnsi="Calibri"/>
          <w:color w:val="auto"/>
          <w:sz w:val="21"/>
          <w:szCs w:val="24"/>
          <w:highlight w:val="none"/>
        </w:rPr>
        <w:t>资格审查委员会与评标委员会，资格审查委员会与评标委员会分工实施评标工作。资格审查委员会在开标后实施资格审查，确定入围投标人（或先确定入围投标人再进行资格审查）。评标委员会对入围投标人（先确定入围投标人再进行资格审查的，指资格审查合格的入围投标人）的投标文件进行定性评审，将未被否决投标的入围投标人确定为定标候选人，并为后续招标人定标、签订合同提供意见。</w:t>
      </w:r>
    </w:p>
    <w:p>
      <w:pPr>
        <w:keepNext/>
        <w:keepLines/>
        <w:spacing w:before="120" w:beforeLines="50" w:after="120" w:afterLines="50" w:line="360" w:lineRule="auto"/>
        <w:ind w:firstLine="136"/>
        <w:outlineLvl w:val="2"/>
        <w:rPr>
          <w:rFonts w:ascii="黑体" w:hAnsi="黑体" w:eastAsia="黑体"/>
          <w:color w:val="auto"/>
          <w:kern w:val="1"/>
          <w:sz w:val="28"/>
          <w:szCs w:val="28"/>
          <w:highlight w:val="none"/>
          <w:lang w:val="zh-CN"/>
        </w:rPr>
      </w:pPr>
      <w:bookmarkStart w:id="729" w:name="_Toc30647"/>
      <w:bookmarkStart w:id="730" w:name="_Toc2032"/>
      <w:bookmarkStart w:id="731" w:name="_Toc52112955"/>
      <w:bookmarkStart w:id="732" w:name="_Toc106703284"/>
      <w:r>
        <w:rPr>
          <w:rFonts w:hint="eastAsia" w:ascii="黑体" w:hAnsi="黑体" w:eastAsia="黑体"/>
          <w:color w:val="auto"/>
          <w:kern w:val="1"/>
          <w:sz w:val="28"/>
          <w:szCs w:val="28"/>
          <w:highlight w:val="none"/>
          <w:lang w:val="zh-CN"/>
        </w:rPr>
        <w:t>2. 评标程序</w:t>
      </w:r>
      <w:bookmarkEnd w:id="729"/>
      <w:bookmarkEnd w:id="730"/>
      <w:bookmarkEnd w:id="731"/>
      <w:bookmarkEnd w:id="732"/>
    </w:p>
    <w:p>
      <w:pPr>
        <w:spacing w:before="120" w:beforeLines="50" w:after="120" w:afterLines="50" w:line="360" w:lineRule="auto"/>
        <w:ind w:firstLine="420" w:firstLineChars="200"/>
        <w:rPr>
          <w:color w:val="auto"/>
          <w:sz w:val="21"/>
          <w:szCs w:val="24"/>
          <w:highlight w:val="none"/>
        </w:rPr>
      </w:pPr>
      <w:r>
        <w:rPr>
          <w:rFonts w:hint="eastAsia"/>
          <w:color w:val="auto"/>
          <w:sz w:val="21"/>
          <w:szCs w:val="24"/>
          <w:highlight w:val="none"/>
        </w:rPr>
        <w:t>2.1评标按以下程序进行。</w:t>
      </w:r>
    </w:p>
    <w:p>
      <w:pPr>
        <w:spacing w:line="360" w:lineRule="auto"/>
        <w:ind w:firstLine="420" w:firstLineChars="200"/>
        <w:rPr>
          <w:color w:val="auto"/>
          <w:kern w:val="1"/>
          <w:sz w:val="21"/>
          <w:szCs w:val="21"/>
          <w:highlight w:val="none"/>
          <w:lang w:val="zh-CN"/>
        </w:rPr>
      </w:pPr>
      <w:r>
        <w:rPr>
          <w:rFonts w:hint="eastAsia"/>
          <w:color w:val="auto"/>
          <w:kern w:val="1"/>
          <w:sz w:val="21"/>
          <w:szCs w:val="21"/>
          <w:highlight w:val="none"/>
          <w:lang w:val="zh-CN"/>
        </w:rPr>
        <w:t>2.1.1资格审查及确定入围投标人</w:t>
      </w:r>
    </w:p>
    <w:p>
      <w:pPr>
        <w:spacing w:line="360" w:lineRule="auto"/>
        <w:ind w:firstLine="420" w:firstLineChars="200"/>
        <w:rPr>
          <w:color w:val="auto"/>
          <w:kern w:val="1"/>
          <w:sz w:val="21"/>
          <w:szCs w:val="21"/>
          <w:highlight w:val="none"/>
          <w:lang w:val="zh-CN"/>
        </w:rPr>
      </w:pPr>
      <w:r>
        <w:rPr>
          <w:rFonts w:hint="eastAsia"/>
          <w:color w:val="auto"/>
          <w:kern w:val="1"/>
          <w:sz w:val="21"/>
          <w:szCs w:val="21"/>
          <w:highlight w:val="none"/>
          <w:lang w:val="zh-CN"/>
        </w:rPr>
        <w:t>（1）组建资格审查委员会</w:t>
      </w:r>
    </w:p>
    <w:p>
      <w:pPr>
        <w:spacing w:line="360" w:lineRule="auto"/>
        <w:ind w:firstLine="420" w:firstLineChars="200"/>
        <w:rPr>
          <w:color w:val="auto"/>
          <w:sz w:val="21"/>
          <w:szCs w:val="24"/>
          <w:highlight w:val="none"/>
        </w:rPr>
      </w:pPr>
      <w:r>
        <w:rPr>
          <w:rFonts w:hint="eastAsia"/>
          <w:color w:val="auto"/>
          <w:sz w:val="21"/>
          <w:szCs w:val="24"/>
          <w:highlight w:val="none"/>
        </w:rPr>
        <w:t>（2）</w:t>
      </w:r>
      <w:r>
        <w:rPr>
          <w:rFonts w:hint="eastAsia"/>
          <w:color w:val="auto"/>
          <w:kern w:val="1"/>
          <w:sz w:val="21"/>
          <w:szCs w:val="21"/>
          <w:highlight w:val="none"/>
          <w:lang w:val="zh-CN"/>
        </w:rPr>
        <w:t>资格审查前的准备</w:t>
      </w:r>
    </w:p>
    <w:p>
      <w:pPr>
        <w:spacing w:line="360" w:lineRule="auto"/>
        <w:ind w:firstLine="420" w:firstLineChars="200"/>
        <w:rPr>
          <w:color w:val="auto"/>
          <w:sz w:val="21"/>
          <w:szCs w:val="24"/>
          <w:highlight w:val="none"/>
        </w:rPr>
      </w:pPr>
      <w:r>
        <w:rPr>
          <w:rFonts w:hint="eastAsia"/>
          <w:color w:val="auto"/>
          <w:sz w:val="21"/>
          <w:szCs w:val="24"/>
          <w:highlight w:val="none"/>
        </w:rPr>
        <w:t>（3）确定入围投标人</w:t>
      </w:r>
    </w:p>
    <w:p>
      <w:pPr>
        <w:spacing w:line="360" w:lineRule="auto"/>
        <w:ind w:firstLine="420" w:firstLineChars="200"/>
        <w:rPr>
          <w:color w:val="auto"/>
          <w:sz w:val="21"/>
          <w:szCs w:val="24"/>
          <w:highlight w:val="none"/>
        </w:rPr>
      </w:pPr>
      <w:r>
        <w:rPr>
          <w:rFonts w:hint="eastAsia"/>
          <w:color w:val="auto"/>
          <w:sz w:val="21"/>
          <w:szCs w:val="24"/>
          <w:highlight w:val="none"/>
        </w:rPr>
        <w:t>（4）资格审查</w:t>
      </w:r>
    </w:p>
    <w:p>
      <w:pPr>
        <w:spacing w:line="360" w:lineRule="auto"/>
        <w:ind w:firstLine="420" w:firstLineChars="200"/>
        <w:rPr>
          <w:color w:val="auto"/>
          <w:sz w:val="21"/>
          <w:szCs w:val="24"/>
          <w:highlight w:val="none"/>
        </w:rPr>
      </w:pPr>
      <w:r>
        <w:rPr>
          <w:rFonts w:hint="eastAsia"/>
          <w:color w:val="auto"/>
          <w:sz w:val="21"/>
          <w:szCs w:val="24"/>
          <w:highlight w:val="none"/>
        </w:rPr>
        <w:t>（5）澄清</w:t>
      </w:r>
    </w:p>
    <w:p>
      <w:pPr>
        <w:spacing w:line="360" w:lineRule="auto"/>
        <w:ind w:firstLine="420" w:firstLineChars="200"/>
        <w:rPr>
          <w:color w:val="auto"/>
          <w:sz w:val="21"/>
          <w:szCs w:val="24"/>
          <w:highlight w:val="none"/>
        </w:rPr>
      </w:pPr>
      <w:r>
        <w:rPr>
          <w:rFonts w:hint="eastAsia"/>
          <w:color w:val="auto"/>
          <w:sz w:val="21"/>
          <w:szCs w:val="24"/>
          <w:highlight w:val="none"/>
        </w:rPr>
        <w:t>（6）结果确认</w:t>
      </w:r>
    </w:p>
    <w:p>
      <w:pPr>
        <w:spacing w:line="360" w:lineRule="auto"/>
        <w:ind w:firstLine="420" w:firstLineChars="200"/>
        <w:rPr>
          <w:color w:val="auto"/>
          <w:sz w:val="21"/>
          <w:szCs w:val="24"/>
          <w:highlight w:val="none"/>
        </w:rPr>
      </w:pPr>
      <w:r>
        <w:rPr>
          <w:rFonts w:hint="eastAsia"/>
          <w:color w:val="auto"/>
          <w:sz w:val="21"/>
          <w:szCs w:val="24"/>
          <w:highlight w:val="none"/>
        </w:rPr>
        <w:t>投标人须知前附表对上述第（3）目“确定入围投标人”与第（4）目“资格审查”的程序顺序作出规定的，从其规定</w:t>
      </w:r>
      <w:r>
        <w:rPr>
          <w:rFonts w:hint="eastAsia"/>
          <w:color w:val="auto"/>
          <w:kern w:val="1"/>
          <w:sz w:val="21"/>
          <w:szCs w:val="21"/>
          <w:highlight w:val="none"/>
          <w:lang w:val="zh-CN"/>
        </w:rPr>
        <w:t>。</w:t>
      </w:r>
    </w:p>
    <w:p>
      <w:pPr>
        <w:spacing w:line="360" w:lineRule="auto"/>
        <w:ind w:firstLine="420" w:firstLineChars="200"/>
        <w:rPr>
          <w:color w:val="auto"/>
          <w:sz w:val="21"/>
          <w:szCs w:val="24"/>
          <w:highlight w:val="none"/>
        </w:rPr>
      </w:pPr>
      <w:r>
        <w:rPr>
          <w:rFonts w:hint="eastAsia"/>
          <w:color w:val="auto"/>
          <w:sz w:val="21"/>
          <w:szCs w:val="24"/>
          <w:highlight w:val="none"/>
        </w:rPr>
        <w:t>2.1.3定性评审</w:t>
      </w:r>
    </w:p>
    <w:p>
      <w:pPr>
        <w:spacing w:line="360" w:lineRule="auto"/>
        <w:ind w:firstLine="420" w:firstLineChars="200"/>
        <w:rPr>
          <w:color w:val="auto"/>
          <w:sz w:val="21"/>
          <w:szCs w:val="24"/>
          <w:highlight w:val="none"/>
        </w:rPr>
      </w:pPr>
      <w:r>
        <w:rPr>
          <w:rFonts w:hint="eastAsia"/>
          <w:color w:val="auto"/>
          <w:sz w:val="21"/>
          <w:szCs w:val="24"/>
          <w:highlight w:val="none"/>
        </w:rPr>
        <w:t>（1）</w:t>
      </w:r>
      <w:r>
        <w:rPr>
          <w:rFonts w:hint="eastAsia"/>
          <w:color w:val="auto"/>
          <w:kern w:val="1"/>
          <w:sz w:val="21"/>
          <w:szCs w:val="21"/>
          <w:highlight w:val="none"/>
          <w:lang w:val="zh-CN"/>
        </w:rPr>
        <w:t>组建评标委员会</w:t>
      </w:r>
    </w:p>
    <w:p>
      <w:pPr>
        <w:spacing w:line="360" w:lineRule="auto"/>
        <w:ind w:firstLine="420" w:firstLineChars="200"/>
        <w:rPr>
          <w:color w:val="auto"/>
          <w:sz w:val="21"/>
          <w:szCs w:val="24"/>
          <w:highlight w:val="none"/>
        </w:rPr>
      </w:pPr>
      <w:r>
        <w:rPr>
          <w:rFonts w:hint="eastAsia"/>
          <w:color w:val="auto"/>
          <w:sz w:val="21"/>
          <w:szCs w:val="24"/>
          <w:highlight w:val="none"/>
        </w:rPr>
        <w:t>（2）评审前的准备</w:t>
      </w:r>
    </w:p>
    <w:p>
      <w:pPr>
        <w:spacing w:line="360" w:lineRule="auto"/>
        <w:ind w:firstLine="420" w:firstLineChars="200"/>
        <w:rPr>
          <w:color w:val="auto"/>
          <w:sz w:val="21"/>
          <w:szCs w:val="24"/>
          <w:highlight w:val="none"/>
        </w:rPr>
      </w:pPr>
      <w:r>
        <w:rPr>
          <w:rFonts w:hint="eastAsia"/>
          <w:color w:val="auto"/>
          <w:sz w:val="21"/>
          <w:szCs w:val="24"/>
          <w:highlight w:val="none"/>
        </w:rPr>
        <w:t>（3）初步评审</w:t>
      </w:r>
    </w:p>
    <w:p>
      <w:pPr>
        <w:spacing w:line="360" w:lineRule="auto"/>
        <w:ind w:firstLine="420" w:firstLineChars="200"/>
        <w:rPr>
          <w:color w:val="auto"/>
          <w:kern w:val="1"/>
          <w:sz w:val="21"/>
          <w:szCs w:val="21"/>
          <w:highlight w:val="none"/>
          <w:lang w:val="zh-CN"/>
        </w:rPr>
      </w:pPr>
      <w:r>
        <w:rPr>
          <w:rFonts w:hint="eastAsia"/>
          <w:color w:val="auto"/>
          <w:sz w:val="21"/>
          <w:szCs w:val="24"/>
          <w:highlight w:val="none"/>
        </w:rPr>
        <w:t>（4）</w:t>
      </w:r>
      <w:r>
        <w:rPr>
          <w:rFonts w:hint="eastAsia"/>
          <w:color w:val="auto"/>
          <w:kern w:val="1"/>
          <w:sz w:val="21"/>
          <w:szCs w:val="21"/>
          <w:highlight w:val="none"/>
          <w:lang w:val="zh-CN"/>
        </w:rPr>
        <w:t>投标文件的澄清、说明和补正</w:t>
      </w:r>
    </w:p>
    <w:p>
      <w:pPr>
        <w:spacing w:line="360" w:lineRule="auto"/>
        <w:ind w:firstLine="420" w:firstLineChars="200"/>
        <w:rPr>
          <w:color w:val="auto"/>
          <w:sz w:val="21"/>
          <w:szCs w:val="24"/>
          <w:highlight w:val="none"/>
        </w:rPr>
      </w:pPr>
      <w:r>
        <w:rPr>
          <w:rFonts w:hint="eastAsia"/>
          <w:color w:val="auto"/>
          <w:kern w:val="1"/>
          <w:sz w:val="21"/>
          <w:szCs w:val="21"/>
          <w:highlight w:val="none"/>
          <w:lang w:val="zh-CN"/>
        </w:rPr>
        <w:t>（5）投标文件的修正</w:t>
      </w:r>
    </w:p>
    <w:p>
      <w:pPr>
        <w:spacing w:line="360" w:lineRule="auto"/>
        <w:ind w:firstLine="420" w:firstLineChars="200"/>
        <w:rPr>
          <w:color w:val="auto"/>
          <w:sz w:val="21"/>
          <w:szCs w:val="24"/>
          <w:highlight w:val="none"/>
        </w:rPr>
      </w:pPr>
      <w:r>
        <w:rPr>
          <w:rFonts w:hint="eastAsia"/>
          <w:color w:val="auto"/>
          <w:sz w:val="21"/>
          <w:szCs w:val="24"/>
          <w:highlight w:val="none"/>
        </w:rPr>
        <w:t>（6）详细评审</w:t>
      </w:r>
    </w:p>
    <w:p>
      <w:pPr>
        <w:spacing w:line="360" w:lineRule="auto"/>
        <w:ind w:firstLine="420" w:firstLineChars="200"/>
        <w:rPr>
          <w:color w:val="auto"/>
          <w:sz w:val="21"/>
          <w:szCs w:val="24"/>
          <w:highlight w:val="none"/>
        </w:rPr>
      </w:pPr>
      <w:r>
        <w:rPr>
          <w:rFonts w:hint="eastAsia"/>
          <w:color w:val="auto"/>
          <w:sz w:val="21"/>
          <w:szCs w:val="24"/>
          <w:highlight w:val="none"/>
        </w:rPr>
        <w:t>（7）确定定标候选人</w:t>
      </w:r>
    </w:p>
    <w:p>
      <w:pPr>
        <w:keepNext/>
        <w:keepLines/>
        <w:spacing w:before="120" w:beforeLines="50" w:after="120" w:afterLines="50" w:line="360" w:lineRule="auto"/>
        <w:ind w:firstLine="136"/>
        <w:outlineLvl w:val="2"/>
        <w:rPr>
          <w:rFonts w:ascii="黑体" w:hAnsi="黑体" w:eastAsia="黑体"/>
          <w:color w:val="auto"/>
          <w:kern w:val="1"/>
          <w:sz w:val="28"/>
          <w:szCs w:val="28"/>
          <w:highlight w:val="none"/>
          <w:lang w:val="zh-CN"/>
        </w:rPr>
      </w:pPr>
      <w:bookmarkStart w:id="733" w:name="_Toc11484"/>
      <w:bookmarkStart w:id="734" w:name="_Toc52112956"/>
      <w:bookmarkStart w:id="735" w:name="_Toc106703285"/>
      <w:bookmarkStart w:id="736" w:name="_Toc20175"/>
      <w:r>
        <w:rPr>
          <w:rFonts w:hint="eastAsia" w:ascii="黑体" w:hAnsi="黑体" w:eastAsia="黑体"/>
          <w:color w:val="auto"/>
          <w:kern w:val="1"/>
          <w:sz w:val="28"/>
          <w:szCs w:val="28"/>
          <w:highlight w:val="none"/>
          <w:lang w:val="zh-CN"/>
        </w:rPr>
        <w:t>3. 资格审查及确定入围投标人</w:t>
      </w:r>
      <w:bookmarkEnd w:id="733"/>
      <w:bookmarkEnd w:id="734"/>
      <w:bookmarkEnd w:id="735"/>
      <w:bookmarkEnd w:id="736"/>
    </w:p>
    <w:p>
      <w:pPr>
        <w:spacing w:before="120" w:beforeLines="50" w:after="120" w:afterLines="50" w:line="360" w:lineRule="auto"/>
        <w:ind w:left="420"/>
        <w:rPr>
          <w:b/>
          <w:color w:val="auto"/>
          <w:kern w:val="1"/>
          <w:sz w:val="21"/>
          <w:szCs w:val="21"/>
          <w:highlight w:val="none"/>
          <w:lang w:val="zh-CN"/>
        </w:rPr>
      </w:pPr>
      <w:r>
        <w:rPr>
          <w:rFonts w:hint="eastAsia"/>
          <w:color w:val="auto"/>
          <w:kern w:val="1"/>
          <w:sz w:val="21"/>
          <w:szCs w:val="21"/>
          <w:highlight w:val="none"/>
          <w:lang w:val="zh-CN"/>
        </w:rPr>
        <w:t>3.1组建资格审查委员会</w:t>
      </w:r>
    </w:p>
    <w:p>
      <w:pPr>
        <w:spacing w:line="360" w:lineRule="auto"/>
        <w:ind w:firstLine="420" w:firstLineChars="200"/>
        <w:rPr>
          <w:color w:val="auto"/>
          <w:kern w:val="1"/>
          <w:sz w:val="21"/>
          <w:szCs w:val="21"/>
          <w:highlight w:val="none"/>
          <w:lang w:val="zh-CN"/>
        </w:rPr>
      </w:pPr>
      <w:r>
        <w:rPr>
          <w:rFonts w:hint="eastAsia"/>
          <w:color w:val="auto"/>
          <w:kern w:val="1"/>
          <w:sz w:val="21"/>
          <w:szCs w:val="21"/>
          <w:highlight w:val="none"/>
          <w:lang w:val="zh-CN"/>
        </w:rPr>
        <w:t>资格审查委员会由招标人代表（包括招标人委托的招标代理机构代表）组成，成员人数为3人及以上单数。资格审查与确定入围投标人工作由资格审查委员会负责并组织实施。</w:t>
      </w:r>
    </w:p>
    <w:p>
      <w:pPr>
        <w:spacing w:before="120" w:beforeLines="50" w:after="120" w:afterLines="50" w:line="360" w:lineRule="auto"/>
        <w:ind w:left="420"/>
        <w:rPr>
          <w:b/>
          <w:color w:val="auto"/>
          <w:kern w:val="1"/>
          <w:sz w:val="21"/>
          <w:szCs w:val="21"/>
          <w:highlight w:val="none"/>
          <w:lang w:val="zh-CN"/>
        </w:rPr>
      </w:pPr>
      <w:r>
        <w:rPr>
          <w:rFonts w:hint="eastAsia"/>
          <w:color w:val="auto"/>
          <w:kern w:val="1"/>
          <w:sz w:val="21"/>
          <w:szCs w:val="21"/>
          <w:highlight w:val="none"/>
          <w:lang w:val="zh-CN"/>
        </w:rPr>
        <w:t>3.2资格审查前的准备</w:t>
      </w:r>
    </w:p>
    <w:p>
      <w:pPr>
        <w:spacing w:line="360" w:lineRule="auto"/>
        <w:ind w:firstLine="420" w:firstLineChars="200"/>
        <w:rPr>
          <w:color w:val="auto"/>
          <w:kern w:val="1"/>
          <w:sz w:val="21"/>
          <w:szCs w:val="21"/>
          <w:highlight w:val="none"/>
          <w:lang w:val="zh-CN"/>
        </w:rPr>
      </w:pPr>
      <w:r>
        <w:rPr>
          <w:rFonts w:hint="eastAsia"/>
          <w:color w:val="auto"/>
          <w:kern w:val="1"/>
          <w:sz w:val="21"/>
          <w:szCs w:val="21"/>
          <w:highlight w:val="none"/>
          <w:lang w:val="zh-CN"/>
        </w:rPr>
        <w:t>资格审查委员会在资格审查前应当认真研究招标文件，了解和熟悉资格审查程序、标准和审查过程中考虑的相关因素。</w:t>
      </w:r>
    </w:p>
    <w:p>
      <w:pPr>
        <w:spacing w:before="120" w:beforeLines="50" w:after="120" w:afterLines="50" w:line="360" w:lineRule="auto"/>
        <w:ind w:firstLine="420" w:firstLineChars="200"/>
        <w:rPr>
          <w:color w:val="auto"/>
          <w:kern w:val="1"/>
          <w:sz w:val="21"/>
          <w:szCs w:val="21"/>
          <w:highlight w:val="none"/>
          <w:lang w:val="zh-CN"/>
        </w:rPr>
      </w:pPr>
      <w:r>
        <w:rPr>
          <w:rFonts w:hint="eastAsia"/>
          <w:color w:val="auto"/>
          <w:kern w:val="1"/>
          <w:sz w:val="21"/>
          <w:szCs w:val="21"/>
          <w:highlight w:val="none"/>
          <w:lang w:val="zh-CN"/>
        </w:rPr>
        <w:t>3.3确定入围投标人</w:t>
      </w:r>
    </w:p>
    <w:p>
      <w:pPr>
        <w:spacing w:before="120" w:beforeLines="50" w:after="120" w:afterLines="50" w:line="360" w:lineRule="auto"/>
        <w:ind w:firstLine="420" w:firstLineChars="200"/>
        <w:rPr>
          <w:rFonts w:ascii="Calibri" w:hAnsi="Calibri"/>
          <w:color w:val="auto"/>
          <w:sz w:val="21"/>
          <w:szCs w:val="24"/>
          <w:highlight w:val="none"/>
        </w:rPr>
      </w:pPr>
      <w:r>
        <w:rPr>
          <w:rFonts w:hint="eastAsia" w:cs="宋体"/>
          <w:color w:val="auto"/>
          <w:kern w:val="1"/>
          <w:sz w:val="21"/>
          <w:szCs w:val="24"/>
          <w:highlight w:val="none"/>
        </w:rPr>
        <w:t>资格审查委员会在投标人中，</w:t>
      </w:r>
      <w:r>
        <w:rPr>
          <w:rFonts w:hint="eastAsia"/>
          <w:color w:val="auto"/>
          <w:kern w:val="1"/>
          <w:sz w:val="21"/>
          <w:szCs w:val="21"/>
          <w:highlight w:val="none"/>
          <w:lang w:val="zh-CN"/>
        </w:rPr>
        <w:t>依据评标办法附表第1项规定的标准</w:t>
      </w:r>
      <w:r>
        <w:rPr>
          <w:rFonts w:hint="eastAsia" w:cs="宋体"/>
          <w:color w:val="auto"/>
          <w:kern w:val="1"/>
          <w:sz w:val="21"/>
          <w:szCs w:val="24"/>
          <w:highlight w:val="none"/>
        </w:rPr>
        <w:t>确定入围投标人。</w:t>
      </w:r>
    </w:p>
    <w:p>
      <w:pPr>
        <w:spacing w:before="120" w:beforeLines="50" w:after="120" w:afterLines="50" w:line="360" w:lineRule="auto"/>
        <w:ind w:firstLine="420" w:firstLineChars="200"/>
        <w:rPr>
          <w:color w:val="auto"/>
          <w:kern w:val="1"/>
          <w:sz w:val="21"/>
          <w:szCs w:val="21"/>
          <w:highlight w:val="none"/>
          <w:lang w:val="zh-CN"/>
        </w:rPr>
      </w:pPr>
      <w:r>
        <w:rPr>
          <w:rFonts w:hint="eastAsia"/>
          <w:color w:val="auto"/>
          <w:kern w:val="1"/>
          <w:sz w:val="21"/>
          <w:szCs w:val="21"/>
          <w:highlight w:val="none"/>
          <w:lang w:val="zh-CN"/>
        </w:rPr>
        <w:t>3.4资格审查</w:t>
      </w:r>
    </w:p>
    <w:p>
      <w:pPr>
        <w:spacing w:before="120" w:beforeLines="50" w:after="120" w:afterLines="50" w:line="360" w:lineRule="auto"/>
        <w:ind w:firstLine="420" w:firstLineChars="200"/>
        <w:rPr>
          <w:rFonts w:cs="宋体"/>
          <w:color w:val="auto"/>
          <w:kern w:val="1"/>
          <w:sz w:val="21"/>
          <w:szCs w:val="24"/>
          <w:highlight w:val="none"/>
        </w:rPr>
      </w:pPr>
      <w:r>
        <w:rPr>
          <w:rFonts w:hint="eastAsia"/>
          <w:color w:val="auto"/>
          <w:kern w:val="1"/>
          <w:sz w:val="21"/>
          <w:szCs w:val="21"/>
          <w:highlight w:val="none"/>
          <w:lang w:val="zh-CN"/>
        </w:rPr>
        <w:t>资格审查委员会依据评标办法附表第2项规定的标准对入围投标人进行资格审查，</w:t>
      </w:r>
      <w:r>
        <w:rPr>
          <w:rFonts w:hint="eastAsia" w:ascii="Calibri" w:hAnsi="Calibri"/>
          <w:color w:val="auto"/>
          <w:sz w:val="21"/>
          <w:szCs w:val="24"/>
          <w:highlight w:val="none"/>
        </w:rPr>
        <w:t>有一项不符合评审标准的，</w:t>
      </w:r>
      <w:r>
        <w:rPr>
          <w:rFonts w:hint="eastAsia"/>
          <w:color w:val="auto"/>
          <w:kern w:val="1"/>
          <w:sz w:val="21"/>
          <w:szCs w:val="21"/>
          <w:highlight w:val="none"/>
          <w:lang w:val="zh-CN"/>
        </w:rPr>
        <w:t>资格审查不合格，且不再递补入围投标人</w:t>
      </w:r>
      <w:r>
        <w:rPr>
          <w:rFonts w:hint="eastAsia" w:ascii="Calibri" w:hAnsi="Calibri"/>
          <w:color w:val="auto"/>
          <w:sz w:val="21"/>
          <w:szCs w:val="24"/>
          <w:highlight w:val="none"/>
        </w:rPr>
        <w:t>。</w:t>
      </w:r>
    </w:p>
    <w:p>
      <w:pPr>
        <w:spacing w:before="120" w:beforeLines="50" w:after="120" w:afterLines="50" w:line="360" w:lineRule="auto"/>
        <w:ind w:firstLine="420" w:firstLineChars="200"/>
        <w:rPr>
          <w:color w:val="auto"/>
          <w:kern w:val="1"/>
          <w:sz w:val="21"/>
          <w:szCs w:val="21"/>
          <w:highlight w:val="none"/>
          <w:lang w:val="zh-CN"/>
        </w:rPr>
      </w:pPr>
      <w:r>
        <w:rPr>
          <w:rFonts w:hint="eastAsia"/>
          <w:color w:val="auto"/>
          <w:kern w:val="1"/>
          <w:sz w:val="21"/>
          <w:szCs w:val="21"/>
          <w:highlight w:val="none"/>
          <w:lang w:val="zh-CN"/>
        </w:rPr>
        <w:t>3.5澄清</w:t>
      </w:r>
    </w:p>
    <w:p>
      <w:pPr>
        <w:spacing w:line="360" w:lineRule="auto"/>
        <w:ind w:firstLine="420" w:firstLineChars="200"/>
        <w:rPr>
          <w:color w:val="auto"/>
          <w:kern w:val="1"/>
          <w:sz w:val="21"/>
          <w:szCs w:val="21"/>
          <w:highlight w:val="none"/>
          <w:lang w:val="zh-CN"/>
        </w:rPr>
      </w:pPr>
      <w:r>
        <w:rPr>
          <w:rFonts w:hint="eastAsia"/>
          <w:color w:val="auto"/>
          <w:kern w:val="1"/>
          <w:sz w:val="21"/>
          <w:szCs w:val="21"/>
          <w:highlight w:val="none"/>
          <w:lang w:val="zh-CN"/>
        </w:rPr>
        <w:t>资格审查委员会认为需要对投标人的资格文件进行澄清的，应当通过</w:t>
      </w:r>
      <w:r>
        <w:rPr>
          <w:rFonts w:hint="eastAsia" w:cs="宋体"/>
          <w:color w:val="auto"/>
          <w:kern w:val="1"/>
          <w:sz w:val="21"/>
          <w:szCs w:val="24"/>
          <w:highlight w:val="none"/>
        </w:rPr>
        <w:t>电子交易平台要求投标人对所提交的资格文件中不明确的内容进行书面澄清。</w:t>
      </w:r>
      <w:r>
        <w:rPr>
          <w:rFonts w:hint="eastAsia"/>
          <w:color w:val="auto"/>
          <w:kern w:val="1"/>
          <w:sz w:val="21"/>
          <w:szCs w:val="21"/>
          <w:highlight w:val="none"/>
          <w:lang w:val="zh-CN"/>
        </w:rPr>
        <w:t>投标人</w:t>
      </w:r>
      <w:r>
        <w:rPr>
          <w:rFonts w:hint="eastAsia" w:cs="宋体"/>
          <w:color w:val="auto"/>
          <w:kern w:val="1"/>
          <w:sz w:val="21"/>
          <w:szCs w:val="24"/>
          <w:highlight w:val="none"/>
        </w:rPr>
        <w:t>不按资格审查委员会要求澄清的，资格审查不合格</w:t>
      </w:r>
      <w:r>
        <w:rPr>
          <w:rFonts w:hint="eastAsia"/>
          <w:color w:val="auto"/>
          <w:kern w:val="1"/>
          <w:sz w:val="21"/>
          <w:szCs w:val="21"/>
          <w:highlight w:val="none"/>
          <w:lang w:val="zh-CN"/>
        </w:rPr>
        <w:t>。</w:t>
      </w:r>
    </w:p>
    <w:p>
      <w:pPr>
        <w:spacing w:line="360" w:lineRule="auto"/>
        <w:ind w:firstLine="420" w:firstLineChars="200"/>
        <w:rPr>
          <w:color w:val="auto"/>
          <w:kern w:val="1"/>
          <w:sz w:val="21"/>
          <w:szCs w:val="21"/>
          <w:highlight w:val="none"/>
          <w:lang w:val="zh-CN"/>
        </w:rPr>
      </w:pPr>
      <w:r>
        <w:rPr>
          <w:rFonts w:hint="eastAsia" w:cs="宋体"/>
          <w:color w:val="auto"/>
          <w:kern w:val="1"/>
          <w:sz w:val="21"/>
          <w:szCs w:val="24"/>
          <w:highlight w:val="none"/>
        </w:rPr>
        <w:t>澄清不得改变投标文件的实质性内容，投标人的书面澄清属于资格文件的组成部分。</w:t>
      </w:r>
      <w:r>
        <w:rPr>
          <w:rFonts w:hint="eastAsia"/>
          <w:color w:val="auto"/>
          <w:kern w:val="1"/>
          <w:sz w:val="21"/>
          <w:szCs w:val="21"/>
          <w:highlight w:val="none"/>
          <w:lang w:val="zh-CN"/>
        </w:rPr>
        <w:t>资格审查委员会</w:t>
      </w:r>
      <w:r>
        <w:rPr>
          <w:rFonts w:hint="eastAsia" w:cs="宋体"/>
          <w:color w:val="auto"/>
          <w:kern w:val="1"/>
          <w:sz w:val="21"/>
          <w:szCs w:val="24"/>
          <w:highlight w:val="none"/>
        </w:rPr>
        <w:t>不接受投标人主动提出的澄清。</w:t>
      </w:r>
    </w:p>
    <w:p>
      <w:pPr>
        <w:spacing w:before="120" w:beforeLines="50" w:after="120" w:afterLines="50" w:line="360" w:lineRule="auto"/>
        <w:ind w:firstLine="420" w:firstLineChars="200"/>
        <w:rPr>
          <w:color w:val="auto"/>
          <w:kern w:val="1"/>
          <w:sz w:val="21"/>
          <w:szCs w:val="21"/>
          <w:highlight w:val="none"/>
          <w:lang w:val="zh-CN"/>
        </w:rPr>
      </w:pPr>
      <w:r>
        <w:rPr>
          <w:rFonts w:hint="eastAsia"/>
          <w:color w:val="auto"/>
          <w:kern w:val="1"/>
          <w:sz w:val="21"/>
          <w:szCs w:val="21"/>
          <w:highlight w:val="none"/>
          <w:lang w:val="zh-CN"/>
        </w:rPr>
        <w:t>3.6结果确认</w:t>
      </w:r>
    </w:p>
    <w:p>
      <w:pPr>
        <w:spacing w:line="360" w:lineRule="auto"/>
        <w:ind w:firstLine="420" w:firstLineChars="200"/>
        <w:rPr>
          <w:color w:val="auto"/>
          <w:kern w:val="1"/>
          <w:sz w:val="21"/>
          <w:szCs w:val="21"/>
          <w:highlight w:val="none"/>
          <w:lang w:val="zh-CN"/>
        </w:rPr>
      </w:pPr>
      <w:r>
        <w:rPr>
          <w:rFonts w:hint="eastAsia"/>
          <w:color w:val="auto"/>
          <w:kern w:val="1"/>
          <w:sz w:val="21"/>
          <w:szCs w:val="21"/>
          <w:highlight w:val="none"/>
          <w:lang w:val="zh-CN"/>
        </w:rPr>
        <w:t>资格审查委员会根据规定的程序和标准完成评审后，编制资格审查报告，向评标委员会告知评审结果。</w:t>
      </w:r>
    </w:p>
    <w:p>
      <w:pPr>
        <w:tabs>
          <w:tab w:val="left" w:pos="510"/>
          <w:tab w:val="left" w:pos="1050"/>
        </w:tabs>
        <w:spacing w:line="360" w:lineRule="auto"/>
        <w:ind w:firstLine="420" w:firstLineChars="200"/>
        <w:rPr>
          <w:color w:val="auto"/>
          <w:kern w:val="1"/>
          <w:sz w:val="21"/>
          <w:szCs w:val="21"/>
          <w:highlight w:val="none"/>
          <w:lang w:val="zh-CN"/>
        </w:rPr>
      </w:pPr>
      <w:r>
        <w:rPr>
          <w:rFonts w:hint="eastAsia"/>
          <w:color w:val="auto"/>
          <w:kern w:val="1"/>
          <w:sz w:val="21"/>
          <w:szCs w:val="21"/>
          <w:highlight w:val="none"/>
          <w:lang w:val="zh-CN"/>
        </w:rPr>
        <w:t>3.7资格审查委员会未按照招标文件规定的程序或标准进行评审且影响入围投标人确定结果的，应当按照招标文件规定的程序或标准进行纠正。</w:t>
      </w:r>
    </w:p>
    <w:p>
      <w:pPr>
        <w:keepNext/>
        <w:keepLines/>
        <w:spacing w:before="120" w:beforeLines="50" w:after="120" w:afterLines="50" w:line="360" w:lineRule="auto"/>
        <w:ind w:firstLine="136"/>
        <w:outlineLvl w:val="2"/>
        <w:rPr>
          <w:rFonts w:ascii="黑体" w:hAnsi="黑体" w:eastAsia="黑体"/>
          <w:color w:val="auto"/>
          <w:kern w:val="1"/>
          <w:sz w:val="28"/>
          <w:szCs w:val="28"/>
          <w:highlight w:val="none"/>
          <w:lang w:val="zh-CN"/>
        </w:rPr>
      </w:pPr>
      <w:bookmarkStart w:id="737" w:name="_Toc17857"/>
      <w:bookmarkStart w:id="738" w:name="_Toc106703286"/>
      <w:bookmarkStart w:id="739" w:name="_Toc13323"/>
      <w:bookmarkStart w:id="740" w:name="_Toc52112957"/>
      <w:r>
        <w:rPr>
          <w:rFonts w:hint="eastAsia" w:ascii="黑体" w:hAnsi="黑体" w:eastAsia="黑体"/>
          <w:color w:val="auto"/>
          <w:kern w:val="1"/>
          <w:sz w:val="28"/>
          <w:szCs w:val="28"/>
          <w:highlight w:val="none"/>
          <w:lang w:val="zh-CN"/>
        </w:rPr>
        <w:t>4. 定性评审</w:t>
      </w:r>
      <w:bookmarkEnd w:id="737"/>
      <w:bookmarkEnd w:id="738"/>
      <w:bookmarkEnd w:id="739"/>
      <w:bookmarkEnd w:id="740"/>
    </w:p>
    <w:p>
      <w:pPr>
        <w:spacing w:before="120" w:beforeLines="50" w:after="120" w:afterLines="50" w:line="360" w:lineRule="auto"/>
        <w:ind w:firstLine="420" w:firstLineChars="200"/>
        <w:rPr>
          <w:color w:val="auto"/>
          <w:kern w:val="1"/>
          <w:sz w:val="21"/>
          <w:szCs w:val="21"/>
          <w:highlight w:val="none"/>
          <w:lang w:val="zh-CN"/>
        </w:rPr>
      </w:pPr>
      <w:r>
        <w:rPr>
          <w:rFonts w:hint="eastAsia"/>
          <w:color w:val="auto"/>
          <w:kern w:val="1"/>
          <w:sz w:val="21"/>
          <w:szCs w:val="21"/>
          <w:highlight w:val="none"/>
          <w:lang w:val="zh-CN"/>
        </w:rPr>
        <w:t>4.1定性评审工作规则</w:t>
      </w:r>
    </w:p>
    <w:p>
      <w:pPr>
        <w:widowControl/>
        <w:tabs>
          <w:tab w:val="left" w:pos="709"/>
          <w:tab w:val="left" w:pos="800"/>
          <w:tab w:val="left" w:pos="993"/>
          <w:tab w:val="left" w:pos="1008"/>
          <w:tab w:val="left" w:pos="1134"/>
        </w:tabs>
        <w:spacing w:line="360" w:lineRule="auto"/>
        <w:ind w:firstLine="420" w:firstLineChars="200"/>
        <w:rPr>
          <w:color w:val="auto"/>
          <w:sz w:val="21"/>
          <w:szCs w:val="24"/>
          <w:highlight w:val="none"/>
        </w:rPr>
      </w:pPr>
      <w:r>
        <w:rPr>
          <w:rFonts w:hint="eastAsia" w:hAnsi="Calibri"/>
          <w:color w:val="auto"/>
          <w:kern w:val="1"/>
          <w:sz w:val="21"/>
          <w:szCs w:val="21"/>
          <w:highlight w:val="none"/>
        </w:rPr>
        <w:t>4.1</w:t>
      </w:r>
      <w:r>
        <w:rPr>
          <w:rFonts w:hint="eastAsia"/>
          <w:color w:val="auto"/>
          <w:sz w:val="21"/>
          <w:szCs w:val="24"/>
          <w:highlight w:val="none"/>
        </w:rPr>
        <w:t>.1评标委员会应当按照本章规定的方法、评审因素、标准和程序，客观、公正地对投标文件提出评审意见。本章没有规定的方法、评审因素和标准，不得作为评标的依据。</w:t>
      </w:r>
    </w:p>
    <w:p>
      <w:pPr>
        <w:widowControl/>
        <w:tabs>
          <w:tab w:val="left" w:pos="709"/>
          <w:tab w:val="left" w:pos="800"/>
          <w:tab w:val="left" w:pos="993"/>
          <w:tab w:val="left" w:pos="1008"/>
          <w:tab w:val="left" w:pos="1134"/>
        </w:tabs>
        <w:spacing w:line="360" w:lineRule="auto"/>
        <w:ind w:firstLine="420" w:firstLineChars="200"/>
        <w:rPr>
          <w:color w:val="auto"/>
          <w:sz w:val="21"/>
          <w:szCs w:val="24"/>
          <w:highlight w:val="none"/>
        </w:rPr>
      </w:pPr>
      <w:r>
        <w:rPr>
          <w:rFonts w:hint="eastAsia" w:hAnsi="Calibri"/>
          <w:color w:val="auto"/>
          <w:kern w:val="1"/>
          <w:sz w:val="21"/>
          <w:szCs w:val="21"/>
          <w:highlight w:val="none"/>
        </w:rPr>
        <w:t>4.1</w:t>
      </w:r>
      <w:r>
        <w:rPr>
          <w:rFonts w:hint="eastAsia"/>
          <w:color w:val="auto"/>
          <w:sz w:val="21"/>
          <w:szCs w:val="24"/>
          <w:highlight w:val="none"/>
        </w:rPr>
        <w:t>.2招标人应当根据项目规模和技术复杂程度等因素合理确定评标时间。超过三分之一的评标委员会成员认为评标时间不够的，招标人应当适当延长。</w:t>
      </w:r>
    </w:p>
    <w:p>
      <w:pPr>
        <w:widowControl/>
        <w:tabs>
          <w:tab w:val="left" w:pos="709"/>
          <w:tab w:val="left" w:pos="800"/>
          <w:tab w:val="left" w:pos="993"/>
          <w:tab w:val="left" w:pos="1008"/>
          <w:tab w:val="left" w:pos="1134"/>
        </w:tabs>
        <w:spacing w:line="360" w:lineRule="auto"/>
        <w:ind w:firstLine="420" w:firstLineChars="200"/>
        <w:rPr>
          <w:color w:val="auto"/>
          <w:sz w:val="21"/>
          <w:szCs w:val="24"/>
          <w:highlight w:val="none"/>
        </w:rPr>
      </w:pPr>
      <w:r>
        <w:rPr>
          <w:rFonts w:hint="eastAsia" w:hAnsi="Calibri"/>
          <w:color w:val="auto"/>
          <w:kern w:val="1"/>
          <w:sz w:val="21"/>
          <w:szCs w:val="21"/>
          <w:highlight w:val="none"/>
        </w:rPr>
        <w:t>4.1</w:t>
      </w:r>
      <w:r>
        <w:rPr>
          <w:rFonts w:hint="eastAsia"/>
          <w:color w:val="auto"/>
          <w:sz w:val="21"/>
          <w:szCs w:val="24"/>
          <w:highlight w:val="none"/>
        </w:rPr>
        <w:t>.3评标过程中，评标委员会成员有回避事由、擅离职守或者因健康等原因不能继续评标的，应当及时更换。被更换的评标委员会成员作出的评审结论无效，由更换后的评标委员会成员重新进行评审。</w:t>
      </w:r>
    </w:p>
    <w:p>
      <w:pPr>
        <w:widowControl/>
        <w:tabs>
          <w:tab w:val="left" w:pos="709"/>
          <w:tab w:val="left" w:pos="800"/>
          <w:tab w:val="left" w:pos="993"/>
          <w:tab w:val="left" w:pos="1008"/>
          <w:tab w:val="left" w:pos="1134"/>
        </w:tabs>
        <w:spacing w:line="360" w:lineRule="auto"/>
        <w:ind w:firstLine="420" w:firstLineChars="200"/>
        <w:rPr>
          <w:color w:val="auto"/>
          <w:sz w:val="21"/>
          <w:szCs w:val="24"/>
          <w:highlight w:val="none"/>
        </w:rPr>
      </w:pPr>
      <w:r>
        <w:rPr>
          <w:rFonts w:hint="eastAsia" w:hAnsi="Calibri"/>
          <w:color w:val="auto"/>
          <w:kern w:val="1"/>
          <w:sz w:val="21"/>
          <w:szCs w:val="21"/>
          <w:highlight w:val="none"/>
        </w:rPr>
        <w:t>4.1</w:t>
      </w:r>
      <w:r>
        <w:rPr>
          <w:rFonts w:hint="eastAsia"/>
          <w:color w:val="auto"/>
          <w:sz w:val="21"/>
          <w:szCs w:val="24"/>
          <w:highlight w:val="none"/>
        </w:rPr>
        <w:t>.4</w:t>
      </w:r>
      <w:r>
        <w:rPr>
          <w:color w:val="auto"/>
          <w:sz w:val="21"/>
          <w:szCs w:val="24"/>
          <w:highlight w:val="none"/>
        </w:rPr>
        <w:t>招标文件条款存在含义不清或者相互矛盾的，评标委员会应当针对相应条款作出有利于相应投标人的结论。</w:t>
      </w:r>
    </w:p>
    <w:p>
      <w:pPr>
        <w:widowControl/>
        <w:tabs>
          <w:tab w:val="left" w:pos="709"/>
          <w:tab w:val="left" w:pos="800"/>
          <w:tab w:val="left" w:pos="993"/>
          <w:tab w:val="left" w:pos="1008"/>
          <w:tab w:val="left" w:pos="1134"/>
        </w:tabs>
        <w:spacing w:line="360" w:lineRule="auto"/>
        <w:ind w:firstLine="420" w:firstLineChars="200"/>
        <w:rPr>
          <w:color w:val="auto"/>
          <w:sz w:val="21"/>
          <w:szCs w:val="24"/>
          <w:highlight w:val="none"/>
        </w:rPr>
      </w:pPr>
      <w:r>
        <w:rPr>
          <w:rFonts w:hint="eastAsia" w:hAnsi="Calibri"/>
          <w:color w:val="auto"/>
          <w:kern w:val="1"/>
          <w:sz w:val="21"/>
          <w:szCs w:val="21"/>
          <w:highlight w:val="none"/>
        </w:rPr>
        <w:t>4.1</w:t>
      </w:r>
      <w:r>
        <w:rPr>
          <w:rFonts w:hint="eastAsia"/>
          <w:color w:val="auto"/>
          <w:sz w:val="21"/>
          <w:szCs w:val="24"/>
          <w:highlight w:val="none"/>
        </w:rPr>
        <w:t>.5</w:t>
      </w:r>
      <w:r>
        <w:rPr>
          <w:color w:val="auto"/>
          <w:sz w:val="21"/>
          <w:szCs w:val="24"/>
          <w:highlight w:val="none"/>
        </w:rPr>
        <w:t>评标委员会成员的评审意见不一致时，应以表决方式并按照少数服从多数的原则处理。对评标结果有不同意见的，应当在评标报告说明其不同意见和理由。评标委员会成员拒绝在评标报告上签字（电子签名）又不在评标报告说明其不同意见和理由的，视为同意评标结果。</w:t>
      </w:r>
    </w:p>
    <w:p>
      <w:pPr>
        <w:widowControl/>
        <w:tabs>
          <w:tab w:val="left" w:pos="709"/>
          <w:tab w:val="left" w:pos="800"/>
          <w:tab w:val="left" w:pos="1008"/>
          <w:tab w:val="left" w:pos="1134"/>
        </w:tabs>
        <w:spacing w:line="360" w:lineRule="auto"/>
        <w:ind w:firstLine="420" w:firstLineChars="200"/>
        <w:rPr>
          <w:color w:val="auto"/>
          <w:sz w:val="21"/>
          <w:szCs w:val="24"/>
          <w:highlight w:val="none"/>
        </w:rPr>
      </w:pPr>
      <w:r>
        <w:rPr>
          <w:rFonts w:hint="eastAsia" w:hAnsi="Calibri"/>
          <w:color w:val="auto"/>
          <w:kern w:val="1"/>
          <w:sz w:val="21"/>
          <w:szCs w:val="21"/>
          <w:highlight w:val="none"/>
        </w:rPr>
        <w:t>4.1</w:t>
      </w:r>
      <w:r>
        <w:rPr>
          <w:rFonts w:hint="eastAsia"/>
          <w:color w:val="auto"/>
          <w:sz w:val="21"/>
          <w:szCs w:val="24"/>
          <w:highlight w:val="none"/>
        </w:rPr>
        <w:t>.6</w:t>
      </w:r>
      <w:r>
        <w:rPr>
          <w:color w:val="auto"/>
          <w:sz w:val="21"/>
          <w:szCs w:val="24"/>
          <w:highlight w:val="none"/>
        </w:rPr>
        <w:t>对否决的投标或不采信投标人说明的情况，评标委员会应当在评标报告中作详细说明。</w:t>
      </w:r>
    </w:p>
    <w:p>
      <w:pPr>
        <w:widowControl/>
        <w:tabs>
          <w:tab w:val="left" w:pos="709"/>
          <w:tab w:val="left" w:pos="800"/>
          <w:tab w:val="left" w:pos="1008"/>
          <w:tab w:val="left" w:pos="1134"/>
        </w:tabs>
        <w:spacing w:line="360" w:lineRule="auto"/>
        <w:ind w:firstLine="420" w:firstLineChars="200"/>
        <w:rPr>
          <w:color w:val="auto"/>
          <w:sz w:val="21"/>
          <w:szCs w:val="21"/>
          <w:highlight w:val="none"/>
        </w:rPr>
      </w:pPr>
      <w:r>
        <w:rPr>
          <w:rFonts w:hint="eastAsia"/>
          <w:color w:val="auto"/>
          <w:sz w:val="21"/>
          <w:szCs w:val="24"/>
          <w:highlight w:val="none"/>
        </w:rPr>
        <w:t>4.1.7评标报告应当由评标委员会全体成员签字（电子签名）。对评标结果有不同意见的评标委员会</w:t>
      </w:r>
      <w:r>
        <w:rPr>
          <w:rFonts w:hint="eastAsia"/>
          <w:color w:val="auto"/>
          <w:sz w:val="21"/>
          <w:szCs w:val="21"/>
          <w:highlight w:val="none"/>
        </w:rPr>
        <w:t>成员应当说明其不同意见和理由，评标报告应当注明该不同意见。评标委员会成员拒绝在评标报告上签字（电子签名）又不说明其不同意见和理由的，视为同意评标结果。</w:t>
      </w:r>
    </w:p>
    <w:p>
      <w:pPr>
        <w:spacing w:line="360" w:lineRule="auto"/>
        <w:ind w:firstLine="420" w:firstLineChars="200"/>
        <w:rPr>
          <w:color w:val="auto"/>
          <w:sz w:val="21"/>
          <w:szCs w:val="21"/>
          <w:highlight w:val="none"/>
          <w:lang w:val="zh-CN" w:bidi="zh-CN"/>
        </w:rPr>
      </w:pPr>
      <w:r>
        <w:rPr>
          <w:rFonts w:hint="eastAsia"/>
          <w:color w:val="auto"/>
          <w:kern w:val="1"/>
          <w:sz w:val="21"/>
          <w:szCs w:val="21"/>
          <w:highlight w:val="none"/>
          <w:lang w:val="zh-CN"/>
        </w:rPr>
        <w:t>4.1</w:t>
      </w:r>
      <w:r>
        <w:rPr>
          <w:rFonts w:hint="eastAsia"/>
          <w:color w:val="auto"/>
          <w:sz w:val="21"/>
          <w:szCs w:val="21"/>
          <w:highlight w:val="none"/>
          <w:lang w:val="zh-CN" w:bidi="zh-CN"/>
        </w:rPr>
        <w:t>.8</w:t>
      </w:r>
      <w:r>
        <w:rPr>
          <w:color w:val="auto"/>
          <w:sz w:val="21"/>
          <w:szCs w:val="21"/>
          <w:highlight w:val="none"/>
          <w:lang w:val="zh-CN" w:bidi="zh-CN"/>
        </w:rPr>
        <w:t>评标结束后，由招标人向评标委员会成员支付劳务费。除此之外，评标委员会成员不得接受该项目招投标相关单位和个人的任何其他礼物、现金或者有价证券等财物。</w:t>
      </w:r>
    </w:p>
    <w:p>
      <w:pPr>
        <w:spacing w:before="120" w:beforeLines="50" w:after="120" w:afterLines="50" w:line="360" w:lineRule="auto"/>
        <w:ind w:firstLine="420" w:firstLineChars="200"/>
        <w:rPr>
          <w:color w:val="auto"/>
          <w:kern w:val="1"/>
          <w:sz w:val="21"/>
          <w:szCs w:val="21"/>
          <w:highlight w:val="none"/>
          <w:lang w:val="zh-CN"/>
        </w:rPr>
      </w:pPr>
      <w:r>
        <w:rPr>
          <w:rFonts w:hint="eastAsia"/>
          <w:color w:val="auto"/>
          <w:sz w:val="21"/>
          <w:szCs w:val="21"/>
          <w:highlight w:val="none"/>
          <w:lang w:val="zh-CN" w:bidi="zh-CN"/>
        </w:rPr>
        <w:t>4.2</w:t>
      </w:r>
      <w:r>
        <w:rPr>
          <w:rFonts w:hint="eastAsia"/>
          <w:color w:val="auto"/>
          <w:kern w:val="1"/>
          <w:sz w:val="21"/>
          <w:szCs w:val="21"/>
          <w:highlight w:val="none"/>
          <w:lang w:val="zh-CN"/>
        </w:rPr>
        <w:t>组建评标委员会</w:t>
      </w:r>
    </w:p>
    <w:p>
      <w:pPr>
        <w:spacing w:line="360" w:lineRule="auto"/>
        <w:ind w:firstLine="420" w:firstLineChars="200"/>
        <w:rPr>
          <w:color w:val="auto"/>
          <w:kern w:val="1"/>
          <w:sz w:val="21"/>
          <w:szCs w:val="21"/>
          <w:highlight w:val="none"/>
          <w:lang w:val="zh-CN"/>
        </w:rPr>
      </w:pPr>
      <w:r>
        <w:rPr>
          <w:rFonts w:hint="eastAsia"/>
          <w:color w:val="auto"/>
          <w:kern w:val="1"/>
          <w:sz w:val="21"/>
          <w:szCs w:val="21"/>
          <w:highlight w:val="none"/>
          <w:lang w:val="zh-CN"/>
        </w:rPr>
        <w:t>（1）评标委员会由有关技术、经济等方面的专家组成，成员人数见第二章“投标人须知”。技术、经济等方面专家全部从福建</w:t>
      </w:r>
      <w:r>
        <w:rPr>
          <w:color w:val="auto"/>
          <w:kern w:val="1"/>
          <w:sz w:val="21"/>
          <w:szCs w:val="21"/>
          <w:highlight w:val="none"/>
          <w:lang w:val="zh-CN"/>
        </w:rPr>
        <w:t>省综合性评标专家库中抽取</w:t>
      </w:r>
      <w:r>
        <w:rPr>
          <w:rFonts w:hint="eastAsia"/>
          <w:color w:val="auto"/>
          <w:kern w:val="1"/>
          <w:sz w:val="21"/>
          <w:szCs w:val="21"/>
          <w:highlight w:val="none"/>
          <w:lang w:val="zh-CN"/>
        </w:rPr>
        <w:t>。</w:t>
      </w:r>
    </w:p>
    <w:p>
      <w:pPr>
        <w:spacing w:line="360" w:lineRule="auto"/>
        <w:ind w:firstLine="420" w:firstLineChars="200"/>
        <w:rPr>
          <w:color w:val="auto"/>
          <w:kern w:val="1"/>
          <w:sz w:val="21"/>
          <w:szCs w:val="21"/>
          <w:highlight w:val="none"/>
          <w:lang w:val="zh-CN"/>
        </w:rPr>
      </w:pPr>
      <w:r>
        <w:rPr>
          <w:rFonts w:hint="eastAsia"/>
          <w:color w:val="auto"/>
          <w:kern w:val="1"/>
          <w:sz w:val="21"/>
          <w:szCs w:val="21"/>
          <w:highlight w:val="none"/>
          <w:lang w:val="zh-CN"/>
        </w:rPr>
        <w:t>（2）评标委员会成员有下列情形之一的，应当回避：</w:t>
      </w:r>
    </w:p>
    <w:p>
      <w:pPr>
        <w:widowControl/>
        <w:tabs>
          <w:tab w:val="left" w:pos="510"/>
          <w:tab w:val="left" w:pos="800"/>
          <w:tab w:val="left" w:pos="993"/>
          <w:tab w:val="left" w:pos="1008"/>
          <w:tab w:val="left" w:pos="1134"/>
        </w:tabs>
        <w:adjustRightInd w:val="0"/>
        <w:spacing w:line="360" w:lineRule="auto"/>
        <w:ind w:left="568"/>
        <w:textAlignment w:val="baseline"/>
        <w:rPr>
          <w:color w:val="auto"/>
          <w:kern w:val="1"/>
          <w:sz w:val="21"/>
          <w:szCs w:val="21"/>
          <w:highlight w:val="none"/>
          <w:lang w:val="zh-CN"/>
        </w:rPr>
      </w:pPr>
      <w:r>
        <w:rPr>
          <w:rFonts w:hint="eastAsia"/>
          <w:color w:val="auto"/>
          <w:kern w:val="1"/>
          <w:sz w:val="21"/>
          <w:szCs w:val="21"/>
          <w:highlight w:val="none"/>
          <w:lang w:val="zh-CN"/>
        </w:rPr>
        <w:t>①招标人或投标人的主要负责人的近亲属；</w:t>
      </w:r>
    </w:p>
    <w:p>
      <w:pPr>
        <w:widowControl/>
        <w:tabs>
          <w:tab w:val="left" w:pos="510"/>
          <w:tab w:val="left" w:pos="800"/>
          <w:tab w:val="left" w:pos="993"/>
          <w:tab w:val="left" w:pos="1008"/>
          <w:tab w:val="left" w:pos="1134"/>
        </w:tabs>
        <w:adjustRightInd w:val="0"/>
        <w:spacing w:line="360" w:lineRule="auto"/>
        <w:ind w:left="568"/>
        <w:textAlignment w:val="baseline"/>
        <w:rPr>
          <w:color w:val="auto"/>
          <w:kern w:val="1"/>
          <w:sz w:val="21"/>
          <w:szCs w:val="21"/>
          <w:highlight w:val="none"/>
          <w:lang w:val="zh-CN"/>
        </w:rPr>
      </w:pPr>
      <w:r>
        <w:rPr>
          <w:rFonts w:hint="eastAsia"/>
          <w:color w:val="auto"/>
          <w:kern w:val="1"/>
          <w:sz w:val="21"/>
          <w:szCs w:val="21"/>
          <w:highlight w:val="none"/>
          <w:lang w:val="zh-CN"/>
        </w:rPr>
        <w:t>②项目主管部门或者行政监督部门的人员；</w:t>
      </w:r>
    </w:p>
    <w:p>
      <w:pPr>
        <w:widowControl/>
        <w:tabs>
          <w:tab w:val="left" w:pos="510"/>
          <w:tab w:val="left" w:pos="800"/>
          <w:tab w:val="left" w:pos="993"/>
          <w:tab w:val="left" w:pos="1008"/>
          <w:tab w:val="left" w:pos="1134"/>
        </w:tabs>
        <w:adjustRightInd w:val="0"/>
        <w:spacing w:line="360" w:lineRule="auto"/>
        <w:ind w:left="568"/>
        <w:textAlignment w:val="baseline"/>
        <w:rPr>
          <w:color w:val="auto"/>
          <w:kern w:val="1"/>
          <w:sz w:val="21"/>
          <w:szCs w:val="21"/>
          <w:highlight w:val="none"/>
          <w:lang w:val="zh-CN"/>
        </w:rPr>
      </w:pPr>
      <w:r>
        <w:rPr>
          <w:rFonts w:hint="eastAsia"/>
          <w:color w:val="auto"/>
          <w:kern w:val="1"/>
          <w:sz w:val="21"/>
          <w:szCs w:val="21"/>
          <w:highlight w:val="none"/>
          <w:lang w:val="zh-CN"/>
        </w:rPr>
        <w:t>③与投标人有利害关系的；</w:t>
      </w:r>
    </w:p>
    <w:p>
      <w:pPr>
        <w:widowControl/>
        <w:tabs>
          <w:tab w:val="left" w:pos="510"/>
          <w:tab w:val="left" w:pos="800"/>
          <w:tab w:val="left" w:pos="993"/>
          <w:tab w:val="left" w:pos="1008"/>
          <w:tab w:val="left" w:pos="1134"/>
        </w:tabs>
        <w:adjustRightInd w:val="0"/>
        <w:spacing w:line="360" w:lineRule="auto"/>
        <w:ind w:left="568"/>
        <w:textAlignment w:val="baseline"/>
        <w:rPr>
          <w:color w:val="auto"/>
          <w:kern w:val="1"/>
          <w:sz w:val="21"/>
          <w:szCs w:val="21"/>
          <w:highlight w:val="none"/>
          <w:lang w:val="zh-CN"/>
        </w:rPr>
      </w:pPr>
      <w:r>
        <w:rPr>
          <w:rFonts w:hint="eastAsia"/>
          <w:color w:val="auto"/>
          <w:kern w:val="1"/>
          <w:sz w:val="21"/>
          <w:szCs w:val="21"/>
          <w:highlight w:val="none"/>
          <w:lang w:val="zh-CN"/>
        </w:rPr>
        <w:t>④与投标人有经济利益关系，可能影响对投标公正评审的；</w:t>
      </w:r>
    </w:p>
    <w:p>
      <w:pPr>
        <w:widowControl/>
        <w:tabs>
          <w:tab w:val="left" w:pos="510"/>
          <w:tab w:val="left" w:pos="800"/>
          <w:tab w:val="left" w:pos="993"/>
          <w:tab w:val="left" w:pos="1008"/>
          <w:tab w:val="left" w:pos="1134"/>
        </w:tabs>
        <w:adjustRightInd w:val="0"/>
        <w:spacing w:line="360" w:lineRule="auto"/>
        <w:ind w:left="568"/>
        <w:textAlignment w:val="baseline"/>
        <w:rPr>
          <w:color w:val="auto"/>
          <w:kern w:val="1"/>
          <w:sz w:val="21"/>
          <w:szCs w:val="21"/>
          <w:highlight w:val="none"/>
          <w:lang w:val="zh-CN"/>
        </w:rPr>
      </w:pPr>
      <w:r>
        <w:rPr>
          <w:rFonts w:hint="eastAsia"/>
          <w:color w:val="auto"/>
          <w:kern w:val="1"/>
          <w:sz w:val="21"/>
          <w:szCs w:val="21"/>
          <w:highlight w:val="none"/>
          <w:lang w:val="zh-CN"/>
        </w:rPr>
        <w:t>⑤曾因在招标、评标以及其他与招标投标有关活动中从事违法行为而受过行政处罚或刑事处罚的。</w:t>
      </w:r>
    </w:p>
    <w:p>
      <w:pPr>
        <w:widowControl/>
        <w:tabs>
          <w:tab w:val="left" w:pos="510"/>
          <w:tab w:val="left" w:pos="800"/>
          <w:tab w:val="left" w:pos="993"/>
          <w:tab w:val="left" w:pos="1008"/>
          <w:tab w:val="left" w:pos="1134"/>
        </w:tabs>
        <w:adjustRightInd w:val="0"/>
        <w:spacing w:line="360" w:lineRule="auto"/>
        <w:ind w:firstLine="420" w:firstLineChars="200"/>
        <w:textAlignment w:val="baseline"/>
        <w:rPr>
          <w:color w:val="auto"/>
          <w:kern w:val="1"/>
          <w:sz w:val="21"/>
          <w:szCs w:val="21"/>
          <w:highlight w:val="none"/>
          <w:lang w:val="zh-CN"/>
        </w:rPr>
      </w:pPr>
      <w:r>
        <w:rPr>
          <w:rFonts w:hint="eastAsia"/>
          <w:color w:val="auto"/>
          <w:kern w:val="1"/>
          <w:sz w:val="21"/>
          <w:szCs w:val="21"/>
          <w:highlight w:val="none"/>
          <w:lang w:val="zh-CN"/>
        </w:rPr>
        <w:t>（3）评标委员会采用推举或者随机抽取方式确定一名专家评委担任评标委员会负责人。评标委员会负责人负责组织开展评标活动，对在评标过程中产生的问题提请评标委员会讨论、表决，组织编写评标报告。评标委员会负责人与评标委员会的其他成员享有同等表决权。</w:t>
      </w:r>
    </w:p>
    <w:p>
      <w:pPr>
        <w:spacing w:before="120" w:beforeLines="50" w:after="120" w:afterLines="50" w:line="360" w:lineRule="auto"/>
        <w:ind w:firstLine="420" w:firstLineChars="200"/>
        <w:rPr>
          <w:color w:val="auto"/>
          <w:kern w:val="1"/>
          <w:sz w:val="21"/>
          <w:szCs w:val="21"/>
          <w:highlight w:val="none"/>
          <w:lang w:val="zh-CN"/>
        </w:rPr>
      </w:pPr>
      <w:r>
        <w:rPr>
          <w:rFonts w:hint="eastAsia"/>
          <w:color w:val="auto"/>
          <w:kern w:val="1"/>
          <w:sz w:val="21"/>
          <w:szCs w:val="21"/>
          <w:highlight w:val="none"/>
          <w:lang w:val="zh-CN"/>
        </w:rPr>
        <w:t>4.3评审前的准备</w:t>
      </w:r>
    </w:p>
    <w:p>
      <w:pPr>
        <w:spacing w:line="360" w:lineRule="auto"/>
        <w:ind w:firstLine="420" w:firstLineChars="200"/>
        <w:rPr>
          <w:rFonts w:cs="宋体"/>
          <w:color w:val="auto"/>
          <w:sz w:val="21"/>
          <w:szCs w:val="24"/>
          <w:highlight w:val="none"/>
        </w:rPr>
      </w:pPr>
      <w:r>
        <w:rPr>
          <w:rFonts w:hint="eastAsia" w:cs="宋体"/>
          <w:color w:val="auto"/>
          <w:sz w:val="21"/>
          <w:szCs w:val="24"/>
          <w:highlight w:val="none"/>
        </w:rPr>
        <w:t>招标人或者其委托的招标代理机构应当向评标委员会提供评标所需的信息和数据。评标委员会成员在评标前应当认真研究招标文件，至少应了解和熟悉本工程招标的目标、范围、性质、主要技术要求、标准以及评审程序、标准、工作规则和在评标过程中考虑的相关因素。</w:t>
      </w:r>
    </w:p>
    <w:p>
      <w:pPr>
        <w:spacing w:line="360" w:lineRule="auto"/>
        <w:ind w:firstLine="420" w:firstLineChars="200"/>
        <w:rPr>
          <w:rFonts w:cs="宋体"/>
          <w:color w:val="auto"/>
          <w:sz w:val="21"/>
          <w:szCs w:val="21"/>
          <w:highlight w:val="none"/>
        </w:rPr>
      </w:pPr>
      <w:r>
        <w:rPr>
          <w:rFonts w:cs="宋体"/>
          <w:color w:val="auto"/>
          <w:sz w:val="21"/>
          <w:szCs w:val="21"/>
          <w:highlight w:val="none"/>
          <w:lang w:val="zh-CN" w:bidi="zh-CN"/>
        </w:rPr>
        <w:t>评标委员会应当对电子招标投标交易平台提供的各项数据、分析结果进行审查、确认，核对交易平台</w:t>
      </w:r>
      <w:r>
        <w:rPr>
          <w:rFonts w:hint="eastAsia" w:cs="宋体"/>
          <w:color w:val="auto"/>
          <w:sz w:val="21"/>
          <w:szCs w:val="21"/>
          <w:highlight w:val="none"/>
          <w:lang w:val="zh-CN" w:bidi="zh-CN"/>
        </w:rPr>
        <w:t>按照招标文件设置</w:t>
      </w:r>
      <w:r>
        <w:rPr>
          <w:rFonts w:cs="宋体"/>
          <w:color w:val="auto"/>
          <w:sz w:val="21"/>
          <w:szCs w:val="21"/>
          <w:highlight w:val="none"/>
          <w:lang w:val="zh-CN" w:bidi="zh-CN"/>
        </w:rPr>
        <w:t>的评标参数是否与招标文件（含招标文件的澄清、修改）规定的评标办法和标准一致。如有不一致，应要求招标人修正评标参数，经评标委员会核实无误后方可评标。</w:t>
      </w:r>
    </w:p>
    <w:p>
      <w:pPr>
        <w:spacing w:before="120" w:beforeLines="50" w:after="120" w:afterLines="50" w:line="360" w:lineRule="auto"/>
        <w:ind w:firstLine="420" w:firstLineChars="200"/>
        <w:rPr>
          <w:rFonts w:cs="宋体"/>
          <w:color w:val="auto"/>
          <w:sz w:val="21"/>
          <w:szCs w:val="21"/>
          <w:highlight w:val="none"/>
        </w:rPr>
      </w:pPr>
      <w:r>
        <w:rPr>
          <w:rFonts w:hint="eastAsia"/>
          <w:color w:val="auto"/>
          <w:sz w:val="21"/>
          <w:szCs w:val="21"/>
          <w:highlight w:val="none"/>
          <w:lang w:val="zh-CN" w:bidi="zh-CN"/>
        </w:rPr>
        <w:t>4.4</w:t>
      </w:r>
      <w:r>
        <w:rPr>
          <w:rFonts w:hint="eastAsia" w:cs="宋体"/>
          <w:color w:val="auto"/>
          <w:sz w:val="21"/>
          <w:szCs w:val="21"/>
          <w:highlight w:val="none"/>
        </w:rPr>
        <w:t>初步评审</w:t>
      </w:r>
    </w:p>
    <w:p>
      <w:pPr>
        <w:spacing w:line="360" w:lineRule="auto"/>
        <w:ind w:firstLine="420" w:firstLineChars="200"/>
        <w:rPr>
          <w:rFonts w:ascii="Calibri" w:hAnsi="Calibri"/>
          <w:color w:val="auto"/>
          <w:sz w:val="21"/>
          <w:szCs w:val="21"/>
          <w:highlight w:val="none"/>
        </w:rPr>
      </w:pPr>
      <w:r>
        <w:rPr>
          <w:rFonts w:hint="eastAsia" w:cs="宋体"/>
          <w:color w:val="auto"/>
          <w:sz w:val="21"/>
          <w:szCs w:val="21"/>
          <w:highlight w:val="none"/>
        </w:rPr>
        <w:t>评标委员会</w:t>
      </w:r>
      <w:r>
        <w:rPr>
          <w:rFonts w:hint="eastAsia" w:ascii="Calibri" w:hAnsi="Calibri"/>
          <w:color w:val="auto"/>
          <w:sz w:val="21"/>
          <w:szCs w:val="21"/>
          <w:highlight w:val="none"/>
        </w:rPr>
        <w:t>依据</w:t>
      </w:r>
      <w:r>
        <w:rPr>
          <w:rFonts w:hint="eastAsia"/>
          <w:color w:val="auto"/>
          <w:kern w:val="1"/>
          <w:sz w:val="21"/>
          <w:szCs w:val="21"/>
          <w:highlight w:val="none"/>
          <w:lang w:val="zh-CN"/>
        </w:rPr>
        <w:t>评标办法前附表第3项</w:t>
      </w:r>
      <w:r>
        <w:rPr>
          <w:rFonts w:hint="eastAsia" w:ascii="Calibri" w:hAnsi="Calibri"/>
          <w:color w:val="auto"/>
          <w:sz w:val="21"/>
          <w:szCs w:val="21"/>
          <w:highlight w:val="none"/>
        </w:rPr>
        <w:t>规定的标准对入围投标人（</w:t>
      </w:r>
      <w:r>
        <w:rPr>
          <w:rFonts w:hint="eastAsia" w:ascii="Calibri" w:hAnsi="Calibri"/>
          <w:color w:val="auto"/>
          <w:sz w:val="21"/>
          <w:szCs w:val="24"/>
          <w:highlight w:val="none"/>
        </w:rPr>
        <w:t>先确定入围投标人再进行资格审查的，指资格审查合格的入围投标人</w:t>
      </w:r>
      <w:r>
        <w:rPr>
          <w:rFonts w:hint="eastAsia" w:ascii="Calibri" w:hAnsi="Calibri"/>
          <w:color w:val="auto"/>
          <w:sz w:val="21"/>
          <w:szCs w:val="21"/>
          <w:highlight w:val="none"/>
        </w:rPr>
        <w:t>）的投标文件进行初步评审，有一项</w:t>
      </w:r>
      <w:r>
        <w:rPr>
          <w:rFonts w:hint="eastAsia"/>
          <w:color w:val="auto"/>
          <w:kern w:val="1"/>
          <w:sz w:val="21"/>
          <w:szCs w:val="21"/>
          <w:highlight w:val="none"/>
          <w:lang w:val="zh-CN"/>
        </w:rPr>
        <w:t>不符合评审标准的，评标委员会应当否决其投标。</w:t>
      </w:r>
    </w:p>
    <w:p>
      <w:pPr>
        <w:spacing w:before="120" w:beforeLines="50" w:after="120" w:afterLines="50" w:line="360" w:lineRule="auto"/>
        <w:ind w:firstLine="420" w:firstLineChars="200"/>
        <w:rPr>
          <w:color w:val="auto"/>
          <w:kern w:val="1"/>
          <w:sz w:val="21"/>
          <w:szCs w:val="21"/>
          <w:highlight w:val="none"/>
          <w:lang w:val="zh-CN"/>
        </w:rPr>
      </w:pPr>
      <w:r>
        <w:rPr>
          <w:rFonts w:hint="eastAsia"/>
          <w:color w:val="auto"/>
          <w:sz w:val="21"/>
          <w:szCs w:val="21"/>
          <w:highlight w:val="none"/>
          <w:lang w:val="zh-CN" w:bidi="zh-CN"/>
        </w:rPr>
        <w:t>4.5</w:t>
      </w:r>
      <w:r>
        <w:rPr>
          <w:rFonts w:hint="eastAsia"/>
          <w:color w:val="auto"/>
          <w:kern w:val="1"/>
          <w:sz w:val="21"/>
          <w:szCs w:val="21"/>
          <w:highlight w:val="none"/>
          <w:lang w:val="zh-CN"/>
        </w:rPr>
        <w:t>投标文件的澄清、说明和补正</w:t>
      </w:r>
    </w:p>
    <w:p>
      <w:pPr>
        <w:spacing w:line="360" w:lineRule="auto"/>
        <w:ind w:firstLine="420"/>
        <w:rPr>
          <w:rFonts w:cs="宋体"/>
          <w:color w:val="auto"/>
          <w:kern w:val="1"/>
          <w:sz w:val="21"/>
          <w:szCs w:val="24"/>
          <w:highlight w:val="none"/>
        </w:rPr>
      </w:pPr>
      <w:r>
        <w:rPr>
          <w:rFonts w:hint="eastAsia" w:cs="宋体"/>
          <w:color w:val="auto"/>
          <w:kern w:val="1"/>
          <w:sz w:val="21"/>
          <w:szCs w:val="24"/>
          <w:highlight w:val="none"/>
        </w:rPr>
        <w:t>（1）在评标过程中，评标委员会可以通过电子交易平台要求投标人对所提交的投标文件中不明确的内容进行书面澄清或说明，或者对细微偏差进行补正。</w:t>
      </w:r>
      <w:r>
        <w:rPr>
          <w:rFonts w:cs="宋体"/>
          <w:color w:val="auto"/>
          <w:sz w:val="21"/>
          <w:szCs w:val="21"/>
          <w:highlight w:val="none"/>
          <w:lang w:val="zh-CN" w:bidi="zh-CN"/>
        </w:rPr>
        <w:t>投标人</w:t>
      </w:r>
      <w:r>
        <w:rPr>
          <w:rFonts w:hint="eastAsia" w:cs="宋体"/>
          <w:color w:val="auto"/>
          <w:kern w:val="1"/>
          <w:sz w:val="21"/>
          <w:szCs w:val="24"/>
          <w:highlight w:val="none"/>
        </w:rPr>
        <w:t>通过电子交易平台</w:t>
      </w:r>
      <w:r>
        <w:rPr>
          <w:rFonts w:cs="宋体"/>
          <w:color w:val="auto"/>
          <w:sz w:val="21"/>
          <w:szCs w:val="21"/>
          <w:highlight w:val="none"/>
          <w:lang w:val="zh-CN" w:bidi="zh-CN"/>
        </w:rPr>
        <w:t>回复澄清、说明、补正</w:t>
      </w:r>
      <w:r>
        <w:rPr>
          <w:rFonts w:hint="eastAsia" w:cs="宋体"/>
          <w:color w:val="auto"/>
          <w:sz w:val="21"/>
          <w:szCs w:val="21"/>
          <w:highlight w:val="none"/>
          <w:lang w:val="zh-CN" w:bidi="zh-CN"/>
        </w:rPr>
        <w:t>，</w:t>
      </w:r>
      <w:r>
        <w:rPr>
          <w:rFonts w:cs="宋体"/>
          <w:color w:val="auto"/>
          <w:sz w:val="21"/>
          <w:szCs w:val="21"/>
          <w:highlight w:val="none"/>
          <w:lang w:val="zh-CN" w:bidi="zh-CN"/>
        </w:rPr>
        <w:t>时限要求详见评标办法前附表第</w:t>
      </w:r>
      <w:r>
        <w:rPr>
          <w:rFonts w:hint="eastAsia" w:cs="宋体"/>
          <w:color w:val="auto"/>
          <w:sz w:val="21"/>
          <w:szCs w:val="21"/>
          <w:highlight w:val="none"/>
          <w:lang w:val="zh-CN" w:bidi="zh-CN"/>
        </w:rPr>
        <w:t>4项，</w:t>
      </w:r>
      <w:r>
        <w:rPr>
          <w:rFonts w:hint="eastAsia" w:cs="宋体"/>
          <w:color w:val="auto"/>
          <w:kern w:val="1"/>
          <w:sz w:val="21"/>
          <w:szCs w:val="24"/>
          <w:highlight w:val="none"/>
        </w:rPr>
        <w:t>评标委员会不接受投标人主动提出的澄清、说明或补正。</w:t>
      </w:r>
    </w:p>
    <w:p>
      <w:pPr>
        <w:spacing w:line="360" w:lineRule="auto"/>
        <w:ind w:firstLine="424" w:firstLineChars="202"/>
        <w:rPr>
          <w:rFonts w:cs="宋体"/>
          <w:color w:val="auto"/>
          <w:kern w:val="1"/>
          <w:sz w:val="21"/>
          <w:szCs w:val="24"/>
          <w:highlight w:val="none"/>
        </w:rPr>
      </w:pPr>
      <w:r>
        <w:rPr>
          <w:rFonts w:hint="eastAsia" w:cs="宋体"/>
          <w:color w:val="auto"/>
          <w:kern w:val="1"/>
          <w:sz w:val="21"/>
          <w:szCs w:val="24"/>
          <w:highlight w:val="none"/>
        </w:rPr>
        <w:t>细微偏差是指投标文件在实质上响应招标文件要求，但在个别地方存在漏项或者提供了不完整的技术信息和数据等情况，并且补正这些遗漏或者不完整不会对其他投标人造成不公平的结果。细微偏差不影响投标文件的有效性。评标委员会应当要求存在细微偏差的投标人在评标结束前予以补正。</w:t>
      </w:r>
    </w:p>
    <w:p>
      <w:pPr>
        <w:spacing w:line="360" w:lineRule="auto"/>
        <w:ind w:firstLine="420"/>
        <w:rPr>
          <w:rFonts w:cs="宋体"/>
          <w:color w:val="auto"/>
          <w:kern w:val="1"/>
          <w:sz w:val="21"/>
          <w:szCs w:val="24"/>
          <w:highlight w:val="none"/>
        </w:rPr>
      </w:pPr>
      <w:r>
        <w:rPr>
          <w:rFonts w:hint="eastAsia" w:cs="宋体"/>
          <w:color w:val="auto"/>
          <w:kern w:val="1"/>
          <w:sz w:val="21"/>
          <w:szCs w:val="24"/>
          <w:highlight w:val="none"/>
        </w:rPr>
        <w:t>（2）澄清、说明和补正不得改变投标文件的实质性内容。投标人的书面澄清、说明和补正属于投标文件的组成部分。</w:t>
      </w:r>
    </w:p>
    <w:p>
      <w:pPr>
        <w:tabs>
          <w:tab w:val="left" w:pos="510"/>
          <w:tab w:val="left" w:pos="1050"/>
        </w:tabs>
        <w:spacing w:line="360" w:lineRule="auto"/>
        <w:ind w:firstLine="420" w:firstLineChars="200"/>
        <w:rPr>
          <w:rFonts w:cs="宋体"/>
          <w:color w:val="auto"/>
          <w:kern w:val="1"/>
          <w:sz w:val="21"/>
          <w:szCs w:val="24"/>
          <w:highlight w:val="none"/>
        </w:rPr>
      </w:pPr>
      <w:r>
        <w:rPr>
          <w:rFonts w:hint="eastAsia" w:cs="宋体"/>
          <w:color w:val="auto"/>
          <w:kern w:val="1"/>
          <w:sz w:val="21"/>
          <w:szCs w:val="24"/>
          <w:highlight w:val="none"/>
        </w:rPr>
        <w:t>（3）评标委员会对投标人提交的澄清、说明或补正有疑问的，可以要求投标人进一步澄清、说明或补正，直至满足评标委员会的要求。不按评标委员会要求澄清、说明或补正的，</w:t>
      </w:r>
      <w:r>
        <w:rPr>
          <w:rFonts w:hint="eastAsia" w:cs="宋体"/>
          <w:color w:val="auto"/>
          <w:sz w:val="21"/>
          <w:szCs w:val="24"/>
          <w:highlight w:val="none"/>
        </w:rPr>
        <w:t>评标委员</w:t>
      </w:r>
      <w:r>
        <w:rPr>
          <w:rFonts w:hint="eastAsia" w:ascii="Calibri" w:hAnsi="Calibri"/>
          <w:color w:val="auto"/>
          <w:sz w:val="21"/>
          <w:szCs w:val="24"/>
          <w:highlight w:val="none"/>
        </w:rPr>
        <w:t>会应当否决其投标</w:t>
      </w:r>
      <w:r>
        <w:rPr>
          <w:rFonts w:hint="eastAsia" w:cs="宋体"/>
          <w:color w:val="auto"/>
          <w:kern w:val="1"/>
          <w:sz w:val="21"/>
          <w:szCs w:val="24"/>
          <w:highlight w:val="none"/>
        </w:rPr>
        <w:t>。</w:t>
      </w:r>
    </w:p>
    <w:p>
      <w:pPr>
        <w:tabs>
          <w:tab w:val="left" w:pos="510"/>
          <w:tab w:val="left" w:pos="1050"/>
        </w:tabs>
        <w:spacing w:before="120" w:beforeLines="50" w:after="120" w:afterLines="50" w:line="360" w:lineRule="auto"/>
        <w:ind w:firstLine="420" w:firstLineChars="200"/>
        <w:rPr>
          <w:rFonts w:cs="宋体"/>
          <w:color w:val="auto"/>
          <w:kern w:val="1"/>
          <w:sz w:val="21"/>
          <w:szCs w:val="21"/>
          <w:highlight w:val="none"/>
        </w:rPr>
      </w:pPr>
      <w:r>
        <w:rPr>
          <w:rFonts w:hint="eastAsia"/>
          <w:color w:val="auto"/>
          <w:sz w:val="21"/>
          <w:szCs w:val="21"/>
          <w:highlight w:val="none"/>
          <w:lang w:val="zh-CN" w:bidi="zh-CN"/>
        </w:rPr>
        <w:t>4.6</w:t>
      </w:r>
      <w:r>
        <w:rPr>
          <w:rFonts w:hint="eastAsia" w:cs="宋体"/>
          <w:color w:val="auto"/>
          <w:kern w:val="1"/>
          <w:sz w:val="21"/>
          <w:szCs w:val="21"/>
          <w:highlight w:val="none"/>
        </w:rPr>
        <w:t>投标文件的修正</w:t>
      </w:r>
    </w:p>
    <w:p>
      <w:pPr>
        <w:spacing w:line="360" w:lineRule="auto"/>
        <w:ind w:firstLine="420" w:firstLineChars="200"/>
        <w:rPr>
          <w:rFonts w:ascii="Calibri" w:hAnsi="Calibri"/>
          <w:color w:val="auto"/>
          <w:sz w:val="21"/>
          <w:szCs w:val="21"/>
          <w:highlight w:val="none"/>
        </w:rPr>
      </w:pPr>
      <w:r>
        <w:rPr>
          <w:rFonts w:hint="eastAsia" w:cs="宋体"/>
          <w:color w:val="auto"/>
          <w:sz w:val="21"/>
          <w:szCs w:val="21"/>
          <w:highlight w:val="none"/>
        </w:rPr>
        <w:t>投标报价有算术错误的，评标委员会按以下</w:t>
      </w:r>
      <w:r>
        <w:rPr>
          <w:rFonts w:hint="eastAsia" w:ascii="Calibri" w:hAnsi="Calibri"/>
          <w:color w:val="auto"/>
          <w:sz w:val="21"/>
          <w:szCs w:val="21"/>
          <w:highlight w:val="none"/>
        </w:rPr>
        <w:t>原则对投标报价进行修正，修正的价格经投标人</w:t>
      </w:r>
      <w:r>
        <w:rPr>
          <w:rFonts w:hint="eastAsia" w:cs="宋体"/>
          <w:color w:val="auto"/>
          <w:kern w:val="1"/>
          <w:sz w:val="21"/>
          <w:szCs w:val="24"/>
          <w:highlight w:val="none"/>
        </w:rPr>
        <w:t>通过电子交易平台</w:t>
      </w:r>
      <w:r>
        <w:rPr>
          <w:rFonts w:hint="eastAsia" w:cs="宋体"/>
          <w:color w:val="auto"/>
          <w:sz w:val="21"/>
          <w:szCs w:val="21"/>
          <w:highlight w:val="none"/>
          <w:lang w:val="zh-CN" w:bidi="zh-CN"/>
        </w:rPr>
        <w:t>确认</w:t>
      </w:r>
      <w:r>
        <w:rPr>
          <w:rFonts w:hint="eastAsia" w:ascii="Calibri" w:hAnsi="Calibri"/>
          <w:color w:val="auto"/>
          <w:sz w:val="21"/>
          <w:szCs w:val="21"/>
          <w:highlight w:val="none"/>
        </w:rPr>
        <w:t>后具有约束力，</w:t>
      </w:r>
      <w:r>
        <w:rPr>
          <w:rFonts w:cs="宋体"/>
          <w:color w:val="auto"/>
          <w:sz w:val="21"/>
          <w:szCs w:val="21"/>
          <w:highlight w:val="none"/>
          <w:lang w:val="zh-CN" w:bidi="zh-CN"/>
        </w:rPr>
        <w:t>投标人</w:t>
      </w:r>
      <w:r>
        <w:rPr>
          <w:rFonts w:hint="eastAsia" w:cs="宋体"/>
          <w:color w:val="auto"/>
          <w:kern w:val="1"/>
          <w:sz w:val="21"/>
          <w:szCs w:val="24"/>
          <w:highlight w:val="none"/>
        </w:rPr>
        <w:t>通过电子交易平台</w:t>
      </w:r>
      <w:r>
        <w:rPr>
          <w:rFonts w:hint="eastAsia" w:cs="宋体"/>
          <w:color w:val="auto"/>
          <w:sz w:val="21"/>
          <w:szCs w:val="21"/>
          <w:highlight w:val="none"/>
          <w:lang w:val="zh-CN" w:bidi="zh-CN"/>
        </w:rPr>
        <w:t>确认</w:t>
      </w:r>
      <w:r>
        <w:rPr>
          <w:rFonts w:cs="宋体"/>
          <w:color w:val="auto"/>
          <w:sz w:val="21"/>
          <w:szCs w:val="21"/>
          <w:highlight w:val="none"/>
          <w:lang w:val="zh-CN" w:bidi="zh-CN"/>
        </w:rPr>
        <w:t>的时限要求详见评标办法前附表第</w:t>
      </w:r>
      <w:r>
        <w:rPr>
          <w:rFonts w:hint="eastAsia" w:cs="宋体"/>
          <w:color w:val="auto"/>
          <w:sz w:val="21"/>
          <w:szCs w:val="21"/>
          <w:highlight w:val="none"/>
          <w:lang w:val="zh-CN" w:bidi="zh-CN"/>
        </w:rPr>
        <w:t>4项</w:t>
      </w:r>
      <w:r>
        <w:rPr>
          <w:rFonts w:hint="eastAsia" w:ascii="Calibri" w:hAnsi="Calibri"/>
          <w:color w:val="auto"/>
          <w:sz w:val="21"/>
          <w:szCs w:val="21"/>
          <w:highlight w:val="none"/>
        </w:rPr>
        <w:t>。投标人不接受修正的，评标委员会应当否决其投标。</w:t>
      </w:r>
    </w:p>
    <w:p>
      <w:pPr>
        <w:spacing w:line="360" w:lineRule="auto"/>
        <w:ind w:firstLine="424" w:firstLineChars="202"/>
        <w:rPr>
          <w:rFonts w:cs="宋体"/>
          <w:color w:val="auto"/>
          <w:kern w:val="1"/>
          <w:sz w:val="21"/>
          <w:szCs w:val="21"/>
          <w:highlight w:val="none"/>
        </w:rPr>
      </w:pPr>
      <w:r>
        <w:rPr>
          <w:rFonts w:hint="eastAsia" w:cs="宋体"/>
          <w:color w:val="auto"/>
          <w:kern w:val="1"/>
          <w:sz w:val="21"/>
          <w:szCs w:val="21"/>
          <w:highlight w:val="none"/>
        </w:rPr>
        <w:t>（1）投标文件中的大写金额与小写金额不一致的，以大写金额为准；</w:t>
      </w:r>
    </w:p>
    <w:p>
      <w:pPr>
        <w:tabs>
          <w:tab w:val="left" w:pos="510"/>
          <w:tab w:val="left" w:pos="1050"/>
        </w:tabs>
        <w:spacing w:line="360" w:lineRule="auto"/>
        <w:ind w:firstLine="420" w:firstLineChars="200"/>
        <w:rPr>
          <w:rFonts w:cs="宋体"/>
          <w:color w:val="auto"/>
          <w:kern w:val="1"/>
          <w:sz w:val="21"/>
          <w:szCs w:val="21"/>
          <w:highlight w:val="none"/>
        </w:rPr>
      </w:pPr>
      <w:r>
        <w:rPr>
          <w:rFonts w:hint="eastAsia" w:cs="宋体"/>
          <w:color w:val="auto"/>
          <w:kern w:val="1"/>
          <w:sz w:val="21"/>
          <w:szCs w:val="21"/>
          <w:highlight w:val="none"/>
        </w:rPr>
        <w:t>（2）投标报价表中小计金额与依据单价金额计算出的结果不一致的，以单价金额为准修正小计金额，但单价金额小数点有明显错误的除外。</w:t>
      </w:r>
    </w:p>
    <w:p>
      <w:pPr>
        <w:tabs>
          <w:tab w:val="left" w:pos="510"/>
          <w:tab w:val="left" w:pos="1050"/>
        </w:tabs>
        <w:spacing w:before="120" w:beforeLines="50" w:after="120" w:afterLines="50" w:line="360" w:lineRule="auto"/>
        <w:ind w:firstLine="420" w:firstLineChars="200"/>
        <w:rPr>
          <w:color w:val="auto"/>
          <w:kern w:val="1"/>
          <w:sz w:val="21"/>
          <w:szCs w:val="21"/>
          <w:highlight w:val="none"/>
          <w:lang w:val="zh-CN"/>
        </w:rPr>
      </w:pPr>
      <w:r>
        <w:rPr>
          <w:rFonts w:hint="eastAsia"/>
          <w:color w:val="auto"/>
          <w:sz w:val="21"/>
          <w:szCs w:val="21"/>
          <w:highlight w:val="none"/>
          <w:lang w:val="zh-CN" w:bidi="zh-CN"/>
        </w:rPr>
        <w:t>4.7</w:t>
      </w:r>
      <w:r>
        <w:rPr>
          <w:rFonts w:hint="eastAsia" w:cs="宋体"/>
          <w:color w:val="auto"/>
          <w:kern w:val="1"/>
          <w:sz w:val="21"/>
          <w:szCs w:val="21"/>
          <w:highlight w:val="none"/>
        </w:rPr>
        <w:t>详细评审</w:t>
      </w:r>
    </w:p>
    <w:p>
      <w:pPr>
        <w:spacing w:line="360" w:lineRule="auto"/>
        <w:ind w:firstLine="420" w:firstLineChars="200"/>
        <w:rPr>
          <w:rFonts w:cs="宋体"/>
          <w:color w:val="auto"/>
          <w:sz w:val="21"/>
          <w:szCs w:val="21"/>
          <w:highlight w:val="none"/>
        </w:rPr>
      </w:pPr>
      <w:r>
        <w:rPr>
          <w:rFonts w:hint="eastAsia" w:cs="宋体"/>
          <w:color w:val="auto"/>
          <w:sz w:val="21"/>
          <w:szCs w:val="21"/>
          <w:highlight w:val="none"/>
        </w:rPr>
        <w:t>4.7.1评标委员会根据</w:t>
      </w:r>
      <w:r>
        <w:rPr>
          <w:rFonts w:hint="eastAsia" w:cs="宋体"/>
          <w:color w:val="auto"/>
          <w:kern w:val="1"/>
          <w:sz w:val="21"/>
          <w:szCs w:val="21"/>
          <w:highlight w:val="none"/>
        </w:rPr>
        <w:t>评标办法前附表第5项</w:t>
      </w:r>
      <w:r>
        <w:rPr>
          <w:rFonts w:hint="eastAsia" w:cs="宋体"/>
          <w:color w:val="auto"/>
          <w:sz w:val="21"/>
          <w:szCs w:val="21"/>
          <w:highlight w:val="none"/>
        </w:rPr>
        <w:t>规定的标准对通过初步评审的投标文件进行商务文件详细评审，分析投标报价中不平衡程度，为后续招标人定标、签订合同提供意见。</w:t>
      </w:r>
    </w:p>
    <w:p>
      <w:pPr>
        <w:spacing w:line="360" w:lineRule="auto"/>
        <w:ind w:firstLine="420" w:firstLineChars="200"/>
        <w:rPr>
          <w:rFonts w:cs="宋体"/>
          <w:color w:val="auto"/>
          <w:kern w:val="2"/>
          <w:sz w:val="21"/>
          <w:szCs w:val="21"/>
          <w:highlight w:val="none"/>
        </w:rPr>
      </w:pPr>
      <w:r>
        <w:rPr>
          <w:rFonts w:hint="eastAsia" w:cs="宋体"/>
          <w:color w:val="auto"/>
          <w:kern w:val="1"/>
          <w:sz w:val="21"/>
          <w:szCs w:val="21"/>
          <w:highlight w:val="none"/>
        </w:rPr>
        <w:t>4.7.2</w:t>
      </w:r>
      <w:r>
        <w:rPr>
          <w:rFonts w:hint="eastAsia" w:cs="宋体"/>
          <w:color w:val="auto"/>
          <w:sz w:val="21"/>
          <w:szCs w:val="21"/>
          <w:highlight w:val="none"/>
        </w:rPr>
        <w:t>评标委员会根据</w:t>
      </w:r>
      <w:r>
        <w:rPr>
          <w:rFonts w:hint="eastAsia" w:cs="宋体"/>
          <w:color w:val="auto"/>
          <w:kern w:val="1"/>
          <w:sz w:val="21"/>
          <w:szCs w:val="21"/>
          <w:highlight w:val="none"/>
        </w:rPr>
        <w:t>评标办法前附表第6项</w:t>
      </w:r>
      <w:r>
        <w:rPr>
          <w:rFonts w:hint="eastAsia" w:cs="宋体"/>
          <w:color w:val="auto"/>
          <w:sz w:val="21"/>
          <w:szCs w:val="21"/>
          <w:highlight w:val="none"/>
        </w:rPr>
        <w:t>规定的标准对通过初步评审的投标文件进行技术文件详细评审，分析专项技术方案的优缺点，为后续招标人定标、签订合同提供意见。</w:t>
      </w:r>
    </w:p>
    <w:p>
      <w:pPr>
        <w:spacing w:line="360" w:lineRule="auto"/>
        <w:ind w:firstLine="420" w:firstLineChars="200"/>
        <w:rPr>
          <w:rFonts w:cs="宋体"/>
          <w:color w:val="auto"/>
          <w:kern w:val="2"/>
          <w:sz w:val="21"/>
          <w:szCs w:val="21"/>
          <w:highlight w:val="none"/>
        </w:rPr>
      </w:pPr>
      <w:r>
        <w:rPr>
          <w:rFonts w:hint="eastAsia" w:cs="宋体"/>
          <w:color w:val="auto"/>
          <w:kern w:val="2"/>
          <w:sz w:val="21"/>
          <w:szCs w:val="21"/>
          <w:highlight w:val="none"/>
        </w:rPr>
        <w:t>技术文件存在以下情形的，评标委员会应当否决其投标：</w:t>
      </w:r>
    </w:p>
    <w:p>
      <w:pPr>
        <w:spacing w:line="360" w:lineRule="auto"/>
        <w:ind w:firstLine="420" w:firstLineChars="200"/>
        <w:rPr>
          <w:rFonts w:cs="宋体"/>
          <w:color w:val="auto"/>
          <w:kern w:val="2"/>
          <w:sz w:val="21"/>
          <w:szCs w:val="21"/>
          <w:highlight w:val="none"/>
        </w:rPr>
      </w:pPr>
      <w:r>
        <w:rPr>
          <w:rFonts w:hint="eastAsia" w:cs="宋体"/>
          <w:color w:val="auto"/>
          <w:kern w:val="2"/>
          <w:sz w:val="21"/>
          <w:szCs w:val="21"/>
          <w:highlight w:val="none"/>
        </w:rPr>
        <w:t>（1）体现投标人的名称及其他可识别投标人身份的字符、徽标、人员名称以及其他特殊标记等信息的；</w:t>
      </w:r>
    </w:p>
    <w:p>
      <w:pPr>
        <w:spacing w:line="360" w:lineRule="auto"/>
        <w:ind w:firstLine="420" w:firstLineChars="200"/>
        <w:rPr>
          <w:rFonts w:cs="宋体"/>
          <w:color w:val="auto"/>
          <w:kern w:val="2"/>
          <w:sz w:val="21"/>
          <w:szCs w:val="21"/>
          <w:highlight w:val="none"/>
        </w:rPr>
      </w:pPr>
      <w:r>
        <w:rPr>
          <w:rFonts w:hint="eastAsia" w:cs="宋体"/>
          <w:color w:val="auto"/>
          <w:kern w:val="2"/>
          <w:sz w:val="21"/>
          <w:szCs w:val="21"/>
          <w:highlight w:val="none"/>
        </w:rPr>
        <w:t>（2）未全部提供</w:t>
      </w:r>
      <w:r>
        <w:rPr>
          <w:rFonts w:hint="eastAsia" w:cs="宋体"/>
          <w:color w:val="auto"/>
          <w:kern w:val="1"/>
          <w:sz w:val="21"/>
          <w:szCs w:val="21"/>
          <w:highlight w:val="none"/>
        </w:rPr>
        <w:t>评标办法前附表第6项</w:t>
      </w:r>
      <w:r>
        <w:rPr>
          <w:rFonts w:hint="eastAsia" w:cs="宋体"/>
          <w:color w:val="auto"/>
          <w:sz w:val="21"/>
          <w:szCs w:val="21"/>
          <w:highlight w:val="none"/>
        </w:rPr>
        <w:t>规定的各专项技术方案的</w:t>
      </w:r>
      <w:r>
        <w:rPr>
          <w:rFonts w:hint="eastAsia" w:cs="宋体"/>
          <w:color w:val="auto"/>
          <w:kern w:val="1"/>
          <w:sz w:val="21"/>
          <w:szCs w:val="21"/>
          <w:highlight w:val="none"/>
        </w:rPr>
        <w:t>（</w:t>
      </w:r>
      <w:r>
        <w:rPr>
          <w:rFonts w:hint="eastAsia"/>
          <w:color w:val="auto"/>
          <w:sz w:val="21"/>
          <w:szCs w:val="21"/>
          <w:highlight w:val="none"/>
        </w:rPr>
        <w:t>投标人补充完善的危险性较大的分部分项工程的专项技术方案除外</w:t>
      </w:r>
      <w:r>
        <w:rPr>
          <w:rFonts w:hint="eastAsia" w:cs="宋体"/>
          <w:color w:val="auto"/>
          <w:kern w:val="1"/>
          <w:sz w:val="21"/>
          <w:szCs w:val="21"/>
          <w:highlight w:val="none"/>
        </w:rPr>
        <w:t>）</w:t>
      </w:r>
      <w:r>
        <w:rPr>
          <w:rFonts w:hint="eastAsia" w:cs="宋体"/>
          <w:color w:val="auto"/>
          <w:kern w:val="2"/>
          <w:sz w:val="21"/>
          <w:szCs w:val="21"/>
          <w:highlight w:val="none"/>
        </w:rPr>
        <w:t>或</w:t>
      </w:r>
      <w:r>
        <w:rPr>
          <w:rFonts w:hint="eastAsia" w:cs="宋体"/>
          <w:color w:val="auto"/>
          <w:sz w:val="21"/>
          <w:szCs w:val="21"/>
          <w:highlight w:val="none"/>
        </w:rPr>
        <w:t>专项技术方案出现一处或以上不符合</w:t>
      </w:r>
      <w:r>
        <w:rPr>
          <w:rFonts w:hint="eastAsia" w:cs="宋体"/>
          <w:color w:val="auto"/>
          <w:kern w:val="1"/>
          <w:sz w:val="21"/>
          <w:szCs w:val="21"/>
          <w:highlight w:val="none"/>
        </w:rPr>
        <w:t>评标办法前附表第6项</w:t>
      </w:r>
      <w:r>
        <w:rPr>
          <w:rFonts w:hint="eastAsia" w:cs="宋体"/>
          <w:color w:val="auto"/>
          <w:sz w:val="21"/>
          <w:szCs w:val="21"/>
          <w:highlight w:val="none"/>
        </w:rPr>
        <w:t>规定情形的；</w:t>
      </w:r>
    </w:p>
    <w:p>
      <w:pPr>
        <w:spacing w:line="360" w:lineRule="auto"/>
        <w:ind w:firstLine="420" w:firstLineChars="200"/>
        <w:rPr>
          <w:rFonts w:cs="宋体"/>
          <w:color w:val="auto"/>
          <w:kern w:val="1"/>
          <w:sz w:val="21"/>
          <w:szCs w:val="21"/>
          <w:highlight w:val="none"/>
        </w:rPr>
      </w:pPr>
      <w:r>
        <w:rPr>
          <w:rFonts w:hint="eastAsia" w:cs="宋体"/>
          <w:color w:val="auto"/>
          <w:sz w:val="21"/>
          <w:szCs w:val="21"/>
          <w:highlight w:val="none"/>
        </w:rPr>
        <w:t>（3）技术文件出现</w:t>
      </w:r>
      <w:r>
        <w:rPr>
          <w:rFonts w:cs="宋体"/>
          <w:color w:val="auto"/>
          <w:kern w:val="1"/>
          <w:sz w:val="21"/>
          <w:szCs w:val="21"/>
          <w:highlight w:val="none"/>
        </w:rPr>
        <w:t>第二章</w:t>
      </w:r>
      <w:r>
        <w:rPr>
          <w:rFonts w:hint="eastAsia" w:cs="宋体"/>
          <w:color w:val="auto"/>
          <w:kern w:val="1"/>
          <w:sz w:val="21"/>
          <w:szCs w:val="21"/>
          <w:highlight w:val="none"/>
        </w:rPr>
        <w:t>“投标人须知”第3.6.4项中第（4）目规定的情形的</w:t>
      </w:r>
      <w:r>
        <w:rPr>
          <w:rFonts w:hint="eastAsia" w:cs="宋体"/>
          <w:color w:val="auto"/>
          <w:kern w:val="2"/>
          <w:sz w:val="21"/>
          <w:szCs w:val="21"/>
          <w:highlight w:val="none"/>
        </w:rPr>
        <w:t>。</w:t>
      </w:r>
      <w:r>
        <w:rPr>
          <w:rFonts w:hint="eastAsia" w:cs="宋体"/>
          <w:color w:val="auto"/>
          <w:kern w:val="1"/>
          <w:sz w:val="21"/>
          <w:szCs w:val="21"/>
          <w:highlight w:val="none"/>
        </w:rPr>
        <w:t xml:space="preserve"> </w:t>
      </w:r>
    </w:p>
    <w:p>
      <w:pPr>
        <w:autoSpaceDE w:val="0"/>
        <w:autoSpaceDN w:val="0"/>
        <w:spacing w:before="120" w:beforeLines="50" w:after="120" w:afterLines="50" w:line="360" w:lineRule="auto"/>
        <w:ind w:firstLine="420" w:firstLineChars="200"/>
        <w:jc w:val="left"/>
        <w:rPr>
          <w:rFonts w:cs="宋体"/>
          <w:color w:val="auto"/>
          <w:kern w:val="1"/>
          <w:sz w:val="21"/>
          <w:szCs w:val="24"/>
          <w:highlight w:val="none"/>
        </w:rPr>
      </w:pPr>
      <w:r>
        <w:rPr>
          <w:rFonts w:hint="eastAsia" w:cs="宋体"/>
          <w:color w:val="auto"/>
          <w:kern w:val="1"/>
          <w:sz w:val="21"/>
          <w:szCs w:val="24"/>
          <w:highlight w:val="none"/>
        </w:rPr>
        <w:t>4.8 确定定标候选人</w:t>
      </w:r>
    </w:p>
    <w:p>
      <w:pPr>
        <w:spacing w:line="360" w:lineRule="auto"/>
        <w:ind w:firstLine="420" w:firstLineChars="200"/>
        <w:rPr>
          <w:rFonts w:cs="宋体"/>
          <w:color w:val="auto"/>
          <w:kern w:val="1"/>
          <w:sz w:val="21"/>
          <w:szCs w:val="24"/>
          <w:highlight w:val="none"/>
        </w:rPr>
      </w:pPr>
      <w:r>
        <w:rPr>
          <w:rFonts w:hint="eastAsia" w:ascii="Calibri" w:hAnsi="Calibri"/>
          <w:color w:val="auto"/>
          <w:sz w:val="21"/>
          <w:szCs w:val="24"/>
          <w:highlight w:val="none"/>
        </w:rPr>
        <w:t>评标委员会根据评标程序和标准完成评标后，将所有</w:t>
      </w:r>
      <w:r>
        <w:rPr>
          <w:rFonts w:hint="eastAsia" w:cs="宋体"/>
          <w:color w:val="auto"/>
          <w:kern w:val="1"/>
          <w:sz w:val="21"/>
          <w:szCs w:val="24"/>
          <w:highlight w:val="none"/>
        </w:rPr>
        <w:t>投标</w:t>
      </w:r>
      <w:r>
        <w:rPr>
          <w:rFonts w:cs="宋体"/>
          <w:color w:val="auto"/>
          <w:kern w:val="1"/>
          <w:sz w:val="21"/>
          <w:szCs w:val="24"/>
          <w:highlight w:val="none"/>
        </w:rPr>
        <w:t>未被否决的入围投标人</w:t>
      </w:r>
      <w:r>
        <w:rPr>
          <w:rFonts w:hint="eastAsia" w:ascii="Calibri" w:hAnsi="Calibri"/>
          <w:color w:val="auto"/>
          <w:sz w:val="21"/>
          <w:szCs w:val="24"/>
          <w:highlight w:val="none"/>
        </w:rPr>
        <w:t>确定为定标候</w:t>
      </w:r>
      <w:r>
        <w:rPr>
          <w:rFonts w:hint="eastAsia" w:cs="宋体"/>
          <w:color w:val="auto"/>
          <w:kern w:val="1"/>
          <w:sz w:val="21"/>
          <w:szCs w:val="24"/>
          <w:highlight w:val="none"/>
        </w:rPr>
        <w:t>选人。投标</w:t>
      </w:r>
      <w:r>
        <w:rPr>
          <w:rFonts w:cs="宋体"/>
          <w:color w:val="auto"/>
          <w:kern w:val="1"/>
          <w:sz w:val="21"/>
          <w:szCs w:val="24"/>
          <w:highlight w:val="none"/>
        </w:rPr>
        <w:t>未被否决的入围投标人少于3家，评标委员会认为投标明显缺乏竞争的，可以否决全部投标。</w:t>
      </w:r>
    </w:p>
    <w:p>
      <w:pPr>
        <w:keepNext/>
        <w:keepLines/>
        <w:spacing w:before="120" w:beforeLines="50" w:after="120" w:afterLines="50" w:line="360" w:lineRule="auto"/>
        <w:ind w:firstLine="136"/>
        <w:outlineLvl w:val="2"/>
        <w:rPr>
          <w:rFonts w:ascii="黑体" w:hAnsi="黑体" w:eastAsia="黑体"/>
          <w:color w:val="auto"/>
          <w:kern w:val="1"/>
          <w:sz w:val="28"/>
          <w:szCs w:val="28"/>
          <w:highlight w:val="none"/>
          <w:lang w:val="zh-CN"/>
        </w:rPr>
      </w:pPr>
      <w:bookmarkStart w:id="741" w:name="_Toc106703287"/>
      <w:bookmarkStart w:id="742" w:name="_Toc8451"/>
      <w:bookmarkStart w:id="743" w:name="_Toc52112958"/>
      <w:bookmarkStart w:id="744" w:name="_Toc25023"/>
      <w:r>
        <w:rPr>
          <w:rFonts w:hint="eastAsia" w:ascii="黑体" w:hAnsi="黑体" w:eastAsia="黑体"/>
          <w:color w:val="auto"/>
          <w:kern w:val="1"/>
          <w:sz w:val="28"/>
          <w:szCs w:val="28"/>
          <w:highlight w:val="none"/>
          <w:lang w:val="zh-CN"/>
        </w:rPr>
        <w:t>5. 提交评标报告</w:t>
      </w:r>
      <w:bookmarkEnd w:id="741"/>
      <w:bookmarkEnd w:id="742"/>
      <w:bookmarkEnd w:id="743"/>
      <w:bookmarkEnd w:id="744"/>
    </w:p>
    <w:p>
      <w:pPr>
        <w:spacing w:before="120" w:beforeLines="50" w:after="120" w:afterLines="50" w:line="300" w:lineRule="auto"/>
        <w:ind w:firstLine="420" w:firstLineChars="200"/>
        <w:rPr>
          <w:rFonts w:cs="宋体"/>
          <w:color w:val="auto"/>
          <w:kern w:val="1"/>
          <w:sz w:val="21"/>
          <w:szCs w:val="24"/>
          <w:highlight w:val="none"/>
        </w:rPr>
      </w:pPr>
      <w:r>
        <w:rPr>
          <w:rFonts w:hint="eastAsia" w:cs="宋体"/>
          <w:color w:val="auto"/>
          <w:kern w:val="1"/>
          <w:sz w:val="21"/>
          <w:szCs w:val="24"/>
          <w:highlight w:val="none"/>
        </w:rPr>
        <w:t>5.1资格审查委员会和评标委员会按照本章规定的程序和评审标准完成全部评审工作后，应当向招标人提交评标报告。</w:t>
      </w:r>
    </w:p>
    <w:p>
      <w:pPr>
        <w:spacing w:before="120" w:beforeLines="50" w:after="120" w:afterLines="50" w:line="300" w:lineRule="auto"/>
        <w:ind w:firstLine="420" w:firstLineChars="200"/>
        <w:rPr>
          <w:rFonts w:cs="宋体"/>
          <w:color w:val="auto"/>
          <w:kern w:val="1"/>
          <w:sz w:val="21"/>
          <w:szCs w:val="24"/>
          <w:highlight w:val="none"/>
        </w:rPr>
      </w:pPr>
      <w:r>
        <w:rPr>
          <w:rFonts w:hint="eastAsia" w:cs="宋体"/>
          <w:color w:val="auto"/>
          <w:kern w:val="1"/>
          <w:sz w:val="21"/>
          <w:szCs w:val="24"/>
          <w:highlight w:val="none"/>
        </w:rPr>
        <w:t>5.2评标委员会决定否决所有投标的，应当在评标报告中说明具体理由。</w:t>
      </w:r>
    </w:p>
    <w:p>
      <w:pPr>
        <w:spacing w:beforeLines="50" w:afterLines="50" w:line="360" w:lineRule="auto"/>
        <w:ind w:firstLine="420" w:firstLineChars="200"/>
        <w:rPr>
          <w:rFonts w:cs="宋体"/>
          <w:color w:val="auto"/>
          <w:kern w:val="1"/>
          <w:sz w:val="21"/>
          <w:szCs w:val="21"/>
          <w:highlight w:val="none"/>
        </w:rPr>
      </w:pPr>
      <w:r>
        <w:rPr>
          <w:rFonts w:hint="eastAsia" w:cs="宋体"/>
          <w:color w:val="auto"/>
          <w:kern w:val="1"/>
          <w:sz w:val="21"/>
          <w:szCs w:val="24"/>
          <w:highlight w:val="none"/>
        </w:rPr>
        <w:t>5.3评标报告中应当列明投标文件雷同情况。</w:t>
      </w:r>
    </w:p>
    <w:p>
      <w:pPr>
        <w:tabs>
          <w:tab w:val="center" w:pos="5100"/>
        </w:tabs>
        <w:spacing w:line="300" w:lineRule="auto"/>
        <w:rPr>
          <w:color w:val="auto"/>
          <w:szCs w:val="21"/>
          <w:highlight w:val="none"/>
          <w:lang w:val="zh-CN"/>
        </w:rPr>
      </w:pPr>
      <w:r>
        <w:rPr>
          <w:color w:val="auto"/>
          <w:highlight w:val="none"/>
        </w:rPr>
        <w:tab/>
      </w:r>
    </w:p>
    <w:p>
      <w:pPr>
        <w:pStyle w:val="3"/>
        <w:widowControl/>
        <w:spacing w:before="4000" w:line="360" w:lineRule="auto"/>
        <w:jc w:val="center"/>
        <w:rPr>
          <w:rFonts w:ascii="黑体" w:eastAsia="黑体" w:cs="黑体"/>
          <w:b w:val="0"/>
          <w:color w:val="auto"/>
          <w:kern w:val="1"/>
          <w:highlight w:val="none"/>
        </w:rPr>
      </w:pPr>
      <w:r>
        <w:rPr>
          <w:rFonts w:hint="eastAsia" w:cs="宋体"/>
          <w:color w:val="auto"/>
          <w:highlight w:val="none"/>
        </w:rPr>
        <w:br w:type="page"/>
      </w:r>
      <w:bookmarkStart w:id="745" w:name="_Toc106703295"/>
      <w:bookmarkStart w:id="746" w:name="_Toc61877309"/>
      <w:bookmarkStart w:id="747" w:name="_Toc29806"/>
      <w:bookmarkStart w:id="748" w:name="_Toc9883"/>
      <w:bookmarkStart w:id="749" w:name="_Toc10650"/>
      <w:bookmarkStart w:id="750" w:name="_Toc15860"/>
      <w:bookmarkStart w:id="751" w:name="_Toc18397"/>
      <w:bookmarkStart w:id="752" w:name="_Toc3723"/>
      <w:r>
        <w:rPr>
          <w:rFonts w:hint="eastAsia" w:ascii="黑体" w:eastAsia="黑体" w:cs="黑体"/>
          <w:b w:val="0"/>
          <w:color w:val="auto"/>
          <w:kern w:val="1"/>
          <w:highlight w:val="none"/>
        </w:rPr>
        <w:t>第四章 定标办法</w:t>
      </w:r>
      <w:bookmarkEnd w:id="745"/>
      <w:bookmarkEnd w:id="746"/>
      <w:bookmarkEnd w:id="747"/>
      <w:bookmarkEnd w:id="748"/>
      <w:bookmarkEnd w:id="749"/>
      <w:bookmarkEnd w:id="750"/>
      <w:bookmarkEnd w:id="751"/>
      <w:bookmarkEnd w:id="752"/>
    </w:p>
    <w:p>
      <w:pPr>
        <w:pStyle w:val="4"/>
        <w:spacing w:beforeLines="0" w:after="240"/>
        <w:jc w:val="center"/>
        <w:rPr>
          <w:b/>
          <w:color w:val="auto"/>
          <w:sz w:val="32"/>
          <w:szCs w:val="32"/>
          <w:highlight w:val="none"/>
          <w:lang w:bidi="zh-CN"/>
        </w:rPr>
      </w:pPr>
      <w:r>
        <w:rPr>
          <w:rFonts w:hint="eastAsia" w:ascii="宋体" w:hAnsi="宋体" w:cs="宋体"/>
          <w:color w:val="auto"/>
          <w:highlight w:val="none"/>
        </w:rPr>
        <w:br w:type="page"/>
      </w:r>
      <w:bookmarkStart w:id="753" w:name="_Toc15206"/>
      <w:bookmarkStart w:id="754" w:name="_Toc25711"/>
      <w:bookmarkStart w:id="755" w:name="_Toc106703296"/>
      <w:bookmarkStart w:id="756" w:name="_Toc29736"/>
      <w:bookmarkStart w:id="757" w:name="_Toc25493"/>
      <w:bookmarkStart w:id="758" w:name="_Toc52112967"/>
      <w:bookmarkStart w:id="759" w:name="_Toc61877310"/>
      <w:bookmarkStart w:id="760" w:name="_Toc7518"/>
      <w:bookmarkStart w:id="761" w:name="_Toc11836"/>
      <w:r>
        <w:rPr>
          <w:color w:val="auto"/>
          <w:sz w:val="32"/>
          <w:szCs w:val="32"/>
          <w:highlight w:val="none"/>
          <w:lang w:bidi="zh-CN"/>
        </w:rPr>
        <w:t>第四章</w:t>
      </w:r>
      <w:r>
        <w:rPr>
          <w:rFonts w:hint="eastAsia" w:ascii="宋体" w:hAnsi="宋体"/>
          <w:color w:val="auto"/>
          <w:sz w:val="32"/>
          <w:szCs w:val="32"/>
          <w:highlight w:val="none"/>
        </w:rPr>
        <w:t xml:space="preserve">  </w:t>
      </w:r>
      <w:r>
        <w:rPr>
          <w:rFonts w:hint="eastAsia"/>
          <w:color w:val="auto"/>
          <w:sz w:val="32"/>
          <w:szCs w:val="32"/>
          <w:highlight w:val="none"/>
          <w:lang w:bidi="zh-CN"/>
        </w:rPr>
        <w:t>定标办法</w:t>
      </w:r>
      <w:bookmarkEnd w:id="753"/>
      <w:bookmarkEnd w:id="754"/>
      <w:bookmarkEnd w:id="755"/>
      <w:bookmarkEnd w:id="756"/>
      <w:bookmarkEnd w:id="757"/>
      <w:bookmarkEnd w:id="758"/>
      <w:bookmarkEnd w:id="759"/>
      <w:bookmarkEnd w:id="760"/>
      <w:bookmarkEnd w:id="761"/>
    </w:p>
    <w:p>
      <w:pPr>
        <w:pStyle w:val="5"/>
        <w:spacing w:beforeLines="0" w:after="120"/>
        <w:ind w:firstLine="0"/>
        <w:rPr>
          <w:color w:val="auto"/>
          <w:sz w:val="21"/>
          <w:szCs w:val="21"/>
          <w:highlight w:val="none"/>
        </w:rPr>
      </w:pPr>
      <w:bookmarkStart w:id="762" w:name="_Toc12143"/>
      <w:bookmarkStart w:id="763" w:name="_Toc61877311"/>
      <w:bookmarkStart w:id="764" w:name="_Toc106703297"/>
      <w:bookmarkStart w:id="765" w:name="_Toc15158"/>
      <w:bookmarkStart w:id="766" w:name="_Toc17201"/>
      <w:bookmarkStart w:id="767" w:name="_Toc13229"/>
      <w:bookmarkStart w:id="768" w:name="_Toc5771"/>
      <w:bookmarkStart w:id="769" w:name="_Toc17250"/>
      <w:bookmarkStart w:id="770" w:name="_Toc52112968"/>
      <w:r>
        <w:rPr>
          <w:rFonts w:hint="eastAsia"/>
          <w:color w:val="auto"/>
          <w:sz w:val="21"/>
          <w:szCs w:val="21"/>
          <w:highlight w:val="none"/>
        </w:rPr>
        <w:t>定标办法前附表</w:t>
      </w:r>
      <w:bookmarkEnd w:id="762"/>
      <w:bookmarkEnd w:id="763"/>
      <w:bookmarkEnd w:id="764"/>
      <w:bookmarkEnd w:id="765"/>
      <w:bookmarkEnd w:id="766"/>
      <w:bookmarkEnd w:id="767"/>
      <w:bookmarkEnd w:id="768"/>
      <w:bookmarkEnd w:id="769"/>
      <w:bookmarkEnd w:id="770"/>
    </w:p>
    <w:tbl>
      <w:tblPr>
        <w:tblStyle w:val="60"/>
        <w:tblW w:w="0" w:type="auto"/>
        <w:tblInd w:w="108" w:type="dxa"/>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Layout w:type="fixed"/>
        <w:tblCellMar>
          <w:top w:w="0" w:type="dxa"/>
          <w:left w:w="108" w:type="dxa"/>
          <w:bottom w:w="0" w:type="dxa"/>
          <w:right w:w="108" w:type="dxa"/>
        </w:tblCellMar>
      </w:tblPr>
      <w:tblGrid>
        <w:gridCol w:w="709"/>
        <w:gridCol w:w="851"/>
        <w:gridCol w:w="1701"/>
        <w:gridCol w:w="6520"/>
      </w:tblGrid>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c>
          <w:tcPr>
            <w:tcW w:w="709" w:type="dxa"/>
            <w:tcBorders>
              <w:bottom w:val="single" w:color="auto" w:sz="4" w:space="0"/>
            </w:tcBorders>
            <w:vAlign w:val="center"/>
          </w:tcPr>
          <w:p>
            <w:pPr>
              <w:spacing w:line="300" w:lineRule="auto"/>
              <w:jc w:val="center"/>
              <w:rPr>
                <w:rFonts w:cs="宋体"/>
                <w:b/>
                <w:color w:val="auto"/>
                <w:kern w:val="1"/>
                <w:sz w:val="21"/>
                <w:szCs w:val="21"/>
                <w:highlight w:val="none"/>
              </w:rPr>
            </w:pPr>
            <w:r>
              <w:rPr>
                <w:rFonts w:hint="eastAsia" w:cs="宋体"/>
                <w:b/>
                <w:color w:val="auto"/>
                <w:kern w:val="1"/>
                <w:sz w:val="21"/>
                <w:szCs w:val="21"/>
                <w:highlight w:val="none"/>
              </w:rPr>
              <w:t>项</w:t>
            </w:r>
            <w:r>
              <w:rPr>
                <w:rFonts w:cs="宋体"/>
                <w:b/>
                <w:color w:val="auto"/>
                <w:kern w:val="1"/>
                <w:sz w:val="21"/>
                <w:szCs w:val="21"/>
                <w:highlight w:val="none"/>
              </w:rPr>
              <w:t>号</w:t>
            </w:r>
          </w:p>
        </w:tc>
        <w:tc>
          <w:tcPr>
            <w:tcW w:w="851" w:type="dxa"/>
            <w:tcBorders>
              <w:bottom w:val="single" w:color="auto" w:sz="4" w:space="0"/>
            </w:tcBorders>
          </w:tcPr>
          <w:p>
            <w:pPr>
              <w:spacing w:line="300" w:lineRule="auto"/>
              <w:jc w:val="center"/>
              <w:rPr>
                <w:rFonts w:cs="宋体"/>
                <w:b/>
                <w:color w:val="auto"/>
                <w:kern w:val="1"/>
                <w:sz w:val="21"/>
                <w:szCs w:val="21"/>
                <w:highlight w:val="none"/>
              </w:rPr>
            </w:pPr>
            <w:r>
              <w:rPr>
                <w:rFonts w:hint="eastAsia" w:cs="宋体"/>
                <w:b/>
                <w:color w:val="auto"/>
                <w:kern w:val="1"/>
                <w:sz w:val="21"/>
                <w:szCs w:val="21"/>
                <w:highlight w:val="none"/>
              </w:rPr>
              <w:t>条款号</w:t>
            </w:r>
          </w:p>
        </w:tc>
        <w:tc>
          <w:tcPr>
            <w:tcW w:w="1701" w:type="dxa"/>
            <w:tcBorders>
              <w:bottom w:val="single" w:color="auto" w:sz="4" w:space="0"/>
            </w:tcBorders>
            <w:vAlign w:val="center"/>
          </w:tcPr>
          <w:p>
            <w:pPr>
              <w:spacing w:line="300" w:lineRule="auto"/>
              <w:jc w:val="center"/>
              <w:rPr>
                <w:rFonts w:cs="宋体"/>
                <w:b/>
                <w:color w:val="auto"/>
                <w:kern w:val="1"/>
                <w:sz w:val="21"/>
                <w:szCs w:val="21"/>
                <w:highlight w:val="none"/>
              </w:rPr>
            </w:pPr>
            <w:r>
              <w:rPr>
                <w:rFonts w:hint="eastAsia" w:cs="宋体"/>
                <w:b/>
                <w:color w:val="auto"/>
                <w:kern w:val="1"/>
                <w:sz w:val="21"/>
                <w:szCs w:val="21"/>
                <w:highlight w:val="none"/>
              </w:rPr>
              <w:t>定标规则</w:t>
            </w:r>
          </w:p>
        </w:tc>
        <w:tc>
          <w:tcPr>
            <w:tcW w:w="6520" w:type="dxa"/>
            <w:vAlign w:val="center"/>
          </w:tcPr>
          <w:p>
            <w:pPr>
              <w:spacing w:line="300" w:lineRule="auto"/>
              <w:ind w:firstLine="340"/>
              <w:jc w:val="center"/>
              <w:rPr>
                <w:rFonts w:cs="宋体"/>
                <w:b/>
                <w:color w:val="auto"/>
                <w:kern w:val="1"/>
                <w:sz w:val="21"/>
                <w:szCs w:val="21"/>
                <w:highlight w:val="none"/>
              </w:rPr>
            </w:pPr>
            <w:r>
              <w:rPr>
                <w:rFonts w:hint="eastAsia" w:cs="宋体"/>
                <w:b/>
                <w:color w:val="auto"/>
                <w:kern w:val="1"/>
                <w:sz w:val="21"/>
                <w:szCs w:val="21"/>
                <w:highlight w:val="none"/>
              </w:rPr>
              <w:t>编列内容</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c>
          <w:tcPr>
            <w:tcW w:w="709" w:type="dxa"/>
            <w:tcBorders>
              <w:bottom w:val="single" w:color="auto" w:sz="4" w:space="0"/>
            </w:tcBorders>
            <w:vAlign w:val="center"/>
          </w:tcPr>
          <w:p>
            <w:pPr>
              <w:autoSpaceDE w:val="0"/>
              <w:autoSpaceDN w:val="0"/>
              <w:spacing w:line="300" w:lineRule="auto"/>
              <w:jc w:val="center"/>
              <w:rPr>
                <w:rFonts w:cs="宋体"/>
                <w:color w:val="auto"/>
                <w:kern w:val="1"/>
                <w:sz w:val="21"/>
                <w:szCs w:val="21"/>
                <w:highlight w:val="none"/>
              </w:rPr>
            </w:pPr>
            <w:r>
              <w:rPr>
                <w:rFonts w:hint="eastAsia" w:cs="宋体"/>
                <w:color w:val="auto"/>
                <w:kern w:val="1"/>
                <w:sz w:val="21"/>
                <w:szCs w:val="21"/>
                <w:highlight w:val="none"/>
              </w:rPr>
              <w:t>1</w:t>
            </w:r>
          </w:p>
        </w:tc>
        <w:tc>
          <w:tcPr>
            <w:tcW w:w="851" w:type="dxa"/>
            <w:tcBorders>
              <w:bottom w:val="single" w:color="auto" w:sz="4" w:space="0"/>
            </w:tcBorders>
            <w:vAlign w:val="center"/>
          </w:tcPr>
          <w:p>
            <w:pPr>
              <w:autoSpaceDE w:val="0"/>
              <w:autoSpaceDN w:val="0"/>
              <w:spacing w:line="300" w:lineRule="auto"/>
              <w:jc w:val="center"/>
              <w:rPr>
                <w:rFonts w:cs="宋体"/>
                <w:color w:val="auto"/>
                <w:kern w:val="1"/>
                <w:sz w:val="21"/>
                <w:szCs w:val="21"/>
                <w:highlight w:val="none"/>
              </w:rPr>
            </w:pPr>
            <w:r>
              <w:rPr>
                <w:rFonts w:hint="eastAsia" w:cs="宋体"/>
                <w:color w:val="auto"/>
                <w:kern w:val="1"/>
                <w:sz w:val="21"/>
                <w:szCs w:val="21"/>
                <w:highlight w:val="none"/>
              </w:rPr>
              <w:t>3.2.1</w:t>
            </w:r>
          </w:p>
        </w:tc>
        <w:tc>
          <w:tcPr>
            <w:tcW w:w="1701" w:type="dxa"/>
            <w:tcBorders>
              <w:bottom w:val="single" w:color="auto" w:sz="4" w:space="0"/>
            </w:tcBorders>
            <w:vAlign w:val="center"/>
          </w:tcPr>
          <w:p>
            <w:pPr>
              <w:autoSpaceDE w:val="0"/>
              <w:autoSpaceDN w:val="0"/>
              <w:spacing w:line="300" w:lineRule="auto"/>
              <w:jc w:val="center"/>
              <w:rPr>
                <w:rFonts w:ascii="Calibri" w:hAnsi="Calibri"/>
                <w:color w:val="auto"/>
                <w:sz w:val="21"/>
                <w:szCs w:val="21"/>
                <w:highlight w:val="none"/>
              </w:rPr>
            </w:pPr>
            <w:r>
              <w:rPr>
                <w:rFonts w:hint="eastAsia" w:cs="宋体"/>
                <w:color w:val="auto"/>
                <w:kern w:val="1"/>
                <w:sz w:val="21"/>
                <w:szCs w:val="21"/>
                <w:highlight w:val="none"/>
              </w:rPr>
              <w:t>定标</w:t>
            </w:r>
            <w:r>
              <w:rPr>
                <w:rFonts w:cs="宋体"/>
                <w:color w:val="auto"/>
                <w:kern w:val="1"/>
                <w:sz w:val="21"/>
                <w:szCs w:val="21"/>
                <w:highlight w:val="none"/>
              </w:rPr>
              <w:t>要素</w:t>
            </w:r>
          </w:p>
        </w:tc>
        <w:tc>
          <w:tcPr>
            <w:tcW w:w="6520" w:type="dxa"/>
            <w:vAlign w:val="center"/>
          </w:tcPr>
          <w:p>
            <w:pPr>
              <w:autoSpaceDE w:val="0"/>
              <w:autoSpaceDN w:val="0"/>
              <w:spacing w:line="360" w:lineRule="auto"/>
              <w:jc w:val="left"/>
              <w:rPr>
                <w:color w:val="auto"/>
                <w:sz w:val="21"/>
                <w:szCs w:val="21"/>
                <w:highlight w:val="none"/>
              </w:rPr>
            </w:pPr>
            <w:r>
              <w:rPr>
                <w:rFonts w:hint="eastAsia"/>
                <w:color w:val="auto"/>
                <w:sz w:val="21"/>
                <w:szCs w:val="21"/>
                <w:highlight w:val="none"/>
              </w:rPr>
              <w:t>1、信用，包括以下子要素</w:t>
            </w:r>
            <w:r>
              <w:rPr>
                <w:rFonts w:hint="eastAsia"/>
                <w:color w:val="auto"/>
                <w:sz w:val="21"/>
                <w:szCs w:val="21"/>
                <w:highlight w:val="none"/>
                <w:vertAlign w:val="superscript"/>
              </w:rPr>
              <w:footnoteReference w:id="25"/>
            </w:r>
            <w:r>
              <w:rPr>
                <w:rFonts w:hint="eastAsia"/>
                <w:color w:val="auto"/>
                <w:sz w:val="21"/>
                <w:szCs w:val="21"/>
                <w:highlight w:val="none"/>
              </w:rPr>
              <w:t>：</w:t>
            </w:r>
          </w:p>
          <w:p>
            <w:pPr>
              <w:autoSpaceDE w:val="0"/>
              <w:autoSpaceDN w:val="0"/>
              <w:spacing w:line="360" w:lineRule="auto"/>
              <w:jc w:val="left"/>
              <w:rPr>
                <w:rFonts w:hint="eastAsia" w:hAnsi="Calibri" w:eastAsia="宋体"/>
                <w:color w:val="auto"/>
                <w:sz w:val="21"/>
                <w:szCs w:val="21"/>
                <w:highlight w:val="none"/>
                <w:u w:val="single"/>
                <w:lang w:val="en-US" w:eastAsia="zh-CN"/>
              </w:rPr>
            </w:pPr>
            <w:r>
              <w:rPr>
                <w:rFonts w:hint="eastAsia"/>
                <w:b/>
                <w:bCs/>
                <w:color w:val="auto"/>
                <w:sz w:val="21"/>
                <w:szCs w:val="21"/>
                <w:highlight w:val="none"/>
              </w:rPr>
              <w:t>（</w:t>
            </w:r>
            <w:r>
              <w:rPr>
                <w:b/>
                <w:bCs/>
                <w:color w:val="auto"/>
                <w:sz w:val="21"/>
                <w:szCs w:val="21"/>
                <w:highlight w:val="none"/>
              </w:rPr>
              <w:t>1</w:t>
            </w:r>
            <w:r>
              <w:rPr>
                <w:rFonts w:hint="eastAsia"/>
                <w:b/>
                <w:bCs/>
                <w:color w:val="auto"/>
                <w:sz w:val="21"/>
                <w:szCs w:val="21"/>
                <w:highlight w:val="none"/>
              </w:rPr>
              <w:t>）子要素内容</w:t>
            </w:r>
            <w:r>
              <w:rPr>
                <w:rFonts w:hint="eastAsia"/>
                <w:color w:val="auto"/>
                <w:sz w:val="21"/>
                <w:szCs w:val="21"/>
                <w:highlight w:val="none"/>
              </w:rPr>
              <w:t>：</w:t>
            </w:r>
            <w:r>
              <w:rPr>
                <w:rFonts w:hint="eastAsia" w:ascii="宋体" w:hAnsi="宋体" w:eastAsia="宋体" w:cs="宋体"/>
                <w:color w:val="0000FF"/>
                <w:kern w:val="1"/>
                <w:sz w:val="21"/>
                <w:szCs w:val="21"/>
                <w:highlight w:val="none"/>
                <w:u w:val="single"/>
                <w:lang w:eastAsia="zh-CN"/>
              </w:rPr>
              <w:t>投标人近三年（</w:t>
            </w:r>
            <w:r>
              <w:rPr>
                <w:rFonts w:hint="eastAsia" w:ascii="宋体" w:hAnsi="宋体" w:eastAsia="宋体" w:cs="宋体"/>
                <w:color w:val="0000FF"/>
                <w:kern w:val="1"/>
                <w:sz w:val="21"/>
                <w:szCs w:val="21"/>
                <w:highlight w:val="none"/>
                <w:u w:val="single"/>
                <w:lang w:val="en-US" w:eastAsia="zh-CN"/>
              </w:rPr>
              <w:t>2021年、2022年、2023年</w:t>
            </w:r>
            <w:r>
              <w:rPr>
                <w:rFonts w:hint="eastAsia" w:ascii="宋体" w:hAnsi="宋体" w:eastAsia="宋体" w:cs="宋体"/>
                <w:color w:val="0000FF"/>
                <w:kern w:val="1"/>
                <w:sz w:val="21"/>
                <w:szCs w:val="21"/>
                <w:highlight w:val="none"/>
                <w:u w:val="single"/>
                <w:lang w:eastAsia="zh-CN"/>
              </w:rPr>
              <w:t>）</w:t>
            </w:r>
            <w:r>
              <w:rPr>
                <w:rFonts w:hint="eastAsia" w:ascii="宋体" w:hAnsi="宋体" w:eastAsia="宋体" w:cs="宋体"/>
                <w:color w:val="0000FF"/>
                <w:kern w:val="1"/>
                <w:sz w:val="21"/>
                <w:szCs w:val="21"/>
                <w:highlight w:val="none"/>
                <w:u w:val="single"/>
              </w:rPr>
              <w:t>获得</w:t>
            </w:r>
            <w:r>
              <w:rPr>
                <w:rFonts w:hint="eastAsia" w:cs="宋体"/>
                <w:color w:val="0000FF"/>
                <w:kern w:val="1"/>
                <w:sz w:val="21"/>
                <w:szCs w:val="21"/>
                <w:highlight w:val="none"/>
                <w:u w:val="single"/>
              </w:rPr>
              <w:t>厦门市建筑施工企业信用综合评价</w:t>
            </w:r>
            <w:r>
              <w:rPr>
                <w:rFonts w:hint="eastAsia" w:ascii="宋体" w:hAnsi="宋体" w:eastAsia="宋体" w:cs="宋体"/>
                <w:color w:val="0000FF"/>
                <w:kern w:val="1"/>
                <w:sz w:val="21"/>
                <w:szCs w:val="21"/>
                <w:highlight w:val="none"/>
                <w:u w:val="single"/>
              </w:rPr>
              <w:t>等级及综合得分</w:t>
            </w:r>
            <w:r>
              <w:rPr>
                <w:rFonts w:hint="eastAsia" w:cs="宋体"/>
                <w:color w:val="0000FF"/>
                <w:kern w:val="1"/>
                <w:sz w:val="21"/>
                <w:szCs w:val="21"/>
                <w:highlight w:val="none"/>
                <w:u w:val="single"/>
              </w:rPr>
              <w:t>（施工总承包系列）</w:t>
            </w:r>
            <w:r>
              <w:rPr>
                <w:rFonts w:hint="eastAsia"/>
                <w:color w:val="0000FF"/>
                <w:sz w:val="21"/>
                <w:szCs w:val="21"/>
                <w:highlight w:val="none"/>
                <w:u w:val="single"/>
                <w:lang w:eastAsia="zh-CN"/>
              </w:rPr>
              <w:t>。</w:t>
            </w:r>
          </w:p>
          <w:p>
            <w:pPr>
              <w:pStyle w:val="58"/>
              <w:rPr>
                <w:rFonts w:hint="eastAsia" w:ascii="宋体" w:hAnsi="Calibri"/>
                <w:color w:val="0000FF"/>
                <w:kern w:val="2"/>
                <w:szCs w:val="21"/>
                <w:highlight w:val="none"/>
                <w:u w:val="single"/>
              </w:rPr>
            </w:pPr>
            <w:r>
              <w:rPr>
                <w:rFonts w:hint="eastAsia" w:ascii="宋体" w:hAnsi="Calibri"/>
                <w:color w:val="auto"/>
                <w:kern w:val="2"/>
                <w:szCs w:val="21"/>
                <w:highlight w:val="none"/>
              </w:rPr>
              <w:t>子要素证明材料要求：</w:t>
            </w:r>
            <w:r>
              <w:rPr>
                <w:rFonts w:hint="eastAsia" w:ascii="宋体" w:hAnsi="Calibri"/>
                <w:color w:val="0000FF"/>
                <w:kern w:val="2"/>
                <w:szCs w:val="21"/>
                <w:highlight w:val="none"/>
                <w:u w:val="single"/>
              </w:rPr>
              <w:t>应附上厦门市建设局官方网站相关截图或相关证明文件。</w:t>
            </w:r>
          </w:p>
          <w:p>
            <w:pPr>
              <w:pStyle w:val="58"/>
              <w:spacing w:beforeLines="50" w:afterLines="50" w:line="360" w:lineRule="auto"/>
              <w:ind w:firstLineChars="200"/>
              <w:rPr>
                <w:rFonts w:ascii="宋体" w:hAnsi="宋体"/>
                <w:color w:val="auto"/>
                <w:kern w:val="2"/>
                <w:szCs w:val="21"/>
                <w:highlight w:val="none"/>
                <w:u w:val="single"/>
              </w:rPr>
            </w:pPr>
            <w:r>
              <w:rPr>
                <w:rFonts w:hint="eastAsia" w:ascii="宋体" w:hAnsi="宋体"/>
                <w:color w:val="auto"/>
                <w:kern w:val="2"/>
                <w:szCs w:val="21"/>
                <w:highlight w:val="none"/>
              </w:rPr>
              <w:t>按照投标人须知前附表第1.4.2项第1条组成联合体投标的，考量信用时均以联合体中较高一方为准。</w:t>
            </w:r>
          </w:p>
          <w:p>
            <w:pPr>
              <w:numPr>
                <w:ilvl w:val="0"/>
                <w:numId w:val="18"/>
              </w:numPr>
              <w:autoSpaceDE w:val="0"/>
              <w:autoSpaceDN w:val="0"/>
              <w:spacing w:line="360" w:lineRule="auto"/>
              <w:jc w:val="left"/>
              <w:rPr>
                <w:rFonts w:hint="eastAsia" w:cs="宋体"/>
                <w:color w:val="auto"/>
                <w:sz w:val="21"/>
                <w:szCs w:val="21"/>
                <w:highlight w:val="none"/>
              </w:rPr>
            </w:pPr>
            <w:r>
              <w:rPr>
                <w:rFonts w:hint="eastAsia" w:cs="宋体"/>
                <w:color w:val="auto"/>
                <w:sz w:val="21"/>
                <w:szCs w:val="21"/>
                <w:highlight w:val="none"/>
              </w:rPr>
              <w:t>实力，包括以下子要素</w:t>
            </w:r>
            <w:r>
              <w:rPr>
                <w:rFonts w:hint="eastAsia" w:cs="宋体"/>
                <w:color w:val="auto"/>
                <w:sz w:val="21"/>
                <w:szCs w:val="21"/>
                <w:highlight w:val="none"/>
                <w:vertAlign w:val="superscript"/>
              </w:rPr>
              <w:footnoteReference w:id="26"/>
            </w:r>
            <w:r>
              <w:rPr>
                <w:rFonts w:hint="eastAsia" w:cs="宋体"/>
                <w:color w:val="auto"/>
                <w:sz w:val="21"/>
                <w:szCs w:val="21"/>
                <w:highlight w:val="none"/>
              </w:rPr>
              <w:t>：</w:t>
            </w:r>
          </w:p>
          <w:p>
            <w:pPr>
              <w:numPr>
                <w:ilvl w:val="-1"/>
                <w:numId w:val="0"/>
              </w:numPr>
              <w:autoSpaceDE w:val="0"/>
              <w:autoSpaceDN w:val="0"/>
              <w:spacing w:line="360" w:lineRule="auto"/>
              <w:jc w:val="left"/>
              <w:rPr>
                <w:rFonts w:hint="eastAsia" w:cs="宋体"/>
                <w:color w:val="auto"/>
                <w:sz w:val="21"/>
                <w:szCs w:val="21"/>
                <w:highlight w:val="none"/>
              </w:rPr>
            </w:pPr>
            <w:r>
              <w:rPr>
                <w:rFonts w:hint="eastAsia"/>
                <w:b/>
                <w:bCs/>
                <w:color w:val="auto"/>
                <w:sz w:val="21"/>
                <w:szCs w:val="21"/>
                <w:highlight w:val="none"/>
              </w:rPr>
              <w:t>（1）子要素内容：</w:t>
            </w:r>
            <w:r>
              <w:rPr>
                <w:rFonts w:hint="eastAsia"/>
                <w:color w:val="0000FF"/>
                <w:sz w:val="21"/>
                <w:szCs w:val="21"/>
                <w:highlight w:val="none"/>
                <w:u w:val="single"/>
              </w:rPr>
              <w:t>投标人建筑工程施工总承包资质等级。</w:t>
            </w:r>
          </w:p>
          <w:p>
            <w:pPr>
              <w:pStyle w:val="58"/>
              <w:spacing w:line="360" w:lineRule="auto"/>
              <w:rPr>
                <w:rFonts w:hint="eastAsia" w:ascii="宋体" w:hAnsi="宋体"/>
                <w:color w:val="0000FF"/>
                <w:kern w:val="0"/>
                <w:szCs w:val="21"/>
                <w:highlight w:val="none"/>
                <w:u w:val="single"/>
              </w:rPr>
            </w:pPr>
            <w:r>
              <w:rPr>
                <w:rFonts w:hint="eastAsia" w:ascii="宋体" w:hAnsi="宋体"/>
                <w:color w:val="auto"/>
                <w:kern w:val="0"/>
                <w:szCs w:val="21"/>
                <w:highlight w:val="none"/>
              </w:rPr>
              <w:t>子要素证明材料要求：</w:t>
            </w:r>
            <w:r>
              <w:rPr>
                <w:rFonts w:hint="eastAsia" w:ascii="宋体" w:hAnsi="宋体"/>
                <w:color w:val="0000FF"/>
                <w:kern w:val="0"/>
                <w:szCs w:val="21"/>
                <w:highlight w:val="none"/>
                <w:u w:val="single"/>
              </w:rPr>
              <w:t>应附上有效的施工总承包资质证书。</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Calibri" w:eastAsia="宋体" w:cs="Times New Roman"/>
                <w:color w:val="0000FF"/>
                <w:kern w:val="0"/>
                <w:sz w:val="21"/>
                <w:szCs w:val="21"/>
                <w:highlight w:val="none"/>
                <w:u w:val="single"/>
                <w:lang w:val="en-US" w:eastAsia="zh-CN" w:bidi="ar-SA"/>
              </w:rPr>
            </w:pPr>
            <w:r>
              <w:rPr>
                <w:rFonts w:hint="eastAsia"/>
                <w:b/>
                <w:bCs/>
                <w:color w:val="auto"/>
                <w:sz w:val="21"/>
                <w:szCs w:val="21"/>
                <w:highlight w:val="none"/>
              </w:rPr>
              <w:t>（</w:t>
            </w:r>
            <w:r>
              <w:rPr>
                <w:rFonts w:hint="eastAsia"/>
                <w:b/>
                <w:bCs/>
                <w:color w:val="auto"/>
                <w:sz w:val="21"/>
                <w:szCs w:val="21"/>
                <w:highlight w:val="none"/>
                <w:lang w:val="en-US" w:eastAsia="zh-CN"/>
              </w:rPr>
              <w:t>2</w:t>
            </w:r>
            <w:r>
              <w:rPr>
                <w:rFonts w:hint="eastAsia"/>
                <w:b/>
                <w:bCs/>
                <w:color w:val="auto"/>
                <w:sz w:val="21"/>
                <w:szCs w:val="21"/>
                <w:highlight w:val="none"/>
              </w:rPr>
              <w:t>）</w:t>
            </w:r>
            <w:r>
              <w:rPr>
                <w:rFonts w:hint="eastAsia" w:cs="Times New Roman"/>
                <w:b/>
                <w:bCs/>
                <w:color w:val="auto"/>
                <w:sz w:val="21"/>
                <w:szCs w:val="21"/>
                <w:highlight w:val="none"/>
                <w:lang w:val="en-US" w:eastAsia="zh-CN"/>
              </w:rPr>
              <w:t>子要素内容：</w:t>
            </w:r>
            <w:r>
              <w:rPr>
                <w:rFonts w:hint="eastAsia" w:ascii="宋体" w:hAnsi="宋体" w:eastAsia="宋体" w:cs="Times New Roman"/>
                <w:color w:val="0000FF"/>
                <w:kern w:val="0"/>
                <w:sz w:val="21"/>
                <w:szCs w:val="21"/>
                <w:highlight w:val="none"/>
                <w:u w:val="single"/>
                <w:lang w:val="en-US" w:eastAsia="zh-CN" w:bidi="ar-SA"/>
              </w:rPr>
              <w:t>投标人 202</w:t>
            </w:r>
            <w:r>
              <w:rPr>
                <w:rFonts w:hint="eastAsia" w:hAnsi="宋体" w:cs="Times New Roman"/>
                <w:color w:val="0000FF"/>
                <w:kern w:val="0"/>
                <w:sz w:val="21"/>
                <w:szCs w:val="21"/>
                <w:highlight w:val="none"/>
                <w:u w:val="single"/>
                <w:lang w:val="en-US" w:eastAsia="zh-CN" w:bidi="ar-SA"/>
              </w:rPr>
              <w:t>1</w:t>
            </w:r>
            <w:r>
              <w:rPr>
                <w:rFonts w:hint="eastAsia" w:ascii="宋体" w:hAnsi="宋体" w:eastAsia="宋体" w:cs="Times New Roman"/>
                <w:color w:val="0000FF"/>
                <w:kern w:val="0"/>
                <w:sz w:val="21"/>
                <w:szCs w:val="21"/>
                <w:highlight w:val="none"/>
                <w:u w:val="single"/>
                <w:lang w:val="en-US" w:eastAsia="zh-CN" w:bidi="ar-SA"/>
              </w:rPr>
              <w:t xml:space="preserve"> 年度（含）-202</w:t>
            </w:r>
            <w:r>
              <w:rPr>
                <w:rFonts w:hint="eastAsia" w:hAnsi="宋体" w:cs="Times New Roman"/>
                <w:color w:val="0000FF"/>
                <w:kern w:val="0"/>
                <w:sz w:val="21"/>
                <w:szCs w:val="21"/>
                <w:highlight w:val="none"/>
                <w:u w:val="single"/>
                <w:lang w:val="en-US" w:eastAsia="zh-CN" w:bidi="ar-SA"/>
              </w:rPr>
              <w:t>3</w:t>
            </w:r>
            <w:r>
              <w:rPr>
                <w:rFonts w:hint="eastAsia" w:ascii="宋体" w:hAnsi="宋体" w:eastAsia="宋体" w:cs="Times New Roman"/>
                <w:color w:val="0000FF"/>
                <w:kern w:val="0"/>
                <w:sz w:val="21"/>
                <w:szCs w:val="21"/>
                <w:highlight w:val="none"/>
                <w:u w:val="single"/>
                <w:lang w:val="en-US" w:eastAsia="zh-CN" w:bidi="ar-SA"/>
              </w:rPr>
              <w:t>年度（含）的建筑业总产值。</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Calibri" w:eastAsia="宋体" w:cs="Times New Roman"/>
                <w:color w:val="0000FF"/>
                <w:kern w:val="0"/>
                <w:sz w:val="21"/>
                <w:szCs w:val="21"/>
                <w:highlight w:val="none"/>
                <w:u w:val="single"/>
                <w:lang w:val="en-US" w:eastAsia="zh-CN" w:bidi="ar-SA"/>
              </w:rPr>
            </w:pPr>
            <w:r>
              <w:rPr>
                <w:rFonts w:hint="eastAsia" w:hAnsi="Calibri"/>
                <w:color w:val="auto"/>
                <w:sz w:val="21"/>
                <w:szCs w:val="21"/>
                <w:highlight w:val="none"/>
                <w:u w:val="none"/>
                <w:lang w:eastAsia="zh-CN"/>
              </w:rPr>
              <w:t>子要素证明材料：</w:t>
            </w:r>
            <w:r>
              <w:rPr>
                <w:rFonts w:hint="eastAsia" w:ascii="宋体" w:hAnsi="Calibri" w:eastAsia="宋体" w:cs="Times New Roman"/>
                <w:color w:val="0000FF"/>
                <w:kern w:val="0"/>
                <w:sz w:val="21"/>
                <w:szCs w:val="21"/>
                <w:highlight w:val="none"/>
                <w:u w:val="single"/>
                <w:lang w:val="en-US" w:eastAsia="zh-CN" w:bidi="ar-SA"/>
              </w:rPr>
              <w:t>提供统计局官方的“统计联网直报平台”系统截图。</w:t>
            </w:r>
          </w:p>
          <w:p>
            <w:pPr>
              <w:pStyle w:val="38"/>
              <w:numPr>
                <w:ilvl w:val="0"/>
                <w:numId w:val="0"/>
              </w:numPr>
              <w:autoSpaceDE/>
              <w:autoSpaceDN/>
              <w:spacing w:line="360" w:lineRule="auto"/>
              <w:jc w:val="left"/>
              <w:rPr>
                <w:rFonts w:hint="eastAsia" w:hAnsi="Calibri"/>
                <w:color w:val="auto"/>
                <w:sz w:val="21"/>
                <w:szCs w:val="21"/>
                <w:highlight w:val="none"/>
                <w:u w:val="single"/>
              </w:rPr>
            </w:pPr>
            <w:r>
              <w:rPr>
                <w:rFonts w:hint="eastAsia" w:ascii="宋体" w:hAnsi="宋体" w:eastAsia="宋体" w:cs="Times New Roman"/>
                <w:b/>
                <w:bCs/>
                <w:color w:val="auto"/>
                <w:sz w:val="21"/>
                <w:szCs w:val="21"/>
                <w:highlight w:val="none"/>
                <w:lang w:val="en-US" w:eastAsia="zh-CN"/>
              </w:rPr>
              <w:t>（</w:t>
            </w:r>
            <w:r>
              <w:rPr>
                <w:rFonts w:hint="eastAsia" w:cs="Times New Roman"/>
                <w:b/>
                <w:bCs/>
                <w:color w:val="auto"/>
                <w:sz w:val="21"/>
                <w:szCs w:val="21"/>
                <w:highlight w:val="none"/>
                <w:lang w:val="en-US" w:eastAsia="zh-CN"/>
              </w:rPr>
              <w:t>3</w:t>
            </w:r>
            <w:r>
              <w:rPr>
                <w:rFonts w:hint="eastAsia" w:ascii="宋体" w:hAnsi="宋体" w:eastAsia="宋体" w:cs="Times New Roman"/>
                <w:b/>
                <w:bCs/>
                <w:color w:val="auto"/>
                <w:sz w:val="21"/>
                <w:szCs w:val="21"/>
                <w:highlight w:val="none"/>
                <w:lang w:val="en-US" w:eastAsia="zh-CN"/>
              </w:rPr>
              <w:t>）</w:t>
            </w:r>
            <w:r>
              <w:rPr>
                <w:rFonts w:hint="eastAsia" w:ascii="宋体" w:hAnsi="宋体" w:eastAsia="宋体" w:cs="宋体"/>
                <w:sz w:val="21"/>
                <w:szCs w:val="21"/>
                <w:highlight w:val="none"/>
              </w:rPr>
              <w:t>子要素内容：</w:t>
            </w:r>
            <w:r>
              <w:rPr>
                <w:rFonts w:hint="eastAsia" w:hAnsi="Calibri"/>
                <w:color w:val="0000FF"/>
                <w:sz w:val="21"/>
                <w:szCs w:val="21"/>
                <w:highlight w:val="none"/>
                <w:u w:val="single"/>
              </w:rPr>
              <w:t>投标人自本招标项目在法定媒介发布招标公告之日的前五年内（含本招标项目在法定媒介发布招标公告之日）完成的并经竣工验收合格的</w:t>
            </w:r>
            <w:r>
              <w:rPr>
                <w:rFonts w:hint="eastAsia" w:cs="宋体"/>
                <w:color w:val="0000FF"/>
                <w:sz w:val="21"/>
                <w:szCs w:val="21"/>
                <w:highlight w:val="none"/>
                <w:u w:val="single"/>
                <w:shd w:val="clear"/>
                <w:lang w:eastAsia="zh-CN" w:bidi="zh-CN"/>
              </w:rPr>
              <w:t>单项合同单体建筑面积</w:t>
            </w:r>
            <w:r>
              <w:rPr>
                <w:rFonts w:hint="eastAsia" w:cs="宋体"/>
                <w:color w:val="0000FF"/>
                <w:sz w:val="21"/>
                <w:szCs w:val="21"/>
                <w:highlight w:val="none"/>
                <w:u w:val="single"/>
                <w:shd w:val="clear"/>
                <w:lang w:val="en-US" w:eastAsia="zh-CN" w:bidi="zh-CN"/>
              </w:rPr>
              <w:t>3万平方米及以上（或总建筑面积7.7万平方米及以上）的工业建筑工程</w:t>
            </w:r>
            <w:r>
              <w:rPr>
                <w:rFonts w:hint="eastAsia" w:hAnsi="Calibri"/>
                <w:color w:val="0000FF"/>
                <w:sz w:val="21"/>
                <w:szCs w:val="21"/>
                <w:highlight w:val="none"/>
                <w:u w:val="single"/>
              </w:rPr>
              <w:t xml:space="preserve">。  </w:t>
            </w:r>
          </w:p>
          <w:p>
            <w:pPr>
              <w:autoSpaceDE w:val="0"/>
              <w:autoSpaceDN w:val="0"/>
              <w:spacing w:line="360" w:lineRule="auto"/>
              <w:jc w:val="left"/>
              <w:rPr>
                <w:rFonts w:hint="eastAsia" w:hAnsi="Calibri"/>
                <w:color w:val="auto"/>
                <w:sz w:val="21"/>
                <w:szCs w:val="21"/>
                <w:highlight w:val="none"/>
                <w:u w:val="single"/>
                <w:lang w:eastAsia="zh-CN"/>
              </w:rPr>
            </w:pPr>
            <w:r>
              <w:rPr>
                <w:rFonts w:hint="eastAsia" w:hAnsi="Calibri"/>
                <w:color w:val="auto"/>
                <w:sz w:val="21"/>
                <w:szCs w:val="21"/>
                <w:highlight w:val="none"/>
                <w:u w:val="single"/>
                <w:lang w:eastAsia="zh-CN"/>
              </w:rPr>
              <w:t>【</w:t>
            </w:r>
            <w:r>
              <w:rPr>
                <w:rFonts w:hint="eastAsia" w:hAnsi="Calibri"/>
                <w:color w:val="0000FF"/>
                <w:sz w:val="21"/>
                <w:szCs w:val="21"/>
                <w:highlight w:val="none"/>
                <w:u w:val="single"/>
                <w:lang w:val="en-US" w:eastAsia="zh-CN"/>
              </w:rPr>
              <w:t>注：类似工程业绩属建筑工程施工总承包的，应为依法独立（非联合体）承接；类似工程业绩属建筑工程工程总承包（EPC）的，应为依法独立承接或联合体承接，若为联合体承接的，投标人应为联合体成员之一且至少应承担主体结构工程施工工作。</w:t>
            </w:r>
            <w:r>
              <w:rPr>
                <w:rFonts w:hint="eastAsia" w:hAnsi="Calibri"/>
                <w:color w:val="auto"/>
                <w:sz w:val="21"/>
                <w:szCs w:val="21"/>
                <w:highlight w:val="none"/>
                <w:u w:val="single"/>
                <w:lang w:eastAsia="zh-CN"/>
              </w:rPr>
              <w:t>】</w:t>
            </w:r>
          </w:p>
          <w:p>
            <w:pPr>
              <w:pStyle w:val="38"/>
              <w:autoSpaceDE/>
              <w:autoSpaceDN/>
              <w:spacing w:line="360" w:lineRule="auto"/>
              <w:ind w:firstLine="420" w:firstLineChars="200"/>
              <w:jc w:val="left"/>
              <w:rPr>
                <w:rFonts w:hint="eastAsia" w:hAnsi="Calibri"/>
                <w:color w:val="0000FF"/>
                <w:sz w:val="21"/>
                <w:szCs w:val="21"/>
                <w:highlight w:val="none"/>
                <w:u w:val="single"/>
                <w:lang w:eastAsia="zh-CN"/>
              </w:rPr>
            </w:pPr>
            <w:r>
              <w:rPr>
                <w:rFonts w:hint="eastAsia" w:hAnsi="Calibri"/>
                <w:color w:val="auto"/>
                <w:sz w:val="21"/>
                <w:szCs w:val="21"/>
                <w:highlight w:val="none"/>
                <w:u w:val="none"/>
                <w:lang w:eastAsia="zh-CN"/>
              </w:rPr>
              <w:t>子要素证明材料：</w:t>
            </w:r>
            <w:r>
              <w:rPr>
                <w:rFonts w:hint="eastAsia" w:hAnsi="Calibri"/>
                <w:color w:val="0000FF"/>
                <w:sz w:val="21"/>
                <w:szCs w:val="21"/>
                <w:highlight w:val="none"/>
                <w:u w:val="single"/>
                <w:lang w:eastAsia="zh-CN"/>
              </w:rPr>
              <w:t>应附上业绩施工合同、竣工验收证明、全国建筑市场监管公共服务平台或福建住房和城乡建设网的福建省建设行业信息公开平台的竣工验收备案信息或竣工验收信息查询页面截图等证明材料的扫描件并加盖投标单位电子公章，否则，其业绩不计。</w:t>
            </w:r>
          </w:p>
          <w:p>
            <w:pPr>
              <w:pStyle w:val="38"/>
              <w:autoSpaceDE/>
              <w:autoSpaceDN/>
              <w:spacing w:line="360" w:lineRule="auto"/>
              <w:ind w:firstLine="420" w:firstLineChars="200"/>
              <w:jc w:val="left"/>
              <w:rPr>
                <w:rFonts w:hint="eastAsia" w:ascii="宋体" w:hAnsi="宋体" w:eastAsia="宋体" w:cs="Times New Roman"/>
                <w:color w:val="0000FF"/>
                <w:kern w:val="0"/>
                <w:sz w:val="21"/>
                <w:szCs w:val="21"/>
                <w:highlight w:val="none"/>
                <w:u w:val="single"/>
                <w:lang w:val="en-US" w:eastAsia="zh-CN" w:bidi="ar-SA"/>
              </w:rPr>
            </w:pPr>
            <w:r>
              <w:rPr>
                <w:rFonts w:hint="eastAsia" w:ascii="宋体" w:hAnsi="宋体" w:eastAsia="宋体" w:cs="Times New Roman"/>
                <w:color w:val="0000FF"/>
                <w:kern w:val="0"/>
                <w:sz w:val="21"/>
                <w:szCs w:val="21"/>
                <w:highlight w:val="none"/>
                <w:u w:val="single"/>
                <w:lang w:val="en-US" w:eastAsia="zh-CN" w:bidi="ar-SA"/>
              </w:rPr>
              <w:t>其中：</w:t>
            </w:r>
          </w:p>
          <w:p>
            <w:pPr>
              <w:pStyle w:val="38"/>
              <w:autoSpaceDE/>
              <w:autoSpaceDN/>
              <w:spacing w:line="360" w:lineRule="auto"/>
              <w:ind w:firstLine="420" w:firstLineChars="200"/>
              <w:jc w:val="left"/>
              <w:rPr>
                <w:rFonts w:hint="eastAsia" w:ascii="宋体" w:hAnsi="宋体" w:eastAsia="宋体" w:cs="Times New Roman"/>
                <w:color w:val="0000FF"/>
                <w:kern w:val="0"/>
                <w:sz w:val="21"/>
                <w:szCs w:val="21"/>
                <w:highlight w:val="none"/>
                <w:u w:val="single"/>
                <w:lang w:val="en-US" w:eastAsia="zh-CN" w:bidi="ar-SA"/>
              </w:rPr>
            </w:pPr>
            <w:r>
              <w:rPr>
                <w:rFonts w:hint="eastAsia" w:ascii="宋体" w:hAnsi="宋体" w:eastAsia="宋体" w:cs="Times New Roman"/>
                <w:color w:val="0000FF"/>
                <w:kern w:val="0"/>
                <w:sz w:val="21"/>
                <w:szCs w:val="21"/>
                <w:highlight w:val="none"/>
                <w:u w:val="single"/>
                <w:lang w:val="en-US" w:eastAsia="zh-CN" w:bidi="ar-SA"/>
              </w:rPr>
              <w:t>①业绩施工合同（至少显示出发包人和承包人名称、项目名称、合同价、工程规模、签章时间）；</w:t>
            </w:r>
          </w:p>
          <w:p>
            <w:pPr>
              <w:pStyle w:val="38"/>
              <w:autoSpaceDE/>
              <w:autoSpaceDN/>
              <w:spacing w:line="360" w:lineRule="auto"/>
              <w:ind w:firstLine="420" w:firstLineChars="200"/>
              <w:jc w:val="left"/>
              <w:rPr>
                <w:rFonts w:hint="eastAsia" w:ascii="宋体" w:hAnsi="宋体" w:eastAsia="宋体" w:cs="Times New Roman"/>
                <w:color w:val="0000FF"/>
                <w:kern w:val="0"/>
                <w:sz w:val="21"/>
                <w:szCs w:val="21"/>
                <w:highlight w:val="none"/>
                <w:u w:val="single"/>
                <w:lang w:val="en-US" w:eastAsia="zh-CN" w:bidi="ar-SA"/>
              </w:rPr>
            </w:pPr>
            <w:r>
              <w:rPr>
                <w:rFonts w:hint="eastAsia" w:ascii="宋体" w:hAnsi="宋体" w:eastAsia="宋体" w:cs="Times New Roman"/>
                <w:color w:val="0000FF"/>
                <w:kern w:val="0"/>
                <w:sz w:val="21"/>
                <w:szCs w:val="21"/>
                <w:highlight w:val="none"/>
                <w:u w:val="single"/>
                <w:lang w:val="en-US" w:eastAsia="zh-CN" w:bidi="ar-SA"/>
              </w:rPr>
              <w:t>②竣工验收证明材料是指：指由建设单位、监理单位（若有）、施工单位、设计单位、勘察单位（若有）共同加盖公章的单位（子单位）工程质量竣工验收记录或竣工验收报告或竣工验收备案表等竣工验收证明材料。</w:t>
            </w:r>
          </w:p>
          <w:p>
            <w:pPr>
              <w:pStyle w:val="38"/>
              <w:autoSpaceDE/>
              <w:autoSpaceDN/>
              <w:spacing w:line="360" w:lineRule="auto"/>
              <w:ind w:firstLine="420" w:firstLineChars="200"/>
              <w:jc w:val="left"/>
              <w:rPr>
                <w:rFonts w:hint="eastAsia" w:ascii="宋体" w:hAnsi="宋体" w:eastAsia="宋体" w:cs="Times New Roman"/>
                <w:color w:val="0000FF"/>
                <w:kern w:val="0"/>
                <w:sz w:val="21"/>
                <w:szCs w:val="21"/>
                <w:highlight w:val="none"/>
                <w:u w:val="single"/>
                <w:lang w:val="en-US" w:eastAsia="zh-CN" w:bidi="ar-SA"/>
              </w:rPr>
            </w:pPr>
            <w:r>
              <w:rPr>
                <w:rFonts w:hint="eastAsia" w:ascii="宋体" w:hAnsi="宋体" w:eastAsia="宋体" w:cs="Times New Roman"/>
                <w:color w:val="0000FF"/>
                <w:kern w:val="0"/>
                <w:sz w:val="21"/>
                <w:szCs w:val="21"/>
                <w:highlight w:val="none"/>
                <w:u w:val="single"/>
                <w:lang w:val="en-US" w:eastAsia="zh-CN" w:bidi="ar-SA"/>
              </w:rPr>
              <w:t>③“类似工程业绩”时间以竣工验收日期为准，若竣工验收证明材料有多个日期的，则以建设单位或监理单位签署的最后日期为准。通过平台查询的“竣工验收日期”与上述竣工验收证明材料上的竣工验收日期不一致的，以较早时间为准。</w:t>
            </w:r>
          </w:p>
          <w:p>
            <w:pPr>
              <w:pStyle w:val="38"/>
              <w:autoSpaceDE/>
              <w:autoSpaceDN/>
              <w:spacing w:line="360" w:lineRule="auto"/>
              <w:ind w:firstLine="420" w:firstLineChars="200"/>
              <w:jc w:val="left"/>
              <w:rPr>
                <w:rFonts w:hint="eastAsia" w:ascii="宋体" w:hAnsi="宋体" w:eastAsia="宋体" w:cs="Times New Roman"/>
                <w:color w:val="0000FF"/>
                <w:kern w:val="0"/>
                <w:sz w:val="21"/>
                <w:szCs w:val="21"/>
                <w:highlight w:val="none"/>
                <w:u w:val="single"/>
                <w:lang w:val="en-US" w:eastAsia="zh-CN" w:bidi="ar-SA"/>
              </w:rPr>
            </w:pPr>
            <w:r>
              <w:rPr>
                <w:rFonts w:hint="eastAsia" w:ascii="宋体" w:hAnsi="宋体" w:eastAsia="宋体" w:cs="Times New Roman"/>
                <w:color w:val="0000FF"/>
                <w:kern w:val="0"/>
                <w:sz w:val="21"/>
                <w:szCs w:val="21"/>
                <w:highlight w:val="none"/>
                <w:u w:val="single"/>
                <w:lang w:val="en-US" w:eastAsia="zh-CN" w:bidi="ar-SA"/>
              </w:rPr>
              <w:t>④若业绩施工合同或竣工验收证明材料中均未标明招标文件中设置的“类似工程业绩”指标，应补充提交能恰当说明上述特征的证明材料，如：工程竣工图，工程造价的结算书或建设单位出具的证明文件等，否则其业绩不计。</w:t>
            </w:r>
          </w:p>
          <w:p>
            <w:pPr>
              <w:pStyle w:val="38"/>
              <w:autoSpaceDE/>
              <w:autoSpaceDN/>
              <w:spacing w:line="360" w:lineRule="auto"/>
              <w:ind w:firstLine="420" w:firstLineChars="200"/>
              <w:jc w:val="left"/>
              <w:rPr>
                <w:rFonts w:hint="eastAsia" w:ascii="宋体" w:hAnsi="宋体" w:eastAsia="宋体" w:cs="Times New Roman"/>
                <w:color w:val="0000FF"/>
                <w:kern w:val="0"/>
                <w:sz w:val="21"/>
                <w:szCs w:val="21"/>
                <w:highlight w:val="none"/>
                <w:u w:val="single"/>
                <w:lang w:val="en-US" w:eastAsia="zh-CN" w:bidi="ar-SA"/>
              </w:rPr>
            </w:pPr>
            <w:r>
              <w:rPr>
                <w:rFonts w:hint="eastAsia" w:ascii="宋体" w:hAnsi="宋体" w:eastAsia="宋体" w:cs="Times New Roman"/>
                <w:color w:val="0000FF"/>
                <w:kern w:val="0"/>
                <w:sz w:val="21"/>
                <w:szCs w:val="21"/>
                <w:highlight w:val="none"/>
                <w:u w:val="single"/>
                <w:lang w:val="en-US" w:eastAsia="zh-CN" w:bidi="ar-SA"/>
              </w:rPr>
              <w:t>⑤住房和城乡建设部门户网站的全国建筑市场监管公共服务平台（适用于在福建省行政区域外完成的业绩）或福建住房和城乡建设网的福建省建设行业信息公开平台（适用于在福建省行政区域内完成的业绩）的竣工验收备案信息或竣工验收信息查询页面截图。</w:t>
            </w:r>
          </w:p>
          <w:p>
            <w:pPr>
              <w:pStyle w:val="38"/>
              <w:autoSpaceDE/>
              <w:autoSpaceDN/>
              <w:spacing w:line="360" w:lineRule="auto"/>
              <w:ind w:firstLine="422" w:firstLineChars="200"/>
              <w:jc w:val="left"/>
              <w:rPr>
                <w:rFonts w:hint="eastAsia" w:ascii="宋体" w:hAnsi="宋体" w:eastAsia="宋体" w:cs="Times New Roman"/>
                <w:b/>
                <w:bCs/>
                <w:color w:val="FF0000"/>
                <w:kern w:val="0"/>
                <w:sz w:val="21"/>
                <w:szCs w:val="21"/>
                <w:highlight w:val="none"/>
                <w:u w:val="single"/>
                <w:lang w:val="en-US" w:eastAsia="zh-CN" w:bidi="ar-SA"/>
              </w:rPr>
            </w:pPr>
            <w:r>
              <w:rPr>
                <w:rFonts w:hint="eastAsia" w:ascii="宋体" w:hAnsi="宋体" w:cs="Times New Roman"/>
                <w:b/>
                <w:bCs/>
                <w:color w:val="FF0000"/>
                <w:kern w:val="0"/>
                <w:sz w:val="21"/>
                <w:szCs w:val="21"/>
                <w:highlight w:val="none"/>
                <w:u w:val="single"/>
                <w:lang w:val="en-US" w:eastAsia="zh-CN" w:bidi="ar-SA"/>
              </w:rPr>
              <w:t>⑥</w:t>
            </w:r>
            <w:r>
              <w:rPr>
                <w:rFonts w:hint="eastAsia" w:ascii="宋体" w:hAnsi="宋体" w:eastAsia="宋体" w:cs="Times New Roman"/>
                <w:b/>
                <w:bCs/>
                <w:color w:val="FF0000"/>
                <w:kern w:val="0"/>
                <w:sz w:val="21"/>
                <w:szCs w:val="21"/>
                <w:highlight w:val="none"/>
                <w:u w:val="single"/>
                <w:lang w:val="en-US" w:eastAsia="zh-CN" w:bidi="ar-SA"/>
              </w:rPr>
              <w:t>基础相连的群体建筑，地下结构的面积及地上某一单体面积累计可以作为单体建筑面积。</w:t>
            </w:r>
          </w:p>
          <w:p>
            <w:pPr>
              <w:pStyle w:val="9"/>
              <w:keepNext w:val="0"/>
              <w:keepLines w:val="0"/>
              <w:pageBreakBefore w:val="0"/>
              <w:widowControl w:val="0"/>
              <w:numPr>
                <w:ilvl w:val="-1"/>
                <w:numId w:val="0"/>
              </w:numPr>
              <w:suppressLineNumbers w:val="0"/>
              <w:kinsoku/>
              <w:wordWrap/>
              <w:overflowPunct/>
              <w:topLinePunct w:val="0"/>
              <w:autoSpaceDE/>
              <w:autoSpaceDN/>
              <w:bidi w:val="0"/>
              <w:adjustRightInd/>
              <w:snapToGrid w:val="0"/>
              <w:spacing w:line="360" w:lineRule="auto"/>
              <w:ind w:firstLineChars="200"/>
              <w:jc w:val="left"/>
              <w:textAlignment w:val="auto"/>
              <w:rPr>
                <w:rFonts w:hint="eastAsia" w:ascii="宋体" w:hAnsi="宋体" w:eastAsia="宋体" w:cs="Times New Roman"/>
                <w:color w:val="0000FF"/>
                <w:kern w:val="0"/>
                <w:sz w:val="21"/>
                <w:szCs w:val="21"/>
                <w:highlight w:val="none"/>
                <w:u w:val="single"/>
                <w:lang w:val="en-US" w:eastAsia="zh-CN" w:bidi="ar-SA"/>
              </w:rPr>
            </w:pPr>
            <w:r>
              <w:rPr>
                <w:rFonts w:hint="eastAsia" w:ascii="宋体" w:hAnsi="宋体" w:cs="Times New Roman"/>
                <w:b w:val="0"/>
                <w:bCs w:val="0"/>
                <w:color w:val="FF0000"/>
                <w:kern w:val="0"/>
                <w:sz w:val="21"/>
                <w:szCs w:val="21"/>
                <w:highlight w:val="none"/>
                <w:u w:val="single"/>
                <w:lang w:val="en-US" w:eastAsia="zh-CN" w:bidi="ar-SA"/>
              </w:rPr>
              <w:t>⑦</w:t>
            </w:r>
            <w:r>
              <w:rPr>
                <w:rFonts w:hint="eastAsia" w:ascii="宋体" w:hAnsi="宋体" w:eastAsia="宋体" w:cs="Times New Roman"/>
                <w:color w:val="0000FF"/>
                <w:kern w:val="0"/>
                <w:sz w:val="21"/>
                <w:szCs w:val="21"/>
                <w:highlight w:val="none"/>
                <w:u w:val="single"/>
                <w:lang w:val="en-US" w:eastAsia="zh-CN" w:bidi="ar-SA"/>
              </w:rPr>
              <w:t>在全国建筑市场监管公共服务平台、福建省建设行业信息公开平台上查询到的类似业绩项目基本信息数据等级显示为“D”或没有显示数据等级的，投标人在投标文件中除上传招标文件要求提供的相关资料外，还应上传业绩项目的施工许可证和发票的原件扫描件。如业绩项目没有独立施工许可证的，应上传业绩项目的总承包项目施工许可证。上传的发票应为预付款或进度款或竣工结算款发票，且上传发票合计金额应不低于业绩项目合同协议书上载明金额 20%。其中，“基本信息数据等级”按以下标准认定：</w:t>
            </w:r>
          </w:p>
          <w:p>
            <w:pPr>
              <w:pStyle w:val="9"/>
              <w:keepNext w:val="0"/>
              <w:keepLines w:val="0"/>
              <w:pageBreakBefore w:val="0"/>
              <w:widowControl w:val="0"/>
              <w:numPr>
                <w:ilvl w:val="-1"/>
                <w:numId w:val="0"/>
              </w:numPr>
              <w:suppressLineNumbers w:val="0"/>
              <w:kinsoku/>
              <w:wordWrap/>
              <w:overflowPunct/>
              <w:topLinePunct w:val="0"/>
              <w:autoSpaceDE/>
              <w:autoSpaceDN/>
              <w:bidi w:val="0"/>
              <w:adjustRightInd/>
              <w:snapToGrid w:val="0"/>
              <w:spacing w:line="360" w:lineRule="auto"/>
              <w:ind w:firstLineChars="200"/>
              <w:jc w:val="left"/>
              <w:textAlignment w:val="auto"/>
              <w:rPr>
                <w:rFonts w:hint="eastAsia" w:ascii="宋体" w:hAnsi="宋体" w:eastAsia="宋体" w:cs="Times New Roman"/>
                <w:color w:val="0000FF"/>
                <w:kern w:val="0"/>
                <w:sz w:val="21"/>
                <w:szCs w:val="21"/>
                <w:highlight w:val="none"/>
                <w:u w:val="single"/>
                <w:lang w:val="en-US" w:eastAsia="zh-CN" w:bidi="ar-SA"/>
              </w:rPr>
            </w:pPr>
            <w:r>
              <w:rPr>
                <w:rFonts w:hint="eastAsia" w:ascii="宋体" w:hAnsi="宋体" w:eastAsia="宋体" w:cs="Times New Roman"/>
                <w:color w:val="0000FF"/>
                <w:kern w:val="0"/>
                <w:sz w:val="21"/>
                <w:szCs w:val="21"/>
                <w:highlight w:val="none"/>
                <w:u w:val="single"/>
                <w:lang w:val="en-US" w:eastAsia="zh-CN" w:bidi="ar-SA"/>
              </w:rPr>
              <w:t>1.根据规定须通过全国建筑市场监管公共服务平台查询业绩的，以该平台的“工程基本信息"模块或“竣工验收”模块中显示的最高数据等级为准；</w:t>
            </w:r>
          </w:p>
          <w:p>
            <w:pPr>
              <w:pStyle w:val="9"/>
              <w:keepNext w:val="0"/>
              <w:keepLines w:val="0"/>
              <w:pageBreakBefore w:val="0"/>
              <w:widowControl w:val="0"/>
              <w:numPr>
                <w:ilvl w:val="-1"/>
                <w:numId w:val="0"/>
              </w:numPr>
              <w:suppressLineNumbers w:val="0"/>
              <w:kinsoku/>
              <w:wordWrap/>
              <w:overflowPunct/>
              <w:topLinePunct w:val="0"/>
              <w:autoSpaceDE/>
              <w:autoSpaceDN/>
              <w:bidi w:val="0"/>
              <w:adjustRightInd/>
              <w:snapToGrid w:val="0"/>
              <w:spacing w:line="360" w:lineRule="auto"/>
              <w:ind w:firstLineChars="200"/>
              <w:jc w:val="left"/>
              <w:textAlignment w:val="auto"/>
              <w:rPr>
                <w:rFonts w:hint="eastAsia"/>
                <w:color w:val="0000FF"/>
                <w:kern w:val="0"/>
                <w:sz w:val="21"/>
                <w:szCs w:val="21"/>
                <w:highlight w:val="none"/>
                <w:u w:val="single"/>
                <w:lang w:val="en-US" w:eastAsia="zh-CN"/>
              </w:rPr>
            </w:pPr>
            <w:r>
              <w:rPr>
                <w:rFonts w:hint="eastAsia" w:ascii="宋体" w:hAnsi="宋体" w:eastAsia="宋体" w:cs="Times New Roman"/>
                <w:color w:val="0000FF"/>
                <w:kern w:val="0"/>
                <w:sz w:val="21"/>
                <w:szCs w:val="21"/>
                <w:highlight w:val="none"/>
                <w:u w:val="single"/>
                <w:lang w:val="en-US" w:eastAsia="zh-CN" w:bidi="ar-SA"/>
              </w:rPr>
              <w:t xml:space="preserve">2.根据规定须通过福建省建设行业信息公开平台查询业绩的，以该平台的“项目信息详情”模块、“基本工程信息”模块或竣工验收相关模块中的最高数据等级为准。上述模块在“数据等级变更记录”中有变更的，该模块数据等级以变更后的为准。 </w:t>
            </w:r>
          </w:p>
          <w:p>
            <w:pPr>
              <w:autoSpaceDE w:val="0"/>
              <w:autoSpaceDN w:val="0"/>
              <w:spacing w:line="360" w:lineRule="auto"/>
              <w:jc w:val="left"/>
              <w:rPr>
                <w:rFonts w:hAnsi="Calibri"/>
                <w:color w:val="auto"/>
                <w:sz w:val="21"/>
                <w:szCs w:val="21"/>
                <w:highlight w:val="none"/>
                <w:u w:val="single"/>
              </w:rPr>
            </w:pPr>
            <w:r>
              <w:rPr>
                <w:rFonts w:hint="eastAsia"/>
                <w:b/>
                <w:bCs/>
                <w:color w:val="auto"/>
                <w:sz w:val="21"/>
                <w:szCs w:val="21"/>
                <w:highlight w:val="none"/>
                <w:lang w:eastAsia="zh-CN"/>
              </w:rPr>
              <w:t>（</w:t>
            </w:r>
            <w:r>
              <w:rPr>
                <w:rFonts w:hint="eastAsia"/>
                <w:b/>
                <w:bCs/>
                <w:color w:val="auto"/>
                <w:sz w:val="21"/>
                <w:szCs w:val="21"/>
                <w:highlight w:val="none"/>
                <w:lang w:val="en-US" w:eastAsia="zh-CN"/>
              </w:rPr>
              <w:t>4</w:t>
            </w:r>
            <w:r>
              <w:rPr>
                <w:rFonts w:hint="eastAsia"/>
                <w:b/>
                <w:bCs/>
                <w:color w:val="auto"/>
                <w:sz w:val="21"/>
                <w:szCs w:val="21"/>
                <w:highlight w:val="none"/>
                <w:lang w:eastAsia="zh-CN"/>
              </w:rPr>
              <w:t>）</w:t>
            </w:r>
            <w:r>
              <w:rPr>
                <w:rFonts w:hint="eastAsia"/>
                <w:b/>
                <w:bCs/>
                <w:color w:val="auto"/>
                <w:sz w:val="21"/>
                <w:szCs w:val="21"/>
                <w:highlight w:val="none"/>
              </w:rPr>
              <w:t>子要素内容：</w:t>
            </w:r>
            <w:r>
              <w:rPr>
                <w:rFonts w:hint="eastAsia"/>
                <w:color w:val="0000FF"/>
                <w:sz w:val="21"/>
                <w:szCs w:val="21"/>
                <w:highlight w:val="none"/>
                <w:u w:val="single"/>
              </w:rPr>
              <w:t>投标人</w:t>
            </w:r>
            <w:r>
              <w:rPr>
                <w:rFonts w:hint="eastAsia" w:hAnsi="Calibri"/>
                <w:color w:val="0000FF"/>
                <w:sz w:val="21"/>
                <w:szCs w:val="21"/>
                <w:highlight w:val="none"/>
                <w:u w:val="single"/>
              </w:rPr>
              <w:t>自本招标项目在法定媒介发布招标公告之日的前五年内（含本招标项目在法定媒介发布招标公告之日）</w:t>
            </w:r>
            <w:r>
              <w:rPr>
                <w:rFonts w:hint="eastAsia"/>
                <w:color w:val="0000FF"/>
                <w:sz w:val="21"/>
                <w:szCs w:val="21"/>
                <w:highlight w:val="none"/>
                <w:u w:val="single"/>
                <w:lang w:eastAsia="zh-CN"/>
              </w:rPr>
              <w:t>工程</w:t>
            </w:r>
            <w:r>
              <w:rPr>
                <w:rFonts w:hint="eastAsia"/>
                <w:color w:val="0000FF"/>
                <w:sz w:val="21"/>
                <w:szCs w:val="21"/>
                <w:highlight w:val="none"/>
                <w:u w:val="single"/>
              </w:rPr>
              <w:t>获奖情况</w:t>
            </w:r>
            <w:r>
              <w:rPr>
                <w:rFonts w:hint="eastAsia"/>
                <w:color w:val="0000FF"/>
                <w:sz w:val="21"/>
                <w:szCs w:val="21"/>
                <w:highlight w:val="none"/>
                <w:u w:val="single"/>
                <w:lang w:eastAsia="zh-CN"/>
              </w:rPr>
              <w:t>（仅</w:t>
            </w:r>
            <w:r>
              <w:rPr>
                <w:rFonts w:hint="eastAsia"/>
                <w:color w:val="0000FF"/>
                <w:sz w:val="21"/>
                <w:szCs w:val="21"/>
                <w:highlight w:val="none"/>
                <w:u w:val="single"/>
              </w:rPr>
              <w:t>限于设区市级优质工程奖项、省级优质工程奖项、中国建设工程鲁班奖、国家优质工程奖、中国土木工程詹天佑奖</w:t>
            </w:r>
            <w:r>
              <w:rPr>
                <w:rFonts w:hint="eastAsia"/>
                <w:color w:val="0000FF"/>
                <w:sz w:val="21"/>
                <w:szCs w:val="21"/>
                <w:highlight w:val="none"/>
                <w:u w:val="single"/>
                <w:lang w:eastAsia="zh-CN"/>
              </w:rPr>
              <w:t>）</w:t>
            </w:r>
            <w:r>
              <w:rPr>
                <w:rFonts w:hint="eastAsia"/>
                <w:color w:val="0000FF"/>
                <w:sz w:val="21"/>
                <w:szCs w:val="21"/>
                <w:highlight w:val="none"/>
                <w:u w:val="single"/>
              </w:rPr>
              <w:t>，奖项认定时间以获奖文件的印发时间为准。获奖工程的承包方式应为施工总承包方式且合同身份为独立承包人（非联合体承包）。</w:t>
            </w:r>
          </w:p>
          <w:p>
            <w:pPr>
              <w:pStyle w:val="58"/>
              <w:spacing w:line="360" w:lineRule="auto"/>
              <w:ind w:firstLineChars="200"/>
              <w:rPr>
                <w:rFonts w:hint="eastAsia"/>
                <w:color w:val="0000FF"/>
                <w:highlight w:val="none"/>
                <w:u w:val="single"/>
                <w:lang w:eastAsia="zh-CN"/>
              </w:rPr>
            </w:pPr>
            <w:r>
              <w:rPr>
                <w:rFonts w:hint="eastAsia" w:ascii="宋体" w:hAnsi="宋体"/>
                <w:color w:val="auto"/>
                <w:kern w:val="2"/>
                <w:szCs w:val="21"/>
                <w:highlight w:val="none"/>
              </w:rPr>
              <w:t>子要素证明材料要求：</w:t>
            </w:r>
            <w:r>
              <w:rPr>
                <w:rFonts w:hint="eastAsia" w:ascii="宋体" w:hAnsi="宋体"/>
                <w:color w:val="0000FF"/>
                <w:kern w:val="2"/>
                <w:szCs w:val="21"/>
                <w:highlight w:val="none"/>
                <w:u w:val="single"/>
              </w:rPr>
              <w:t>应附上获奖证明文件（包括获奖证书或获奖批文）以及获奖工程的施工合同</w:t>
            </w:r>
            <w:r>
              <w:rPr>
                <w:rFonts w:hint="eastAsia" w:ascii="宋体" w:hAnsi="宋体"/>
                <w:color w:val="0000FF"/>
                <w:kern w:val="2"/>
                <w:szCs w:val="21"/>
                <w:highlight w:val="none"/>
                <w:u w:val="single"/>
                <w:lang w:eastAsia="zh-CN"/>
              </w:rPr>
              <w:t>【注：①获奖证明文件和施工合同应能体现投标人名称；②同一项目获得多个奖项的，以最高奖项认定，不重复计算；】</w:t>
            </w:r>
            <w:r>
              <w:rPr>
                <w:rFonts w:hint="eastAsia" w:ascii="宋体" w:hAnsi="宋体"/>
                <w:color w:val="0000FF"/>
                <w:kern w:val="2"/>
                <w:szCs w:val="21"/>
                <w:highlight w:val="none"/>
              </w:rPr>
              <w:t>。</w:t>
            </w:r>
          </w:p>
          <w:p>
            <w:pPr>
              <w:keepNext w:val="0"/>
              <w:keepLines w:val="0"/>
              <w:widowControl/>
              <w:numPr>
                <w:ilvl w:val="0"/>
                <w:numId w:val="0"/>
              </w:numPr>
              <w:suppressLineNumbers w:val="0"/>
              <w:autoSpaceDE w:val="0"/>
              <w:autoSpaceDN w:val="0"/>
              <w:spacing w:line="360" w:lineRule="auto"/>
              <w:jc w:val="left"/>
              <w:rPr>
                <w:rFonts w:hint="eastAsia"/>
                <w:color w:val="0000FF"/>
                <w:sz w:val="21"/>
                <w:szCs w:val="21"/>
                <w:highlight w:val="none"/>
                <w:u w:val="single"/>
              </w:rPr>
            </w:pPr>
            <w:r>
              <w:rPr>
                <w:rFonts w:hint="eastAsia" w:ascii="宋体" w:hAnsi="宋体" w:eastAsia="宋体" w:cs="宋体"/>
                <w:b/>
                <w:bCs/>
                <w:color w:val="auto"/>
                <w:sz w:val="21"/>
                <w:szCs w:val="21"/>
                <w:highlight w:val="none"/>
                <w:lang w:val="en-US" w:eastAsia="zh-CN"/>
              </w:rPr>
              <w:t>（</w:t>
            </w:r>
            <w:r>
              <w:rPr>
                <w:rFonts w:hint="eastAsia" w:cs="宋体"/>
                <w:b/>
                <w:bCs/>
                <w:color w:val="auto"/>
                <w:sz w:val="21"/>
                <w:szCs w:val="21"/>
                <w:highlight w:val="none"/>
                <w:lang w:val="en-US" w:eastAsia="zh-CN"/>
              </w:rPr>
              <w:t>5</w:t>
            </w:r>
            <w:r>
              <w:rPr>
                <w:rFonts w:hint="eastAsia" w:ascii="宋体" w:hAnsi="宋体" w:eastAsia="宋体" w:cs="宋体"/>
                <w:b/>
                <w:bCs/>
                <w:color w:val="auto"/>
                <w:sz w:val="21"/>
                <w:szCs w:val="21"/>
                <w:highlight w:val="none"/>
                <w:lang w:val="en-US" w:eastAsia="zh-CN"/>
              </w:rPr>
              <w:t>）</w:t>
            </w:r>
            <w:r>
              <w:rPr>
                <w:rFonts w:hint="eastAsia" w:ascii="宋体" w:hAnsi="宋体" w:eastAsia="宋体" w:cs="Times New Roman"/>
                <w:b/>
                <w:bCs/>
                <w:color w:val="000000"/>
                <w:kern w:val="0"/>
                <w:sz w:val="21"/>
                <w:szCs w:val="21"/>
                <w:highlight w:val="none"/>
                <w:lang w:val="en-US" w:eastAsia="zh-CN" w:bidi="ar"/>
              </w:rPr>
              <w:t>子要素内容：</w:t>
            </w:r>
            <w:r>
              <w:rPr>
                <w:rFonts w:hint="eastAsia" w:ascii="宋体" w:hAnsi="宋体" w:eastAsia="宋体" w:cs="Times New Roman"/>
                <w:color w:val="000000"/>
                <w:kern w:val="0"/>
                <w:sz w:val="21"/>
                <w:szCs w:val="21"/>
                <w:highlight w:val="none"/>
                <w:u w:val="single"/>
                <w:lang w:val="en-US" w:eastAsia="zh-CN" w:bidi="ar"/>
              </w:rPr>
              <w:t>拟</w:t>
            </w:r>
            <w:r>
              <w:rPr>
                <w:rFonts w:hint="eastAsia" w:ascii="宋体" w:hAnsi="宋体" w:eastAsia="宋体" w:cs="Times New Roman"/>
                <w:color w:val="000000"/>
                <w:kern w:val="0"/>
                <w:sz w:val="21"/>
                <w:szCs w:val="21"/>
                <w:highlight w:val="none"/>
                <w:u w:val="single"/>
                <w:lang w:val="en-US" w:eastAsia="zh-CN" w:bidi="ar"/>
              </w:rPr>
              <w:t>派团队人员配备情况：投标人 根据项目实际，满足《福建省房建和市政基础设施工 程项目部施工管理人员配备标准》（闽建建〔2018〕37 号）文的配备标准及《福建省住房和城乡建设厅关 于启用政务服务系统拟派出施工现场管理人员配备功能的通知》（闽建筑函〔2022〕35 号）要求，设置相应数量和岗。要求如下：项目负责人、项目技术负责人、质量员、机械员、材料员、劳务员各</w:t>
            </w:r>
            <w:r>
              <w:rPr>
                <w:rFonts w:hint="eastAsia" w:cs="Times New Roman"/>
                <w:color w:val="0000FF"/>
                <w:kern w:val="0"/>
                <w:sz w:val="21"/>
                <w:szCs w:val="21"/>
                <w:highlight w:val="none"/>
                <w:u w:val="single"/>
                <w:lang w:val="en-US" w:eastAsia="zh-CN" w:bidi="ar"/>
              </w:rPr>
              <w:t>1</w:t>
            </w:r>
            <w:r>
              <w:rPr>
                <w:rFonts w:hint="eastAsia" w:ascii="宋体" w:hAnsi="宋体" w:eastAsia="宋体" w:cs="Times New Roman"/>
                <w:color w:val="000000"/>
                <w:kern w:val="0"/>
                <w:sz w:val="21"/>
                <w:szCs w:val="21"/>
                <w:highlight w:val="none"/>
                <w:u w:val="single"/>
                <w:lang w:val="en-US" w:eastAsia="zh-CN" w:bidi="ar"/>
              </w:rPr>
              <w:t>人，</w:t>
            </w:r>
            <w:r>
              <w:rPr>
                <w:rFonts w:hint="eastAsia" w:ascii="宋体" w:hAnsi="宋体" w:eastAsia="宋体" w:cs="Times New Roman"/>
                <w:color w:val="0000FF"/>
                <w:kern w:val="0"/>
                <w:sz w:val="21"/>
                <w:szCs w:val="21"/>
                <w:highlight w:val="none"/>
                <w:u w:val="single"/>
                <w:lang w:val="en-US" w:eastAsia="zh-CN" w:bidi="ar"/>
              </w:rPr>
              <w:t>专职安全生产管理人员 2 人,</w:t>
            </w:r>
            <w:r>
              <w:rPr>
                <w:rFonts w:hint="eastAsia" w:ascii="宋体" w:hAnsi="宋体" w:eastAsia="宋体" w:cs="Times New Roman"/>
                <w:color w:val="000000"/>
                <w:kern w:val="0"/>
                <w:sz w:val="21"/>
                <w:szCs w:val="21"/>
                <w:highlight w:val="none"/>
                <w:u w:val="single"/>
                <w:lang w:val="en-US" w:eastAsia="zh-CN" w:bidi="ar"/>
              </w:rPr>
              <w:t xml:space="preserve">施工员 </w:t>
            </w:r>
            <w:r>
              <w:rPr>
                <w:rFonts w:hint="eastAsia" w:ascii="宋体" w:hAnsi="宋体" w:eastAsia="宋体" w:cs="Times New Roman"/>
                <w:color w:val="0000FF"/>
                <w:kern w:val="0"/>
                <w:sz w:val="21"/>
                <w:szCs w:val="21"/>
                <w:highlight w:val="none"/>
                <w:u w:val="single"/>
                <w:lang w:val="en-US" w:eastAsia="zh-CN" w:bidi="ar"/>
              </w:rPr>
              <w:t>3</w:t>
            </w:r>
            <w:r>
              <w:rPr>
                <w:rFonts w:hint="eastAsia" w:ascii="宋体" w:hAnsi="宋体" w:eastAsia="宋体" w:cs="Times New Roman"/>
                <w:color w:val="000000"/>
                <w:kern w:val="0"/>
                <w:sz w:val="21"/>
                <w:szCs w:val="21"/>
                <w:highlight w:val="none"/>
                <w:u w:val="single"/>
                <w:lang w:val="en-US" w:eastAsia="zh-CN" w:bidi="ar"/>
              </w:rPr>
              <w:t xml:space="preserve">人。主要考察项目管理人员的中（高）级职称或注册执业资格证情况，投标人自行提供项目管理人员的中（高）级职称或注执业资格证，所有人员岗位不得兼任。 </w:t>
            </w:r>
          </w:p>
          <w:p>
            <w:pPr>
              <w:keepNext w:val="0"/>
              <w:keepLines w:val="0"/>
              <w:widowControl/>
              <w:numPr>
                <w:ilvl w:val="0"/>
                <w:numId w:val="0"/>
              </w:numPr>
              <w:suppressLineNumbers w:val="0"/>
              <w:autoSpaceDE w:val="0"/>
              <w:autoSpaceDN w:val="0"/>
              <w:spacing w:line="360" w:lineRule="auto"/>
              <w:ind w:firstLine="420" w:firstLineChars="200"/>
              <w:jc w:val="left"/>
              <w:rPr>
                <w:rFonts w:hint="eastAsia" w:ascii="宋体" w:hAnsi="宋体" w:eastAsia="宋体" w:cs="Times New Roman"/>
                <w:color w:val="0000FF"/>
                <w:kern w:val="0"/>
                <w:sz w:val="21"/>
                <w:szCs w:val="21"/>
                <w:highlight w:val="none"/>
                <w:u w:val="single"/>
                <w:lang w:val="en-US" w:eastAsia="zh-CN" w:bidi="ar"/>
              </w:rPr>
            </w:pPr>
            <w:r>
              <w:rPr>
                <w:rFonts w:hint="eastAsia" w:ascii="宋体" w:hAnsi="宋体" w:eastAsia="宋体" w:cs="Times New Roman"/>
                <w:color w:val="000000"/>
                <w:kern w:val="0"/>
                <w:sz w:val="21"/>
                <w:szCs w:val="21"/>
                <w:highlight w:val="none"/>
                <w:u w:val="single"/>
                <w:lang w:val="en-US" w:eastAsia="zh-CN" w:bidi="ar"/>
              </w:rPr>
              <w:t>子要素证明材料要求：证明材料应同时附上：</w:t>
            </w:r>
          </w:p>
          <w:p>
            <w:pPr>
              <w:keepNext w:val="0"/>
              <w:keepLines w:val="0"/>
              <w:widowControl/>
              <w:numPr>
                <w:ilvl w:val="0"/>
                <w:numId w:val="0"/>
              </w:numPr>
              <w:suppressLineNumbers w:val="0"/>
              <w:autoSpaceDE w:val="0"/>
              <w:autoSpaceDN w:val="0"/>
              <w:spacing w:line="360" w:lineRule="auto"/>
              <w:ind w:firstLine="420" w:firstLineChars="200"/>
              <w:jc w:val="left"/>
              <w:rPr>
                <w:rFonts w:hint="eastAsia"/>
                <w:color w:val="0000FF"/>
                <w:sz w:val="21"/>
                <w:szCs w:val="21"/>
                <w:highlight w:val="none"/>
                <w:u w:val="single"/>
              </w:rPr>
            </w:pPr>
            <w:r>
              <w:rPr>
                <w:rFonts w:hint="eastAsia" w:ascii="宋体" w:hAnsi="宋体" w:eastAsia="宋体" w:cs="Times New Roman"/>
                <w:color w:val="000000"/>
                <w:kern w:val="0"/>
                <w:sz w:val="21"/>
                <w:szCs w:val="21"/>
                <w:highlight w:val="none"/>
                <w:u w:val="single"/>
                <w:lang w:val="en-US" w:eastAsia="zh-CN" w:bidi="ar"/>
              </w:rPr>
              <w:t xml:space="preserve">1.拟派出管理人员须通过福建省住房和城乡建设政务服务系统登记的人员中选取，并附上在系统上生成的《拟派出施工现场管理人员表》，《拟派出施工现场管理人员表》列明的管理人员，应满足招标文件的人员岗位和数量要。 </w:t>
            </w:r>
          </w:p>
          <w:p>
            <w:pPr>
              <w:keepNext w:val="0"/>
              <w:keepLines w:val="0"/>
              <w:widowControl/>
              <w:numPr>
                <w:ilvl w:val="0"/>
                <w:numId w:val="0"/>
              </w:numPr>
              <w:suppressLineNumbers w:val="0"/>
              <w:autoSpaceDE w:val="0"/>
              <w:autoSpaceDN w:val="0"/>
              <w:spacing w:line="360" w:lineRule="auto"/>
              <w:ind w:firstLine="420" w:firstLineChars="200"/>
              <w:jc w:val="left"/>
              <w:rPr>
                <w:rFonts w:hint="eastAsia"/>
                <w:color w:val="0000FF"/>
                <w:sz w:val="21"/>
                <w:szCs w:val="21"/>
                <w:highlight w:val="none"/>
                <w:u w:val="single"/>
              </w:rPr>
            </w:pPr>
            <w:r>
              <w:rPr>
                <w:rFonts w:hint="eastAsia" w:ascii="宋体" w:hAnsi="宋体" w:eastAsia="宋体" w:cs="Times New Roman"/>
                <w:color w:val="000000"/>
                <w:kern w:val="0"/>
                <w:sz w:val="21"/>
                <w:szCs w:val="21"/>
                <w:highlight w:val="none"/>
                <w:u w:val="single"/>
                <w:lang w:val="en-US" w:eastAsia="zh-CN" w:bidi="ar"/>
              </w:rPr>
              <w:t xml:space="preserve">2.管理人员相关证明材料原件扫描件（证明材料：建筑工程专业注册建造师执业资格证书、工程系列专业技术职务资格证书（职称证）。 </w:t>
            </w:r>
          </w:p>
          <w:p>
            <w:pPr>
              <w:keepNext w:val="0"/>
              <w:keepLines w:val="0"/>
              <w:widowControl/>
              <w:numPr>
                <w:ilvl w:val="0"/>
                <w:numId w:val="0"/>
              </w:numPr>
              <w:suppressLineNumbers w:val="0"/>
              <w:autoSpaceDE w:val="0"/>
              <w:autoSpaceDN w:val="0"/>
              <w:spacing w:line="360" w:lineRule="auto"/>
              <w:ind w:firstLine="420" w:firstLineChars="200"/>
              <w:jc w:val="left"/>
              <w:rPr>
                <w:rFonts w:hint="eastAsia"/>
                <w:color w:val="0000FF"/>
                <w:sz w:val="21"/>
                <w:szCs w:val="21"/>
                <w:highlight w:val="none"/>
                <w:u w:val="single"/>
              </w:rPr>
            </w:pPr>
            <w:r>
              <w:rPr>
                <w:rFonts w:hint="eastAsia" w:ascii="宋体" w:hAnsi="宋体" w:eastAsia="宋体" w:cs="Times New Roman"/>
                <w:color w:val="000000"/>
                <w:kern w:val="0"/>
                <w:sz w:val="21"/>
                <w:szCs w:val="21"/>
                <w:highlight w:val="none"/>
                <w:u w:val="single"/>
                <w:lang w:val="en-US" w:eastAsia="zh-CN" w:bidi="ar"/>
              </w:rPr>
              <w:t xml:space="preserve">3.投标人所提供的项目管理人员应在项目实施过程中全员全程到场接受合同条款对未到场人员对应岗位的处罚。 </w:t>
            </w:r>
          </w:p>
          <w:p>
            <w:pPr>
              <w:keepNext w:val="0"/>
              <w:keepLines w:val="0"/>
              <w:widowControl/>
              <w:numPr>
                <w:ilvl w:val="0"/>
                <w:numId w:val="0"/>
              </w:numPr>
              <w:suppressLineNumbers w:val="0"/>
              <w:autoSpaceDE w:val="0"/>
              <w:autoSpaceDN w:val="0"/>
              <w:spacing w:line="360" w:lineRule="auto"/>
              <w:jc w:val="left"/>
              <w:rPr>
                <w:rFonts w:hint="eastAsia"/>
                <w:color w:val="0000FF"/>
                <w:sz w:val="21"/>
                <w:szCs w:val="21"/>
                <w:highlight w:val="none"/>
                <w:u w:val="single"/>
              </w:rPr>
            </w:pPr>
            <w:r>
              <w:rPr>
                <w:rFonts w:hint="eastAsia" w:ascii="宋体" w:hAnsi="宋体" w:eastAsia="宋体" w:cs="Times New Roman"/>
                <w:color w:val="000000"/>
                <w:kern w:val="0"/>
                <w:sz w:val="21"/>
                <w:szCs w:val="21"/>
                <w:highlight w:val="none"/>
                <w:u w:val="single"/>
                <w:lang w:val="en-US" w:eastAsia="zh-CN" w:bidi="ar"/>
              </w:rPr>
              <w:t xml:space="preserve">注：①同类证书以最高等级确认，同一人员证书不重复计取； </w:t>
            </w:r>
          </w:p>
          <w:p>
            <w:pPr>
              <w:keepNext w:val="0"/>
              <w:keepLines w:val="0"/>
              <w:widowControl/>
              <w:numPr>
                <w:ilvl w:val="0"/>
                <w:numId w:val="0"/>
              </w:numPr>
              <w:suppressLineNumbers w:val="0"/>
              <w:autoSpaceDE w:val="0"/>
              <w:autoSpaceDN w:val="0"/>
              <w:spacing w:line="360" w:lineRule="auto"/>
              <w:jc w:val="left"/>
              <w:rPr>
                <w:rFonts w:hint="eastAsia"/>
                <w:color w:val="0000FF"/>
                <w:sz w:val="21"/>
                <w:szCs w:val="21"/>
                <w:highlight w:val="none"/>
                <w:u w:val="single"/>
              </w:rPr>
            </w:pPr>
            <w:r>
              <w:rPr>
                <w:rFonts w:hint="eastAsia" w:ascii="宋体" w:hAnsi="宋体" w:eastAsia="宋体" w:cs="Times New Roman"/>
                <w:color w:val="000000"/>
                <w:kern w:val="0"/>
                <w:sz w:val="21"/>
                <w:szCs w:val="21"/>
                <w:highlight w:val="none"/>
                <w:u w:val="single"/>
                <w:lang w:val="en-US" w:eastAsia="zh-CN" w:bidi="ar"/>
              </w:rPr>
              <w:t>②相关证明材料须按汇总表中人员名单的顺序排列。</w:t>
            </w:r>
          </w:p>
          <w:p>
            <w:pPr>
              <w:keepNext w:val="0"/>
              <w:keepLines w:val="0"/>
              <w:widowControl/>
              <w:numPr>
                <w:ilvl w:val="0"/>
                <w:numId w:val="0"/>
              </w:numPr>
              <w:suppressLineNumbers w:val="0"/>
              <w:autoSpaceDE w:val="0"/>
              <w:autoSpaceDN w:val="0"/>
              <w:spacing w:line="360" w:lineRule="auto"/>
              <w:jc w:val="left"/>
              <w:rPr>
                <w:rFonts w:hint="eastAsia"/>
                <w:color w:val="0000FF"/>
                <w:sz w:val="21"/>
                <w:szCs w:val="21"/>
                <w:highlight w:val="none"/>
                <w:u w:val="single"/>
              </w:rPr>
            </w:pPr>
            <w:r>
              <w:rPr>
                <w:rFonts w:hint="eastAsia" w:ascii="宋体" w:hAnsi="宋体" w:eastAsia="宋体" w:cs="Times New Roman"/>
                <w:color w:val="000000"/>
                <w:kern w:val="0"/>
                <w:sz w:val="21"/>
                <w:szCs w:val="21"/>
                <w:highlight w:val="none"/>
                <w:u w:val="single"/>
                <w:lang w:val="en-US" w:eastAsia="zh-CN" w:bidi="ar"/>
              </w:rPr>
              <w:t>③以上要求提供的材料须加盖投标人电子公章。</w:t>
            </w:r>
          </w:p>
          <w:p>
            <w:pPr>
              <w:pStyle w:val="38"/>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b/>
                <w:bCs/>
                <w:color w:val="auto"/>
                <w:sz w:val="21"/>
                <w:szCs w:val="21"/>
                <w:highlight w:val="none"/>
              </w:rPr>
            </w:pPr>
            <w:r>
              <w:rPr>
                <w:rFonts w:hint="eastAsia" w:ascii="宋体" w:hAnsi="宋体" w:cs="宋体"/>
                <w:b/>
                <w:bCs/>
                <w:color w:val="auto"/>
                <w:sz w:val="21"/>
                <w:szCs w:val="21"/>
                <w:highlight w:val="none"/>
                <w:lang w:val="en-US" w:eastAsia="zh-CN"/>
              </w:rPr>
              <w:t>（6）</w:t>
            </w:r>
            <w:r>
              <w:rPr>
                <w:rFonts w:hint="eastAsia"/>
                <w:b/>
                <w:bCs/>
                <w:color w:val="auto"/>
                <w:sz w:val="21"/>
                <w:szCs w:val="21"/>
                <w:highlight w:val="none"/>
              </w:rPr>
              <w:t>子要素内容：拟担任本招标项目的项目负责人的工程系列专业技术职务资格证书（职称证书）等级。</w:t>
            </w:r>
          </w:p>
          <w:p>
            <w:pPr>
              <w:pStyle w:val="38"/>
              <w:keepNext w:val="0"/>
              <w:keepLines w:val="0"/>
              <w:pageBreakBefore w:val="0"/>
              <w:widowControl w:val="0"/>
              <w:numPr>
                <w:ilvl w:val="-1"/>
                <w:numId w:val="0"/>
              </w:numPr>
              <w:kinsoku/>
              <w:wordWrap/>
              <w:overflowPunct/>
              <w:topLinePunct w:val="0"/>
              <w:autoSpaceDE/>
              <w:autoSpaceDN/>
              <w:bidi w:val="0"/>
              <w:adjustRightInd/>
              <w:snapToGrid/>
              <w:spacing w:line="360" w:lineRule="auto"/>
              <w:ind w:firstLine="420" w:firstLineChars="200"/>
              <w:textAlignment w:val="auto"/>
              <w:rPr>
                <w:rFonts w:hint="eastAsia" w:ascii="宋体" w:hAnsi="宋体"/>
                <w:b/>
                <w:bCs/>
                <w:color w:val="auto"/>
                <w:kern w:val="0"/>
                <w:sz w:val="21"/>
                <w:szCs w:val="21"/>
                <w:highlight w:val="none"/>
              </w:rPr>
            </w:pPr>
            <w:r>
              <w:rPr>
                <w:rFonts w:hint="eastAsia" w:ascii="宋体" w:hAnsi="宋体"/>
                <w:color w:val="auto"/>
                <w:kern w:val="0"/>
                <w:sz w:val="21"/>
                <w:szCs w:val="21"/>
                <w:highlight w:val="none"/>
              </w:rPr>
              <w:t>子要素证明材料要求：应附上有权部门颁发的工程系列专业技术职务资格证书（职称证书）</w:t>
            </w:r>
          </w:p>
          <w:p>
            <w:pPr>
              <w:numPr>
                <w:ilvl w:val="0"/>
                <w:numId w:val="0"/>
              </w:numPr>
              <w:autoSpaceDE w:val="0"/>
              <w:autoSpaceDN w:val="0"/>
              <w:spacing w:line="360" w:lineRule="auto"/>
              <w:jc w:val="left"/>
              <w:rPr>
                <w:rFonts w:hint="eastAsia"/>
                <w:color w:val="0000FF"/>
                <w:sz w:val="21"/>
                <w:szCs w:val="21"/>
                <w:highlight w:val="none"/>
                <w:u w:val="single"/>
              </w:rPr>
            </w:pPr>
            <w:r>
              <w:rPr>
                <w:rFonts w:hint="eastAsia" w:ascii="宋体" w:hAnsi="宋体" w:cs="宋体"/>
                <w:b/>
                <w:bCs/>
                <w:color w:val="auto"/>
                <w:sz w:val="21"/>
                <w:szCs w:val="21"/>
                <w:highlight w:val="none"/>
                <w:lang w:val="en-US" w:eastAsia="zh-CN"/>
              </w:rPr>
              <w:t>(</w:t>
            </w:r>
            <w:r>
              <w:rPr>
                <w:rFonts w:hint="eastAsia" w:cs="宋体"/>
                <w:b/>
                <w:bCs/>
                <w:color w:val="auto"/>
                <w:sz w:val="21"/>
                <w:szCs w:val="21"/>
                <w:highlight w:val="none"/>
                <w:lang w:val="en-US" w:eastAsia="zh-CN"/>
              </w:rPr>
              <w:t>7</w:t>
            </w:r>
            <w:r>
              <w:rPr>
                <w:rFonts w:hint="eastAsia" w:ascii="宋体" w:hAnsi="宋体" w:cs="宋体"/>
                <w:b/>
                <w:bCs/>
                <w:color w:val="auto"/>
                <w:sz w:val="21"/>
                <w:szCs w:val="21"/>
                <w:highlight w:val="none"/>
                <w:lang w:val="en-US" w:eastAsia="zh-CN"/>
              </w:rPr>
              <w:t>)</w:t>
            </w:r>
            <w:r>
              <w:rPr>
                <w:rFonts w:hint="eastAsia"/>
                <w:b/>
                <w:bCs/>
                <w:color w:val="auto"/>
                <w:sz w:val="21"/>
                <w:szCs w:val="21"/>
                <w:highlight w:val="none"/>
              </w:rPr>
              <w:t>子要素内容：</w:t>
            </w:r>
            <w:r>
              <w:rPr>
                <w:rFonts w:hint="eastAsia"/>
                <w:color w:val="0000FF"/>
                <w:sz w:val="21"/>
                <w:szCs w:val="21"/>
                <w:highlight w:val="none"/>
                <w:u w:val="single"/>
              </w:rPr>
              <w:t>投标人拟派的项目负责人在自招标项目在法定媒介发布招标公告之日的前五年内（含本招标项目在法定媒介发布招标公告之日）完成的并经竣工验收合格的</w:t>
            </w:r>
            <w:r>
              <w:rPr>
                <w:rFonts w:hint="eastAsia" w:cs="宋体"/>
                <w:color w:val="0000FF"/>
                <w:sz w:val="21"/>
                <w:szCs w:val="21"/>
                <w:highlight w:val="none"/>
                <w:u w:val="single"/>
                <w:lang w:eastAsia="zh-CN" w:bidi="zh-CN"/>
              </w:rPr>
              <w:t>单项合同单体建筑面积</w:t>
            </w:r>
            <w:r>
              <w:rPr>
                <w:rFonts w:hint="eastAsia" w:cs="宋体"/>
                <w:color w:val="0000FF"/>
                <w:sz w:val="21"/>
                <w:szCs w:val="21"/>
                <w:highlight w:val="none"/>
                <w:u w:val="single"/>
                <w:lang w:val="en-US" w:eastAsia="zh-CN" w:bidi="zh-CN"/>
              </w:rPr>
              <w:t>3万平方米及以上（或总建筑面积7.7万平方米及以上）的工业建筑工程</w:t>
            </w:r>
            <w:r>
              <w:rPr>
                <w:rFonts w:hint="eastAsia"/>
                <w:color w:val="0000FF"/>
                <w:sz w:val="21"/>
                <w:szCs w:val="21"/>
                <w:highlight w:val="none"/>
                <w:u w:val="single"/>
              </w:rPr>
              <w:t>。</w:t>
            </w:r>
          </w:p>
          <w:p>
            <w:pPr>
              <w:autoSpaceDE w:val="0"/>
              <w:autoSpaceDN w:val="0"/>
              <w:spacing w:line="360" w:lineRule="auto"/>
              <w:jc w:val="left"/>
              <w:rPr>
                <w:rFonts w:hint="eastAsia" w:hAnsi="Calibri"/>
                <w:color w:val="auto"/>
                <w:sz w:val="21"/>
                <w:szCs w:val="21"/>
                <w:highlight w:val="none"/>
                <w:u w:val="single"/>
                <w:lang w:eastAsia="zh-CN"/>
              </w:rPr>
            </w:pPr>
            <w:r>
              <w:rPr>
                <w:rFonts w:hint="eastAsia" w:hAnsi="Calibri"/>
                <w:color w:val="auto"/>
                <w:sz w:val="21"/>
                <w:szCs w:val="21"/>
                <w:highlight w:val="none"/>
                <w:u w:val="single"/>
                <w:lang w:eastAsia="zh-CN"/>
              </w:rPr>
              <w:t>【</w:t>
            </w:r>
            <w:r>
              <w:rPr>
                <w:rFonts w:hint="eastAsia" w:hAnsi="Calibri"/>
                <w:color w:val="0000FF"/>
                <w:sz w:val="21"/>
                <w:szCs w:val="21"/>
                <w:highlight w:val="none"/>
                <w:u w:val="single"/>
                <w:lang w:val="en-US" w:eastAsia="zh-CN"/>
              </w:rPr>
              <w:t>注：类似工程业绩属建筑工程施工总承包的，应为依法独立（非联合体）承接；类似工程业绩属建筑工程工程总承包（EPC）的，应为依法独立承接或联合体承接，若为联合体承接的，投标人应为联合体成员之一且至少应承担主体结构工程施工工作。</w:t>
            </w:r>
            <w:r>
              <w:rPr>
                <w:rFonts w:hint="eastAsia" w:hAnsi="Calibri"/>
                <w:color w:val="auto"/>
                <w:sz w:val="21"/>
                <w:szCs w:val="21"/>
                <w:highlight w:val="none"/>
                <w:u w:val="single"/>
                <w:lang w:eastAsia="zh-CN"/>
              </w:rPr>
              <w:t>】</w:t>
            </w:r>
          </w:p>
          <w:p>
            <w:pPr>
              <w:pStyle w:val="38"/>
              <w:autoSpaceDE/>
              <w:autoSpaceDN/>
              <w:spacing w:line="360" w:lineRule="auto"/>
              <w:ind w:firstLine="420" w:firstLineChars="200"/>
              <w:jc w:val="left"/>
              <w:rPr>
                <w:rFonts w:hint="eastAsia" w:hAnsi="Calibri"/>
                <w:color w:val="0000FF"/>
                <w:sz w:val="21"/>
                <w:szCs w:val="21"/>
                <w:highlight w:val="none"/>
                <w:u w:val="single"/>
                <w:lang w:eastAsia="zh-CN"/>
              </w:rPr>
            </w:pPr>
            <w:r>
              <w:rPr>
                <w:rFonts w:hint="eastAsia" w:ascii="宋体" w:hAnsi="宋体"/>
                <w:color w:val="auto"/>
                <w:kern w:val="0"/>
                <w:sz w:val="21"/>
                <w:szCs w:val="21"/>
                <w:highlight w:val="none"/>
              </w:rPr>
              <w:t>子要素证明材料要求：</w:t>
            </w:r>
            <w:r>
              <w:rPr>
                <w:rFonts w:hint="eastAsia" w:hAnsi="Calibri"/>
                <w:color w:val="0000FF"/>
                <w:sz w:val="21"/>
                <w:szCs w:val="21"/>
                <w:highlight w:val="none"/>
                <w:u w:val="single"/>
                <w:lang w:eastAsia="zh-CN"/>
              </w:rPr>
              <w:t>应附上业绩施工合同、竣工验收证明、全国建筑市场监管公共服务平台或福建住房和城乡建设网的福建省建设行业信息公开平台的竣工验收备案信息或竣工验收信息查询页面截图等证明材料的扫描件并加盖投标单位电子公章，否则，其业绩不计。</w:t>
            </w:r>
          </w:p>
          <w:p>
            <w:pPr>
              <w:pStyle w:val="38"/>
              <w:autoSpaceDE/>
              <w:autoSpaceDN/>
              <w:spacing w:line="360" w:lineRule="auto"/>
              <w:ind w:firstLine="420" w:firstLineChars="200"/>
              <w:jc w:val="left"/>
              <w:rPr>
                <w:rFonts w:hint="eastAsia" w:ascii="宋体" w:hAnsi="宋体" w:eastAsia="宋体" w:cs="Times New Roman"/>
                <w:color w:val="0000FF"/>
                <w:kern w:val="0"/>
                <w:sz w:val="21"/>
                <w:szCs w:val="21"/>
                <w:highlight w:val="none"/>
                <w:u w:val="single"/>
                <w:lang w:val="en-US" w:eastAsia="zh-CN" w:bidi="ar-SA"/>
              </w:rPr>
            </w:pPr>
            <w:r>
              <w:rPr>
                <w:rFonts w:hint="eastAsia" w:ascii="宋体" w:hAnsi="宋体" w:eastAsia="宋体" w:cs="Times New Roman"/>
                <w:color w:val="0000FF"/>
                <w:kern w:val="0"/>
                <w:sz w:val="21"/>
                <w:szCs w:val="21"/>
                <w:highlight w:val="none"/>
                <w:u w:val="single"/>
                <w:lang w:val="en-US" w:eastAsia="zh-CN" w:bidi="ar-SA"/>
              </w:rPr>
              <w:t>其中：</w:t>
            </w:r>
          </w:p>
          <w:p>
            <w:pPr>
              <w:pStyle w:val="38"/>
              <w:autoSpaceDE/>
              <w:autoSpaceDN/>
              <w:spacing w:line="360" w:lineRule="auto"/>
              <w:ind w:firstLine="420" w:firstLineChars="200"/>
              <w:jc w:val="left"/>
              <w:rPr>
                <w:rFonts w:hint="eastAsia" w:ascii="宋体" w:hAnsi="宋体" w:eastAsia="宋体" w:cs="Times New Roman"/>
                <w:color w:val="0000FF"/>
                <w:kern w:val="0"/>
                <w:sz w:val="21"/>
                <w:szCs w:val="21"/>
                <w:highlight w:val="none"/>
                <w:u w:val="single"/>
                <w:lang w:val="en-US" w:eastAsia="zh-CN" w:bidi="ar-SA"/>
              </w:rPr>
            </w:pPr>
            <w:r>
              <w:rPr>
                <w:rFonts w:hint="eastAsia" w:ascii="宋体" w:hAnsi="宋体" w:eastAsia="宋体" w:cs="Times New Roman"/>
                <w:color w:val="0000FF"/>
                <w:kern w:val="0"/>
                <w:sz w:val="21"/>
                <w:szCs w:val="21"/>
                <w:highlight w:val="none"/>
                <w:u w:val="single"/>
                <w:lang w:val="en-US" w:eastAsia="zh-CN" w:bidi="ar-SA"/>
              </w:rPr>
              <w:t>①业绩施工合同（至少显示出发包人和承包人名称、项目名称、合同价、工程规模、</w:t>
            </w:r>
            <w:r>
              <w:rPr>
                <w:rFonts w:hint="eastAsia" w:ascii="宋体" w:hAnsi="宋体" w:cs="Times New Roman"/>
                <w:color w:val="0000FF"/>
                <w:kern w:val="0"/>
                <w:sz w:val="21"/>
                <w:szCs w:val="21"/>
                <w:highlight w:val="none"/>
                <w:u w:val="single"/>
                <w:lang w:val="en-US" w:eastAsia="zh-CN" w:bidi="ar-SA"/>
              </w:rPr>
              <w:t>项目负责人、</w:t>
            </w:r>
            <w:r>
              <w:rPr>
                <w:rFonts w:hint="eastAsia" w:ascii="宋体" w:hAnsi="宋体" w:eastAsia="宋体" w:cs="Times New Roman"/>
                <w:color w:val="0000FF"/>
                <w:kern w:val="0"/>
                <w:sz w:val="21"/>
                <w:szCs w:val="21"/>
                <w:highlight w:val="none"/>
                <w:u w:val="single"/>
                <w:lang w:val="en-US" w:eastAsia="zh-CN" w:bidi="ar-SA"/>
              </w:rPr>
              <w:t>签章时间）；</w:t>
            </w:r>
          </w:p>
          <w:p>
            <w:pPr>
              <w:pStyle w:val="38"/>
              <w:autoSpaceDE/>
              <w:autoSpaceDN/>
              <w:spacing w:line="360" w:lineRule="auto"/>
              <w:ind w:firstLine="420" w:firstLineChars="200"/>
              <w:jc w:val="left"/>
              <w:rPr>
                <w:rFonts w:hint="eastAsia" w:ascii="宋体" w:hAnsi="宋体" w:eastAsia="宋体" w:cs="Times New Roman"/>
                <w:color w:val="0000FF"/>
                <w:kern w:val="0"/>
                <w:sz w:val="21"/>
                <w:szCs w:val="21"/>
                <w:highlight w:val="none"/>
                <w:u w:val="single"/>
                <w:lang w:val="en-US" w:eastAsia="zh-CN" w:bidi="ar-SA"/>
              </w:rPr>
            </w:pPr>
            <w:r>
              <w:rPr>
                <w:rFonts w:hint="eastAsia" w:ascii="宋体" w:hAnsi="宋体" w:eastAsia="宋体" w:cs="Times New Roman"/>
                <w:color w:val="0000FF"/>
                <w:kern w:val="0"/>
                <w:sz w:val="21"/>
                <w:szCs w:val="21"/>
                <w:highlight w:val="none"/>
                <w:u w:val="single"/>
                <w:lang w:val="en-US" w:eastAsia="zh-CN" w:bidi="ar-SA"/>
              </w:rPr>
              <w:t>②竣工验收证明材料是指：指由建设单位、监理单位（若有）、施工单位、设计单位、勘察单位（若有）共同加盖公章的单位（子单位）工程质量竣工验收记录或竣工验收报告或竣工验收备案表等竣工验收证明材料。</w:t>
            </w:r>
          </w:p>
          <w:p>
            <w:pPr>
              <w:pStyle w:val="38"/>
              <w:autoSpaceDE/>
              <w:autoSpaceDN/>
              <w:spacing w:line="360" w:lineRule="auto"/>
              <w:ind w:firstLine="420" w:firstLineChars="200"/>
              <w:jc w:val="left"/>
              <w:rPr>
                <w:rFonts w:hint="eastAsia" w:ascii="宋体" w:hAnsi="宋体" w:eastAsia="宋体" w:cs="Times New Roman"/>
                <w:color w:val="0000FF"/>
                <w:kern w:val="0"/>
                <w:sz w:val="21"/>
                <w:szCs w:val="21"/>
                <w:highlight w:val="none"/>
                <w:u w:val="single"/>
                <w:lang w:val="en-US" w:eastAsia="zh-CN" w:bidi="ar-SA"/>
              </w:rPr>
            </w:pPr>
            <w:r>
              <w:rPr>
                <w:rFonts w:hint="eastAsia" w:ascii="宋体" w:hAnsi="宋体" w:eastAsia="宋体" w:cs="Times New Roman"/>
                <w:color w:val="0000FF"/>
                <w:kern w:val="0"/>
                <w:sz w:val="21"/>
                <w:szCs w:val="21"/>
                <w:highlight w:val="none"/>
                <w:u w:val="single"/>
                <w:lang w:val="en-US" w:eastAsia="zh-CN" w:bidi="ar-SA"/>
              </w:rPr>
              <w:t>③“类似工程业绩”时间以竣工验收日期为准，若竣工验收证明材料有多个日期的，则以建设单位或监理单位签署的最后日期为准。通过平台查询的“竣工验收日期”与上述竣工验收证明材料上的竣工验收日期不一致的，以较早时间为准。</w:t>
            </w:r>
          </w:p>
          <w:p>
            <w:pPr>
              <w:pStyle w:val="38"/>
              <w:autoSpaceDE/>
              <w:autoSpaceDN/>
              <w:spacing w:line="360" w:lineRule="auto"/>
              <w:ind w:firstLine="420" w:firstLineChars="200"/>
              <w:jc w:val="left"/>
              <w:rPr>
                <w:rFonts w:hint="eastAsia" w:ascii="宋体" w:hAnsi="宋体" w:eastAsia="宋体" w:cs="Times New Roman"/>
                <w:color w:val="0000FF"/>
                <w:kern w:val="0"/>
                <w:sz w:val="21"/>
                <w:szCs w:val="21"/>
                <w:highlight w:val="none"/>
                <w:u w:val="single"/>
                <w:lang w:val="en-US" w:eastAsia="zh-CN" w:bidi="ar-SA"/>
              </w:rPr>
            </w:pPr>
            <w:r>
              <w:rPr>
                <w:rFonts w:hint="eastAsia" w:ascii="宋体" w:hAnsi="宋体" w:eastAsia="宋体" w:cs="Times New Roman"/>
                <w:color w:val="0000FF"/>
                <w:kern w:val="0"/>
                <w:sz w:val="21"/>
                <w:szCs w:val="21"/>
                <w:highlight w:val="none"/>
                <w:u w:val="single"/>
                <w:lang w:val="en-US" w:eastAsia="zh-CN" w:bidi="ar-SA"/>
              </w:rPr>
              <w:t>④若业绩施工合同或竣工验收证明材料中均未标明招标文件中设置的“类似工程业绩”指标，应补充提交能恰当说明上述特征的证明材料，如：工程竣工图，工程造价的结算书或建设单位出具的证明文件等，否则其业绩不计。</w:t>
            </w:r>
          </w:p>
          <w:p>
            <w:pPr>
              <w:pStyle w:val="38"/>
              <w:autoSpaceDE/>
              <w:autoSpaceDN/>
              <w:spacing w:line="360" w:lineRule="auto"/>
              <w:ind w:firstLine="420" w:firstLineChars="200"/>
              <w:jc w:val="left"/>
              <w:rPr>
                <w:rFonts w:hint="eastAsia" w:ascii="宋体" w:hAnsi="宋体" w:eastAsia="宋体" w:cs="Times New Roman"/>
                <w:color w:val="0000FF"/>
                <w:kern w:val="0"/>
                <w:sz w:val="21"/>
                <w:szCs w:val="21"/>
                <w:highlight w:val="none"/>
                <w:u w:val="single"/>
                <w:lang w:val="en-US" w:eastAsia="zh-CN" w:bidi="ar-SA"/>
              </w:rPr>
            </w:pPr>
            <w:r>
              <w:rPr>
                <w:rFonts w:hint="eastAsia" w:ascii="宋体" w:hAnsi="宋体" w:eastAsia="宋体" w:cs="Times New Roman"/>
                <w:color w:val="0000FF"/>
                <w:kern w:val="0"/>
                <w:sz w:val="21"/>
                <w:szCs w:val="21"/>
                <w:highlight w:val="none"/>
                <w:u w:val="single"/>
                <w:lang w:val="en-US" w:eastAsia="zh-CN" w:bidi="ar-SA"/>
              </w:rPr>
              <w:t>⑤施工合同和竣工验收证明材料未明确标明项目负责人的，或施工合同与竣工验收证明材料的项目负责人不一致的，其项目负责人业绩不计。</w:t>
            </w:r>
          </w:p>
          <w:p>
            <w:pPr>
              <w:pStyle w:val="38"/>
              <w:autoSpaceDE/>
              <w:autoSpaceDN/>
              <w:spacing w:line="360" w:lineRule="auto"/>
              <w:ind w:firstLine="420" w:firstLineChars="200"/>
              <w:jc w:val="left"/>
              <w:rPr>
                <w:rFonts w:hint="eastAsia" w:ascii="宋体" w:hAnsi="宋体" w:eastAsia="宋体" w:cs="Times New Roman"/>
                <w:color w:val="0000FF"/>
                <w:kern w:val="0"/>
                <w:sz w:val="21"/>
                <w:szCs w:val="21"/>
                <w:highlight w:val="none"/>
                <w:u w:val="single"/>
                <w:lang w:val="en-US" w:eastAsia="zh-CN" w:bidi="ar-SA"/>
              </w:rPr>
            </w:pPr>
            <w:r>
              <w:rPr>
                <w:rFonts w:hint="eastAsia" w:ascii="宋体" w:hAnsi="宋体" w:eastAsia="宋体" w:cs="Times New Roman"/>
                <w:color w:val="0000FF"/>
                <w:kern w:val="0"/>
                <w:sz w:val="21"/>
                <w:szCs w:val="21"/>
                <w:highlight w:val="none"/>
                <w:u w:val="single"/>
                <w:lang w:val="en-US" w:eastAsia="zh-CN" w:bidi="ar-SA"/>
              </w:rPr>
              <w:t>⑥住房和城乡建设部门户网站的全国建筑市场监管公共服务平台（适用于在福建省行政区域外完成的业绩）或福建住房和城乡建设网的福建省建设行业信息公开平台（适用于在福建省行政区域内完成的业绩）的竣工验收信息查询页面截图，且竣工验收备案信息或竣工验收信息中，应当标明项目负责人，标明的项目负责人必须与施工合同和竣工验收证明材料注明的项目负责人一致，否则业绩不计。</w:t>
            </w:r>
          </w:p>
          <w:p>
            <w:pPr>
              <w:pStyle w:val="38"/>
              <w:autoSpaceDE/>
              <w:autoSpaceDN/>
              <w:spacing w:line="360" w:lineRule="auto"/>
              <w:ind w:firstLine="422" w:firstLineChars="200"/>
              <w:jc w:val="left"/>
              <w:rPr>
                <w:rFonts w:hint="eastAsia" w:ascii="宋体" w:hAnsi="宋体" w:eastAsia="宋体" w:cs="Times New Roman"/>
                <w:b/>
                <w:bCs/>
                <w:color w:val="FF0000"/>
                <w:kern w:val="0"/>
                <w:sz w:val="21"/>
                <w:szCs w:val="21"/>
                <w:highlight w:val="none"/>
                <w:u w:val="single"/>
                <w:lang w:val="en-US" w:eastAsia="zh-CN" w:bidi="ar-SA"/>
              </w:rPr>
            </w:pPr>
            <w:r>
              <w:rPr>
                <w:rFonts w:hint="eastAsia" w:ascii="宋体" w:hAnsi="宋体" w:cs="Times New Roman"/>
                <w:b/>
                <w:bCs/>
                <w:color w:val="FF0000"/>
                <w:kern w:val="0"/>
                <w:sz w:val="21"/>
                <w:szCs w:val="21"/>
                <w:highlight w:val="none"/>
                <w:u w:val="single"/>
                <w:lang w:val="en-US" w:eastAsia="zh-CN" w:bidi="ar-SA"/>
              </w:rPr>
              <w:t>⑦</w:t>
            </w:r>
            <w:r>
              <w:rPr>
                <w:rFonts w:hint="eastAsia" w:ascii="宋体" w:hAnsi="宋体" w:eastAsia="宋体" w:cs="Times New Roman"/>
                <w:b/>
                <w:bCs/>
                <w:color w:val="FF0000"/>
                <w:kern w:val="0"/>
                <w:sz w:val="21"/>
                <w:szCs w:val="21"/>
                <w:highlight w:val="none"/>
                <w:u w:val="single"/>
                <w:lang w:val="en-US" w:eastAsia="zh-CN" w:bidi="ar-SA"/>
              </w:rPr>
              <w:t>基础相连的群体建筑，地下结构的面积及地上某一单体面积累计可以作为单体建筑面积。</w:t>
            </w:r>
          </w:p>
          <w:p>
            <w:pPr>
              <w:pStyle w:val="9"/>
              <w:keepNext w:val="0"/>
              <w:keepLines w:val="0"/>
              <w:pageBreakBefore w:val="0"/>
              <w:widowControl w:val="0"/>
              <w:numPr>
                <w:ilvl w:val="-1"/>
                <w:numId w:val="0"/>
              </w:numPr>
              <w:suppressLineNumbers w:val="0"/>
              <w:kinsoku/>
              <w:wordWrap/>
              <w:overflowPunct/>
              <w:topLinePunct w:val="0"/>
              <w:autoSpaceDE/>
              <w:autoSpaceDN/>
              <w:bidi w:val="0"/>
              <w:adjustRightInd/>
              <w:snapToGrid w:val="0"/>
              <w:spacing w:line="360" w:lineRule="auto"/>
              <w:ind w:firstLineChars="0"/>
              <w:jc w:val="left"/>
              <w:textAlignment w:val="auto"/>
              <w:rPr>
                <w:rFonts w:hint="eastAsia" w:ascii="宋体" w:hAnsi="宋体" w:eastAsia="宋体" w:cs="宋体"/>
                <w:color w:val="0000FF"/>
                <w:kern w:val="1"/>
                <w:sz w:val="21"/>
                <w:szCs w:val="21"/>
                <w:highlight w:val="none"/>
                <w:lang w:val="en-US" w:eastAsia="zh-CN" w:bidi="ar"/>
              </w:rPr>
            </w:pPr>
            <w:r>
              <w:rPr>
                <w:rFonts w:hint="eastAsia" w:ascii="宋体" w:hAnsi="宋体" w:cs="宋体"/>
                <w:b w:val="0"/>
                <w:bCs w:val="0"/>
                <w:color w:val="FF0000"/>
                <w:kern w:val="1"/>
                <w:sz w:val="21"/>
                <w:szCs w:val="21"/>
                <w:highlight w:val="none"/>
                <w:u w:val="none"/>
                <w:lang w:val="en-US" w:eastAsia="zh-CN" w:bidi="ar"/>
              </w:rPr>
              <w:t>⑧</w:t>
            </w:r>
            <w:r>
              <w:rPr>
                <w:rFonts w:hint="eastAsia" w:ascii="宋体" w:hAnsi="宋体" w:eastAsia="宋体" w:cs="宋体"/>
                <w:color w:val="0000FF"/>
                <w:kern w:val="1"/>
                <w:sz w:val="21"/>
                <w:szCs w:val="21"/>
                <w:highlight w:val="none"/>
                <w:lang w:val="en-US" w:eastAsia="zh-CN" w:bidi="ar"/>
              </w:rPr>
              <w:t>在全国建筑市场监管公共服务平台、福建省建设行业信息公开平台上查询到的类似业绩项目基本信息数据等级显示为“D”或没有显示数据等级的，投标人在投标文件中除上传招标文件要求提供的相关资料外，还应上传业绩项目的施工许可证和发票的原件扫描件。如业绩项目没有独立施工许可证的，应上传业绩项目的总承包项目施工许可证。上传的发票应为预付款或进度款或竣工结算款发票，且上传发票合计金额应不低于业绩项目合同协议书上载明金额 20%。其中，“基本信息数据等级”按以下标准认定：</w:t>
            </w:r>
          </w:p>
          <w:p>
            <w:pPr>
              <w:pStyle w:val="9"/>
              <w:keepNext w:val="0"/>
              <w:keepLines w:val="0"/>
              <w:pageBreakBefore w:val="0"/>
              <w:widowControl w:val="0"/>
              <w:numPr>
                <w:ilvl w:val="-1"/>
                <w:numId w:val="0"/>
              </w:numPr>
              <w:suppressLineNumbers w:val="0"/>
              <w:kinsoku/>
              <w:wordWrap/>
              <w:overflowPunct/>
              <w:topLinePunct w:val="0"/>
              <w:autoSpaceDE/>
              <w:autoSpaceDN/>
              <w:bidi w:val="0"/>
              <w:adjustRightInd/>
              <w:snapToGrid w:val="0"/>
              <w:spacing w:line="360" w:lineRule="auto"/>
              <w:ind w:firstLineChars="0"/>
              <w:jc w:val="left"/>
              <w:textAlignment w:val="auto"/>
              <w:rPr>
                <w:rFonts w:hint="eastAsia" w:ascii="宋体" w:hAnsi="宋体" w:eastAsia="宋体" w:cs="宋体"/>
                <w:color w:val="0000FF"/>
                <w:kern w:val="1"/>
                <w:sz w:val="21"/>
                <w:szCs w:val="21"/>
                <w:highlight w:val="none"/>
                <w:lang w:val="en-US" w:eastAsia="zh-CN" w:bidi="ar"/>
              </w:rPr>
            </w:pPr>
            <w:r>
              <w:rPr>
                <w:rFonts w:hint="eastAsia" w:ascii="宋体" w:hAnsi="宋体" w:eastAsia="宋体" w:cs="宋体"/>
                <w:color w:val="0000FF"/>
                <w:kern w:val="1"/>
                <w:sz w:val="21"/>
                <w:szCs w:val="21"/>
                <w:highlight w:val="none"/>
                <w:lang w:val="en-US" w:eastAsia="zh-CN" w:bidi="ar"/>
              </w:rPr>
              <w:t>1.根据规定须通过全国建筑市场监管公共服务平台查询业绩的，以该平台的“工程基本信息"模块或“竣工验收”模块中显示的最高数据等级为准；</w:t>
            </w:r>
          </w:p>
          <w:p>
            <w:pPr>
              <w:pStyle w:val="9"/>
              <w:keepNext w:val="0"/>
              <w:keepLines w:val="0"/>
              <w:pageBreakBefore w:val="0"/>
              <w:widowControl w:val="0"/>
              <w:numPr>
                <w:ilvl w:val="-1"/>
                <w:numId w:val="0"/>
              </w:numPr>
              <w:kinsoku/>
              <w:wordWrap/>
              <w:overflowPunct/>
              <w:topLinePunct w:val="0"/>
              <w:autoSpaceDE/>
              <w:autoSpaceDN/>
              <w:bidi w:val="0"/>
              <w:adjustRightInd/>
              <w:snapToGrid w:val="0"/>
              <w:spacing w:line="360" w:lineRule="auto"/>
              <w:textAlignment w:val="auto"/>
              <w:rPr>
                <w:rFonts w:hint="eastAsia" w:ascii="宋体" w:hAnsi="宋体" w:eastAsia="宋体" w:cs="宋体"/>
                <w:color w:val="0000FF"/>
                <w:kern w:val="1"/>
                <w:sz w:val="21"/>
                <w:szCs w:val="21"/>
                <w:highlight w:val="none"/>
                <w:lang w:val="en-US" w:eastAsia="zh-CN" w:bidi="ar"/>
              </w:rPr>
            </w:pPr>
            <w:r>
              <w:rPr>
                <w:rFonts w:hint="eastAsia" w:ascii="宋体" w:hAnsi="宋体" w:eastAsia="宋体" w:cs="宋体"/>
                <w:color w:val="0000FF"/>
                <w:kern w:val="1"/>
                <w:sz w:val="21"/>
                <w:szCs w:val="21"/>
                <w:highlight w:val="none"/>
                <w:lang w:val="en-US" w:eastAsia="zh-CN" w:bidi="ar"/>
              </w:rPr>
              <w:t xml:space="preserve">2.根据规定须通过福建省建设行业信息公开平台查询业绩的，以该平台的“项目信息详情”模块、“基本工程信息”模块或竣工验收相关模块中的最高数据等级为准。上述模块在“数据等级变更记录”中有变更的，该模块数据等级以变更后的为准。 </w:t>
            </w:r>
          </w:p>
          <w:p>
            <w:pPr>
              <w:pStyle w:val="9"/>
              <w:keepNext w:val="0"/>
              <w:keepLines w:val="0"/>
              <w:pageBreakBefore w:val="0"/>
              <w:widowControl w:val="0"/>
              <w:numPr>
                <w:ilvl w:val="-1"/>
                <w:numId w:val="0"/>
              </w:numPr>
              <w:kinsoku/>
              <w:wordWrap/>
              <w:overflowPunct/>
              <w:topLinePunct w:val="0"/>
              <w:autoSpaceDE/>
              <w:autoSpaceDN/>
              <w:bidi w:val="0"/>
              <w:adjustRightInd/>
              <w:snapToGrid w:val="0"/>
              <w:spacing w:line="360" w:lineRule="auto"/>
              <w:textAlignment w:val="auto"/>
              <w:rPr>
                <w:rFonts w:hint="eastAsia" w:cs="宋体"/>
                <w:b w:val="0"/>
                <w:bCs w:val="0"/>
                <w:color w:val="0000FF"/>
                <w:sz w:val="21"/>
                <w:szCs w:val="21"/>
                <w:highlight w:val="none"/>
                <w:lang w:val="en-US" w:eastAsia="zh-CN" w:bidi="ar"/>
              </w:rPr>
            </w:pPr>
            <w:r>
              <w:rPr>
                <w:rFonts w:hint="eastAsia" w:ascii="宋体" w:hAnsi="宋体" w:cs="宋体"/>
                <w:b w:val="0"/>
                <w:bCs w:val="0"/>
                <w:color w:val="0000FF"/>
                <w:sz w:val="21"/>
                <w:szCs w:val="21"/>
                <w:highlight w:val="none"/>
                <w:lang w:val="en-US" w:eastAsia="zh-CN" w:bidi="ar"/>
              </w:rPr>
              <w:t>(</w:t>
            </w:r>
            <w:r>
              <w:rPr>
                <w:rFonts w:hint="eastAsia" w:cs="宋体"/>
                <w:b w:val="0"/>
                <w:bCs w:val="0"/>
                <w:color w:val="0000FF"/>
                <w:sz w:val="21"/>
                <w:szCs w:val="21"/>
                <w:highlight w:val="none"/>
                <w:lang w:val="en-US" w:eastAsia="zh-CN" w:bidi="ar"/>
              </w:rPr>
              <w:t>8</w:t>
            </w:r>
            <w:r>
              <w:rPr>
                <w:rFonts w:hint="eastAsia" w:ascii="宋体" w:hAnsi="宋体" w:cs="宋体"/>
                <w:b w:val="0"/>
                <w:bCs w:val="0"/>
                <w:color w:val="0000FF"/>
                <w:sz w:val="21"/>
                <w:szCs w:val="21"/>
                <w:highlight w:val="none"/>
                <w:lang w:val="en-US" w:eastAsia="zh-CN" w:bidi="ar"/>
              </w:rPr>
              <w:t>)</w:t>
            </w:r>
            <w:r>
              <w:rPr>
                <w:rFonts w:hint="eastAsia" w:cs="宋体"/>
                <w:b w:val="0"/>
                <w:bCs w:val="0"/>
                <w:color w:val="0000FF"/>
                <w:sz w:val="21"/>
                <w:szCs w:val="21"/>
                <w:highlight w:val="none"/>
                <w:lang w:bidi="ar"/>
              </w:rPr>
              <w:t>子要素内容：</w:t>
            </w:r>
            <w:r>
              <w:rPr>
                <w:rFonts w:hint="eastAsia" w:cs="宋体"/>
                <w:b w:val="0"/>
                <w:bCs w:val="0"/>
                <w:color w:val="0000FF"/>
                <w:sz w:val="21"/>
                <w:szCs w:val="21"/>
                <w:highlight w:val="none"/>
                <w:lang w:val="en-US" w:eastAsia="zh-CN" w:bidi="ar"/>
              </w:rPr>
              <w:t>拟派项目负责人陈述答辩（答辩时间、地点及流程另行通知）</w:t>
            </w:r>
          </w:p>
          <w:p>
            <w:pPr>
              <w:pStyle w:val="9"/>
              <w:keepNext w:val="0"/>
              <w:keepLines w:val="0"/>
              <w:pageBreakBefore w:val="0"/>
              <w:widowControl w:val="0"/>
              <w:numPr>
                <w:ilvl w:val="-1"/>
                <w:numId w:val="0"/>
              </w:numPr>
              <w:kinsoku/>
              <w:wordWrap/>
              <w:overflowPunct/>
              <w:topLinePunct w:val="0"/>
              <w:autoSpaceDE/>
              <w:autoSpaceDN/>
              <w:bidi w:val="0"/>
              <w:adjustRightInd/>
              <w:snapToGrid w:val="0"/>
              <w:spacing w:line="360" w:lineRule="auto"/>
              <w:ind w:firstLine="420" w:firstLineChars="200"/>
              <w:textAlignment w:val="auto"/>
              <w:rPr>
                <w:rFonts w:hint="eastAsia" w:ascii="宋体" w:hAnsi="Calibri" w:eastAsia="宋体" w:cs="Times New Roman"/>
                <w:color w:val="0000FF"/>
                <w:kern w:val="0"/>
                <w:sz w:val="21"/>
                <w:szCs w:val="21"/>
                <w:highlight w:val="none"/>
                <w:u w:val="single"/>
                <w:lang w:val="en-US" w:eastAsia="zh-CN" w:bidi="ar-SA"/>
              </w:rPr>
            </w:pPr>
            <w:r>
              <w:rPr>
                <w:rFonts w:hint="eastAsia" w:ascii="宋体" w:hAnsi="宋体" w:cs="宋体"/>
                <w:color w:val="0000FF"/>
                <w:kern w:val="1"/>
                <w:sz w:val="21"/>
                <w:szCs w:val="21"/>
                <w:highlight w:val="none"/>
                <w:lang w:bidi="ar"/>
              </w:rPr>
              <w:t>子要素证明材料要求：</w:t>
            </w:r>
            <w:r>
              <w:rPr>
                <w:rFonts w:hint="eastAsia" w:cs="宋体"/>
                <w:color w:val="0000FF"/>
                <w:kern w:val="1"/>
                <w:sz w:val="21"/>
                <w:szCs w:val="21"/>
                <w:highlight w:val="none"/>
                <w:lang w:val="en-US" w:eastAsia="zh-CN" w:bidi="ar"/>
              </w:rPr>
              <w:t>/</w:t>
            </w:r>
          </w:p>
          <w:p>
            <w:pPr>
              <w:pStyle w:val="58"/>
              <w:spacing w:beforeLines="50" w:afterLines="50" w:line="360" w:lineRule="auto"/>
              <w:ind w:firstLineChars="200"/>
              <w:rPr>
                <w:rFonts w:ascii="宋体" w:hAnsi="宋体"/>
                <w:color w:val="auto"/>
                <w:kern w:val="2"/>
                <w:szCs w:val="21"/>
                <w:highlight w:val="none"/>
                <w:u w:val="single"/>
              </w:rPr>
            </w:pPr>
            <w:r>
              <w:rPr>
                <w:rFonts w:hint="eastAsia" w:ascii="宋体" w:hAnsi="宋体"/>
                <w:color w:val="auto"/>
                <w:kern w:val="2"/>
                <w:szCs w:val="21"/>
                <w:highlight w:val="none"/>
              </w:rPr>
              <w:t>按照投标人须知前附表第1.4.2项第1条组成联合体投标的，考量实力时均以联合体中较高一方为准。</w:t>
            </w:r>
          </w:p>
          <w:p>
            <w:pPr>
              <w:autoSpaceDE w:val="0"/>
              <w:autoSpaceDN w:val="0"/>
              <w:spacing w:line="360" w:lineRule="auto"/>
              <w:jc w:val="left"/>
              <w:rPr>
                <w:color w:val="auto"/>
                <w:sz w:val="21"/>
                <w:szCs w:val="21"/>
                <w:highlight w:val="none"/>
              </w:rPr>
            </w:pPr>
            <w:r>
              <w:rPr>
                <w:rFonts w:hint="eastAsia"/>
                <w:color w:val="auto"/>
                <w:sz w:val="21"/>
                <w:szCs w:val="21"/>
                <w:highlight w:val="none"/>
              </w:rPr>
              <w:t>3、报价</w:t>
            </w:r>
          </w:p>
          <w:p>
            <w:pPr>
              <w:autoSpaceDE w:val="0"/>
              <w:autoSpaceDN w:val="0"/>
              <w:spacing w:line="360" w:lineRule="auto"/>
              <w:ind w:firstLine="420" w:firstLineChars="200"/>
              <w:jc w:val="left"/>
              <w:rPr>
                <w:rFonts w:hint="eastAsia" w:hAnsi="Calibri"/>
                <w:color w:val="0000FF"/>
                <w:sz w:val="21"/>
                <w:szCs w:val="21"/>
                <w:highlight w:val="none"/>
                <w:u w:val="single"/>
                <w:lang w:eastAsia="zh-CN"/>
              </w:rPr>
            </w:pPr>
            <w:r>
              <w:rPr>
                <w:rFonts w:hint="eastAsia" w:cs="宋体"/>
                <w:color w:val="auto"/>
                <w:sz w:val="21"/>
                <w:szCs w:val="21"/>
                <w:highlight w:val="none"/>
              </w:rPr>
              <w:t>（1）</w:t>
            </w:r>
            <w:r>
              <w:rPr>
                <w:rFonts w:hint="eastAsia"/>
                <w:color w:val="auto"/>
                <w:sz w:val="21"/>
                <w:szCs w:val="21"/>
                <w:highlight w:val="none"/>
              </w:rPr>
              <w:t>子要素内容：</w:t>
            </w:r>
            <w:r>
              <w:rPr>
                <w:rFonts w:hint="eastAsia" w:hAnsi="Calibri"/>
                <w:color w:val="0000FF"/>
                <w:sz w:val="21"/>
                <w:szCs w:val="21"/>
                <w:highlight w:val="none"/>
                <w:u w:val="single"/>
              </w:rPr>
              <w:t>投标报价</w:t>
            </w:r>
            <w:r>
              <w:rPr>
                <w:rFonts w:hint="eastAsia" w:hAnsi="Calibri"/>
                <w:color w:val="0000FF"/>
                <w:sz w:val="21"/>
                <w:szCs w:val="21"/>
                <w:highlight w:val="none"/>
                <w:u w:val="single"/>
                <w:lang w:eastAsia="zh-CN"/>
              </w:rPr>
              <w:t>对比</w:t>
            </w:r>
            <w:r>
              <w:rPr>
                <w:rFonts w:hint="eastAsia" w:hAnsi="Calibri"/>
                <w:color w:val="0000FF"/>
                <w:sz w:val="21"/>
                <w:szCs w:val="21"/>
                <w:highlight w:val="none"/>
                <w:u w:val="single"/>
              </w:rPr>
              <w:t>项目最高投标报价限价的下浮率</w:t>
            </w:r>
            <w:r>
              <w:rPr>
                <w:rFonts w:hint="eastAsia" w:hAnsi="Calibri"/>
                <w:color w:val="0000FF"/>
                <w:sz w:val="21"/>
                <w:szCs w:val="21"/>
                <w:highlight w:val="none"/>
                <w:u w:val="single"/>
                <w:lang w:val="en-US" w:eastAsia="zh-CN"/>
              </w:rPr>
              <w:t>【</w:t>
            </w:r>
            <w:r>
              <w:rPr>
                <w:rFonts w:hint="eastAsia" w:hAnsi="Calibri"/>
                <w:color w:val="0000FF"/>
                <w:sz w:val="21"/>
                <w:szCs w:val="21"/>
                <w:highlight w:val="none"/>
                <w:u w:val="single"/>
              </w:rPr>
              <w:t>下浮率=[1-(投标报价-暂列金额-专业工程暂估价)÷(最高投标报价限价-暂列金额-专业工程暂估价)]</w:t>
            </w:r>
            <w:r>
              <w:rPr>
                <w:rFonts w:hint="eastAsia" w:hAnsi="Calibri"/>
                <w:color w:val="0000FF"/>
                <w:sz w:val="21"/>
                <w:szCs w:val="21"/>
                <w:highlight w:val="none"/>
                <w:u w:val="single"/>
                <w:lang w:val="en-US" w:eastAsia="zh-CN"/>
              </w:rPr>
              <w:t>×</w:t>
            </w:r>
            <w:r>
              <w:rPr>
                <w:rFonts w:hint="eastAsia" w:hAnsi="Calibri"/>
                <w:color w:val="0000FF"/>
                <w:sz w:val="21"/>
                <w:szCs w:val="21"/>
                <w:highlight w:val="none"/>
                <w:u w:val="single"/>
              </w:rPr>
              <w:t>100%</w:t>
            </w:r>
            <w:r>
              <w:rPr>
                <w:rFonts w:hint="eastAsia" w:hAnsi="Calibri"/>
                <w:color w:val="0000FF"/>
                <w:sz w:val="21"/>
                <w:szCs w:val="21"/>
                <w:highlight w:val="none"/>
                <w:u w:val="single"/>
                <w:lang w:val="en-US" w:eastAsia="zh-CN"/>
              </w:rPr>
              <w:t>】</w:t>
            </w:r>
            <w:r>
              <w:rPr>
                <w:rFonts w:hint="eastAsia" w:hAnsi="Calibri"/>
                <w:color w:val="0000FF"/>
                <w:sz w:val="21"/>
                <w:szCs w:val="21"/>
                <w:highlight w:val="none"/>
                <w:u w:val="single"/>
              </w:rPr>
              <w:t>。</w:t>
            </w:r>
            <w:r>
              <w:rPr>
                <w:rFonts w:hint="eastAsia" w:hAnsi="Calibri"/>
                <w:color w:val="0000FF"/>
                <w:sz w:val="21"/>
                <w:szCs w:val="21"/>
                <w:highlight w:val="none"/>
                <w:u w:val="single"/>
                <w:lang w:eastAsia="zh-CN"/>
              </w:rPr>
              <w:t>（按百分数表示的下浮率小数点后保留</w:t>
            </w:r>
            <w:r>
              <w:rPr>
                <w:rFonts w:hint="eastAsia" w:hAnsi="Calibri"/>
                <w:color w:val="0000FF"/>
                <w:sz w:val="21"/>
                <w:szCs w:val="21"/>
                <w:highlight w:val="none"/>
                <w:u w:val="single"/>
                <w:lang w:val="en-US" w:eastAsia="zh-CN"/>
              </w:rPr>
              <w:t>2位（小数点后第三位“四舍五入”，第四位及以后不计</w:t>
            </w:r>
            <w:r>
              <w:rPr>
                <w:rFonts w:hint="eastAsia" w:hAnsi="Calibri"/>
                <w:color w:val="0000FF"/>
                <w:sz w:val="21"/>
                <w:szCs w:val="21"/>
                <w:highlight w:val="none"/>
                <w:u w:val="single"/>
                <w:lang w:eastAsia="zh-CN"/>
              </w:rPr>
              <w:t>）。</w:t>
            </w:r>
          </w:p>
          <w:p>
            <w:pPr>
              <w:autoSpaceDE w:val="0"/>
              <w:autoSpaceDN w:val="0"/>
              <w:spacing w:line="360" w:lineRule="auto"/>
              <w:ind w:firstLine="420" w:firstLineChars="200"/>
              <w:jc w:val="left"/>
              <w:rPr>
                <w:rFonts w:hint="eastAsia" w:hAnsi="Calibri"/>
                <w:color w:val="0000FF"/>
                <w:sz w:val="21"/>
                <w:szCs w:val="21"/>
                <w:highlight w:val="none"/>
                <w:u w:val="single"/>
                <w:lang w:eastAsia="zh-CN"/>
              </w:rPr>
            </w:pPr>
            <w:r>
              <w:rPr>
                <w:rFonts w:hint="eastAsia" w:hAnsi="Calibri"/>
                <w:color w:val="0000FF"/>
                <w:sz w:val="21"/>
                <w:szCs w:val="21"/>
                <w:highlight w:val="none"/>
                <w:u w:val="single"/>
                <w:lang w:eastAsia="zh-CN"/>
              </w:rPr>
              <w:t>清标工作开始时，由建设单位代表抽取确定报价下浮率满分区间的 K 值，按百分数表示的 K 值小数点后保留 2 位。K 值分三次抽取，首先抽取整数位，其次抽取小数点后第一位，最后抽取小数点后第二位。</w:t>
            </w:r>
          </w:p>
          <w:p>
            <w:pPr>
              <w:autoSpaceDE w:val="0"/>
              <w:autoSpaceDN w:val="0"/>
              <w:spacing w:line="360" w:lineRule="auto"/>
              <w:jc w:val="left"/>
              <w:rPr>
                <w:rFonts w:hAnsi="Calibri"/>
                <w:color w:val="auto"/>
                <w:sz w:val="21"/>
                <w:szCs w:val="21"/>
                <w:highlight w:val="none"/>
                <w:u w:val="single"/>
              </w:rPr>
            </w:pPr>
            <w:r>
              <w:rPr>
                <w:rFonts w:hint="eastAsia"/>
                <w:color w:val="auto"/>
                <w:sz w:val="21"/>
                <w:szCs w:val="21"/>
                <w:highlight w:val="none"/>
              </w:rPr>
              <w:t>4、评标委员会评审意见</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c>
          <w:tcPr>
            <w:tcW w:w="709" w:type="dxa"/>
            <w:tcBorders>
              <w:bottom w:val="single" w:color="auto" w:sz="4" w:space="0"/>
            </w:tcBorders>
            <w:vAlign w:val="center"/>
          </w:tcPr>
          <w:p>
            <w:pPr>
              <w:autoSpaceDE w:val="0"/>
              <w:autoSpaceDN w:val="0"/>
              <w:spacing w:line="300" w:lineRule="auto"/>
              <w:jc w:val="center"/>
              <w:rPr>
                <w:rFonts w:cs="宋体"/>
                <w:color w:val="auto"/>
                <w:kern w:val="1"/>
                <w:sz w:val="21"/>
                <w:szCs w:val="21"/>
                <w:highlight w:val="none"/>
              </w:rPr>
            </w:pPr>
            <w:r>
              <w:rPr>
                <w:rFonts w:hint="eastAsia" w:cs="宋体"/>
                <w:color w:val="auto"/>
                <w:kern w:val="1"/>
                <w:sz w:val="21"/>
                <w:szCs w:val="21"/>
                <w:highlight w:val="none"/>
              </w:rPr>
              <w:t>2</w:t>
            </w:r>
          </w:p>
        </w:tc>
        <w:tc>
          <w:tcPr>
            <w:tcW w:w="851" w:type="dxa"/>
            <w:tcBorders>
              <w:bottom w:val="single" w:color="auto" w:sz="4" w:space="0"/>
            </w:tcBorders>
            <w:vAlign w:val="center"/>
          </w:tcPr>
          <w:p>
            <w:pPr>
              <w:autoSpaceDE w:val="0"/>
              <w:autoSpaceDN w:val="0"/>
              <w:spacing w:line="300" w:lineRule="auto"/>
              <w:jc w:val="center"/>
              <w:rPr>
                <w:rFonts w:cs="宋体"/>
                <w:color w:val="auto"/>
                <w:sz w:val="21"/>
                <w:szCs w:val="21"/>
                <w:highlight w:val="none"/>
              </w:rPr>
            </w:pPr>
            <w:r>
              <w:rPr>
                <w:rFonts w:hint="eastAsia" w:cs="宋体"/>
                <w:color w:val="auto"/>
                <w:sz w:val="21"/>
                <w:szCs w:val="21"/>
                <w:highlight w:val="none"/>
              </w:rPr>
              <w:t>3.3.4</w:t>
            </w:r>
          </w:p>
        </w:tc>
        <w:tc>
          <w:tcPr>
            <w:tcW w:w="1701" w:type="dxa"/>
            <w:tcBorders>
              <w:bottom w:val="single" w:color="auto" w:sz="4" w:space="0"/>
            </w:tcBorders>
            <w:vAlign w:val="center"/>
          </w:tcPr>
          <w:p>
            <w:pPr>
              <w:autoSpaceDE w:val="0"/>
              <w:autoSpaceDN w:val="0"/>
              <w:spacing w:line="300" w:lineRule="auto"/>
              <w:jc w:val="center"/>
              <w:rPr>
                <w:rFonts w:cs="宋体"/>
                <w:color w:val="auto"/>
                <w:kern w:val="1"/>
                <w:sz w:val="21"/>
                <w:szCs w:val="21"/>
                <w:highlight w:val="none"/>
              </w:rPr>
            </w:pPr>
            <w:r>
              <w:rPr>
                <w:rFonts w:hint="eastAsia" w:cs="宋体"/>
                <w:color w:val="auto"/>
                <w:sz w:val="21"/>
                <w:szCs w:val="21"/>
                <w:highlight w:val="none"/>
              </w:rPr>
              <w:t>定标票决办法</w:t>
            </w:r>
          </w:p>
        </w:tc>
        <w:tc>
          <w:tcPr>
            <w:tcW w:w="6520" w:type="dxa"/>
            <w:vAlign w:val="center"/>
          </w:tcPr>
          <w:p>
            <w:pPr>
              <w:autoSpaceDE w:val="0"/>
              <w:autoSpaceDN w:val="0"/>
              <w:spacing w:line="300" w:lineRule="auto"/>
              <w:ind w:firstLine="420" w:firstLineChars="200"/>
              <w:jc w:val="left"/>
              <w:rPr>
                <w:rFonts w:cs="宋体"/>
                <w:color w:val="auto"/>
                <w:kern w:val="1"/>
                <w:sz w:val="21"/>
                <w:szCs w:val="21"/>
                <w:highlight w:val="none"/>
              </w:rPr>
            </w:pPr>
            <w:r>
              <w:rPr>
                <w:rFonts w:cs="宋体"/>
                <w:color w:val="auto"/>
                <w:sz w:val="21"/>
                <w:szCs w:val="21"/>
                <w:highlight w:val="none"/>
                <w:lang w:val="zh-CN" w:bidi="zh-CN"/>
              </w:rPr>
              <w:t>见投标人须知前附表</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6219" w:hRule="atLeast"/>
        </w:trPr>
        <w:tc>
          <w:tcPr>
            <w:tcW w:w="709" w:type="dxa"/>
            <w:tcBorders>
              <w:top w:val="single" w:color="auto" w:sz="4" w:space="0"/>
            </w:tcBorders>
            <w:vAlign w:val="center"/>
          </w:tcPr>
          <w:p>
            <w:pPr>
              <w:autoSpaceDE w:val="0"/>
              <w:autoSpaceDN w:val="0"/>
              <w:spacing w:line="300" w:lineRule="auto"/>
              <w:jc w:val="center"/>
              <w:rPr>
                <w:rFonts w:cs="宋体"/>
                <w:color w:val="auto"/>
                <w:kern w:val="1"/>
                <w:sz w:val="21"/>
                <w:szCs w:val="21"/>
                <w:highlight w:val="none"/>
              </w:rPr>
            </w:pPr>
            <w:r>
              <w:rPr>
                <w:rFonts w:hint="eastAsia" w:cs="宋体"/>
                <w:color w:val="auto"/>
                <w:kern w:val="1"/>
                <w:sz w:val="21"/>
                <w:szCs w:val="21"/>
                <w:highlight w:val="none"/>
              </w:rPr>
              <w:t>3</w:t>
            </w:r>
          </w:p>
        </w:tc>
        <w:tc>
          <w:tcPr>
            <w:tcW w:w="851" w:type="dxa"/>
            <w:tcBorders>
              <w:top w:val="single" w:color="auto" w:sz="4" w:space="0"/>
            </w:tcBorders>
            <w:vAlign w:val="center"/>
          </w:tcPr>
          <w:p>
            <w:pPr>
              <w:autoSpaceDE w:val="0"/>
              <w:autoSpaceDN w:val="0"/>
              <w:spacing w:line="300" w:lineRule="auto"/>
              <w:jc w:val="center"/>
              <w:rPr>
                <w:rFonts w:cs="宋体"/>
                <w:color w:val="auto"/>
                <w:sz w:val="21"/>
                <w:szCs w:val="21"/>
                <w:highlight w:val="none"/>
              </w:rPr>
            </w:pPr>
            <w:r>
              <w:rPr>
                <w:rFonts w:hint="eastAsia" w:cs="宋体"/>
                <w:color w:val="auto"/>
                <w:sz w:val="21"/>
                <w:szCs w:val="21"/>
                <w:highlight w:val="none"/>
              </w:rPr>
              <w:t>3.3.5（1）</w:t>
            </w:r>
          </w:p>
        </w:tc>
        <w:tc>
          <w:tcPr>
            <w:tcW w:w="1701" w:type="dxa"/>
            <w:tcBorders>
              <w:top w:val="single" w:color="auto" w:sz="4" w:space="0"/>
            </w:tcBorders>
            <w:vAlign w:val="center"/>
          </w:tcPr>
          <w:p>
            <w:pPr>
              <w:autoSpaceDE w:val="0"/>
              <w:autoSpaceDN w:val="0"/>
              <w:spacing w:line="300" w:lineRule="auto"/>
              <w:jc w:val="center"/>
              <w:rPr>
                <w:rFonts w:cs="宋体"/>
                <w:color w:val="auto"/>
                <w:kern w:val="1"/>
                <w:sz w:val="21"/>
                <w:szCs w:val="21"/>
                <w:highlight w:val="none"/>
              </w:rPr>
            </w:pPr>
            <w:r>
              <w:rPr>
                <w:rFonts w:hint="eastAsia" w:cs="宋体"/>
                <w:color w:val="auto"/>
                <w:sz w:val="21"/>
                <w:szCs w:val="21"/>
                <w:highlight w:val="none"/>
              </w:rPr>
              <w:t>票决定标法</w:t>
            </w:r>
          </w:p>
        </w:tc>
        <w:tc>
          <w:tcPr>
            <w:tcW w:w="6520" w:type="dxa"/>
            <w:vAlign w:val="center"/>
          </w:tcPr>
          <w:p>
            <w:pPr>
              <w:autoSpaceDE w:val="0"/>
              <w:autoSpaceDN w:val="0"/>
              <w:spacing w:line="300" w:lineRule="auto"/>
              <w:ind w:firstLine="422" w:firstLineChars="200"/>
              <w:jc w:val="left"/>
              <w:rPr>
                <w:rFonts w:cs="宋体"/>
                <w:b/>
                <w:color w:val="auto"/>
                <w:sz w:val="21"/>
                <w:szCs w:val="21"/>
                <w:highlight w:val="none"/>
              </w:rPr>
            </w:pPr>
            <w:r>
              <w:rPr>
                <w:rFonts w:hint="eastAsia" w:cs="宋体"/>
                <w:b/>
                <w:color w:val="auto"/>
                <w:sz w:val="21"/>
                <w:szCs w:val="21"/>
                <w:highlight w:val="none"/>
              </w:rPr>
              <w:t>1、直接票决法</w:t>
            </w:r>
          </w:p>
          <w:p>
            <w:pPr>
              <w:autoSpaceDE w:val="0"/>
              <w:autoSpaceDN w:val="0"/>
              <w:spacing w:line="300" w:lineRule="auto"/>
              <w:ind w:firstLine="420" w:firstLineChars="200"/>
              <w:jc w:val="left"/>
              <w:rPr>
                <w:rFonts w:cs="宋体"/>
                <w:b/>
                <w:color w:val="auto"/>
                <w:sz w:val="21"/>
                <w:szCs w:val="21"/>
                <w:highlight w:val="none"/>
              </w:rPr>
            </w:pPr>
            <w:r>
              <w:rPr>
                <w:rFonts w:hint="eastAsia" w:cs="宋体"/>
                <w:color w:val="auto"/>
                <w:sz w:val="21"/>
                <w:szCs w:val="21"/>
                <w:highlight w:val="none"/>
              </w:rPr>
              <w:t>定标委员会在进入票决范围的定标候选人中，以每人投票支持一家候选人的方式，将得票数最多且得票数超过定标委员会总人数半数的候选人确定为中标人。</w:t>
            </w:r>
          </w:p>
          <w:p>
            <w:pPr>
              <w:autoSpaceDE w:val="0"/>
              <w:autoSpaceDN w:val="0"/>
              <w:spacing w:line="300" w:lineRule="auto"/>
              <w:ind w:firstLine="420" w:firstLineChars="200"/>
              <w:jc w:val="left"/>
              <w:rPr>
                <w:rFonts w:cs="宋体"/>
                <w:color w:val="auto"/>
                <w:sz w:val="21"/>
                <w:szCs w:val="21"/>
                <w:highlight w:val="none"/>
              </w:rPr>
            </w:pPr>
            <w:r>
              <w:rPr>
                <w:rFonts w:hint="eastAsia" w:cs="宋体"/>
                <w:color w:val="auto"/>
                <w:sz w:val="21"/>
                <w:szCs w:val="21"/>
                <w:highlight w:val="none"/>
              </w:rPr>
              <w:t>当没有候选人得票数超过定标委员会总人数半数时，选择得票数排序在前的2家候选人（按上一轮得票数多少的顺序选择，在选择第2家候选人时出现同票的候选人时，所有同票候选人一并纳入下一轮的投票范围）作为再次投票的范围，直至出现得票数超过定标委员会总人数半数的候选人为止。</w:t>
            </w:r>
          </w:p>
          <w:p>
            <w:pPr>
              <w:autoSpaceDE w:val="0"/>
              <w:autoSpaceDN w:val="0"/>
              <w:spacing w:line="300" w:lineRule="auto"/>
              <w:ind w:firstLine="422" w:firstLineChars="200"/>
              <w:jc w:val="left"/>
              <w:rPr>
                <w:rFonts w:cs="宋体"/>
                <w:b/>
                <w:color w:val="auto"/>
                <w:sz w:val="21"/>
                <w:szCs w:val="21"/>
                <w:highlight w:val="none"/>
              </w:rPr>
            </w:pPr>
            <w:r>
              <w:rPr>
                <w:rFonts w:hint="eastAsia" w:cs="宋体"/>
                <w:b/>
                <w:color w:val="auto"/>
                <w:sz w:val="21"/>
                <w:szCs w:val="21"/>
                <w:highlight w:val="none"/>
              </w:rPr>
              <w:t>2、逐轮票决法</w:t>
            </w:r>
          </w:p>
          <w:p>
            <w:pPr>
              <w:autoSpaceDE w:val="0"/>
              <w:autoSpaceDN w:val="0"/>
              <w:spacing w:line="300" w:lineRule="auto"/>
              <w:ind w:firstLine="420" w:firstLineChars="200"/>
              <w:jc w:val="left"/>
              <w:rPr>
                <w:rFonts w:cs="宋体"/>
                <w:color w:val="auto"/>
                <w:sz w:val="21"/>
                <w:szCs w:val="21"/>
                <w:highlight w:val="none"/>
              </w:rPr>
            </w:pPr>
            <w:r>
              <w:rPr>
                <w:rFonts w:hint="eastAsia" w:cs="宋体"/>
                <w:color w:val="auto"/>
                <w:sz w:val="21"/>
                <w:szCs w:val="21"/>
                <w:highlight w:val="none"/>
              </w:rPr>
              <w:t>定标委员会在进入票决范围的定标候选人中，先以每人投票支持3家候选人的方式，将得票数排序在前的3家候选人进入下一轮的淘汰投票。如果出现得票数相同的情形，则得票数相同的候选人一并进入下一轮的淘汰投票。</w:t>
            </w:r>
          </w:p>
          <w:p>
            <w:pPr>
              <w:autoSpaceDE w:val="0"/>
              <w:autoSpaceDN w:val="0"/>
              <w:spacing w:line="300" w:lineRule="auto"/>
              <w:ind w:firstLine="420" w:firstLineChars="200"/>
              <w:jc w:val="left"/>
              <w:rPr>
                <w:rFonts w:cs="宋体"/>
                <w:b/>
                <w:color w:val="auto"/>
                <w:sz w:val="21"/>
                <w:szCs w:val="21"/>
                <w:highlight w:val="none"/>
              </w:rPr>
            </w:pPr>
            <w:r>
              <w:rPr>
                <w:rFonts w:hint="eastAsia" w:cs="宋体"/>
                <w:color w:val="auto"/>
                <w:sz w:val="21"/>
                <w:szCs w:val="21"/>
                <w:highlight w:val="none"/>
              </w:rPr>
              <w:t>原则上每轮淘汰1家候选人。各轮投票时，每人投1家淘汰单位，该轮得票最多的投标人被淘汰。得票最多的候选人不止1家时，一并加以淘汰，但必须确保第一次淘汰之后剩余的候选人不少于2家，否则在得票最多的几家候选人中按前述规则进行二次淘汰，剩余的候选人进入下一轮淘汰投票。</w:t>
            </w:r>
          </w:p>
          <w:p>
            <w:pPr>
              <w:autoSpaceDE w:val="0"/>
              <w:autoSpaceDN w:val="0"/>
              <w:spacing w:line="300" w:lineRule="auto"/>
              <w:ind w:firstLine="420" w:firstLineChars="200"/>
              <w:jc w:val="left"/>
              <w:rPr>
                <w:rFonts w:cs="宋体"/>
                <w:b/>
                <w:color w:val="auto"/>
                <w:sz w:val="21"/>
                <w:szCs w:val="21"/>
                <w:highlight w:val="none"/>
              </w:rPr>
            </w:pPr>
            <w:r>
              <w:rPr>
                <w:rFonts w:hint="eastAsia" w:cs="宋体"/>
                <w:color w:val="auto"/>
                <w:sz w:val="21"/>
                <w:szCs w:val="21"/>
                <w:highlight w:val="none"/>
              </w:rPr>
              <w:t>根据前述规则，直至剩余1家候选人为中标人。</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c>
          <w:tcPr>
            <w:tcW w:w="709" w:type="dxa"/>
            <w:vAlign w:val="center"/>
          </w:tcPr>
          <w:p>
            <w:pPr>
              <w:autoSpaceDE w:val="0"/>
              <w:autoSpaceDN w:val="0"/>
              <w:spacing w:line="300" w:lineRule="auto"/>
              <w:jc w:val="center"/>
              <w:rPr>
                <w:rFonts w:cs="宋体"/>
                <w:color w:val="auto"/>
                <w:kern w:val="1"/>
                <w:sz w:val="21"/>
                <w:szCs w:val="21"/>
                <w:highlight w:val="none"/>
              </w:rPr>
            </w:pPr>
            <w:r>
              <w:rPr>
                <w:rFonts w:hint="eastAsia" w:cs="宋体"/>
                <w:color w:val="auto"/>
                <w:kern w:val="1"/>
                <w:sz w:val="21"/>
                <w:szCs w:val="21"/>
                <w:highlight w:val="none"/>
              </w:rPr>
              <w:t>4</w:t>
            </w:r>
          </w:p>
        </w:tc>
        <w:tc>
          <w:tcPr>
            <w:tcW w:w="851" w:type="dxa"/>
            <w:vAlign w:val="center"/>
          </w:tcPr>
          <w:p>
            <w:pPr>
              <w:autoSpaceDE w:val="0"/>
              <w:autoSpaceDN w:val="0"/>
              <w:spacing w:line="300" w:lineRule="auto"/>
              <w:jc w:val="center"/>
              <w:rPr>
                <w:rFonts w:cs="宋体"/>
                <w:color w:val="auto"/>
                <w:sz w:val="21"/>
                <w:szCs w:val="21"/>
                <w:highlight w:val="none"/>
              </w:rPr>
            </w:pPr>
            <w:r>
              <w:rPr>
                <w:rFonts w:hint="eastAsia" w:cs="宋体"/>
                <w:color w:val="auto"/>
                <w:sz w:val="21"/>
                <w:szCs w:val="21"/>
                <w:highlight w:val="none"/>
              </w:rPr>
              <w:t>3.3.5（2）</w:t>
            </w:r>
          </w:p>
        </w:tc>
        <w:tc>
          <w:tcPr>
            <w:tcW w:w="1701" w:type="dxa"/>
            <w:vAlign w:val="center"/>
          </w:tcPr>
          <w:p>
            <w:pPr>
              <w:autoSpaceDE w:val="0"/>
              <w:autoSpaceDN w:val="0"/>
              <w:spacing w:line="300" w:lineRule="auto"/>
              <w:jc w:val="left"/>
              <w:rPr>
                <w:rFonts w:ascii="Calibri" w:hAnsi="Calibri"/>
                <w:color w:val="auto"/>
                <w:sz w:val="21"/>
                <w:szCs w:val="21"/>
                <w:highlight w:val="none"/>
              </w:rPr>
            </w:pPr>
            <w:r>
              <w:rPr>
                <w:rFonts w:hint="eastAsia" w:cs="宋体"/>
                <w:color w:val="auto"/>
                <w:sz w:val="21"/>
                <w:szCs w:val="21"/>
                <w:highlight w:val="none"/>
              </w:rPr>
              <w:t>票决抽签定标法</w:t>
            </w:r>
          </w:p>
        </w:tc>
        <w:tc>
          <w:tcPr>
            <w:tcW w:w="6520" w:type="dxa"/>
            <w:vAlign w:val="center"/>
          </w:tcPr>
          <w:p>
            <w:pPr>
              <w:autoSpaceDE w:val="0"/>
              <w:autoSpaceDN w:val="0"/>
              <w:spacing w:line="300" w:lineRule="auto"/>
              <w:ind w:firstLine="420" w:firstLineChars="200"/>
              <w:jc w:val="left"/>
              <w:rPr>
                <w:rFonts w:cs="宋体"/>
                <w:color w:val="auto"/>
                <w:sz w:val="21"/>
                <w:szCs w:val="21"/>
                <w:highlight w:val="none"/>
              </w:rPr>
            </w:pPr>
            <w:bookmarkStart w:id="771" w:name="票决抽签定标"/>
            <w:r>
              <w:rPr>
                <w:rFonts w:hint="eastAsia" w:cs="宋体"/>
                <w:color w:val="auto"/>
                <w:sz w:val="21"/>
                <w:szCs w:val="21"/>
                <w:highlight w:val="none"/>
              </w:rPr>
              <w:t>1、定标委员会在进入票决范围的定标候选人中，以每人投票支持3家候选人的方式，将得票数排序在前的3家候选人进入随机抽取环节。如果出现得票数相同的情形导致影响确定进入随机抽取环节候选人的，则对得票数相同的候选人按直接票决法的原则进行票决选择，直至选择出3家候选人为止。</w:t>
            </w:r>
          </w:p>
          <w:bookmarkEnd w:id="771"/>
          <w:p>
            <w:pPr>
              <w:autoSpaceDE w:val="0"/>
              <w:autoSpaceDN w:val="0"/>
              <w:spacing w:line="300" w:lineRule="auto"/>
              <w:ind w:firstLine="420" w:firstLineChars="200"/>
              <w:jc w:val="left"/>
              <w:rPr>
                <w:rFonts w:cs="宋体"/>
                <w:b/>
                <w:color w:val="auto"/>
                <w:sz w:val="21"/>
                <w:szCs w:val="21"/>
                <w:highlight w:val="none"/>
              </w:rPr>
            </w:pPr>
            <w:r>
              <w:rPr>
                <w:rFonts w:hint="eastAsia" w:cs="宋体"/>
                <w:color w:val="auto"/>
                <w:sz w:val="21"/>
                <w:szCs w:val="21"/>
                <w:highlight w:val="none"/>
              </w:rPr>
              <w:t>2、按照上述标准选择的3家候选人采用随机抽取方式确定中标人，随机抽取规则如下：</w:t>
            </w:r>
          </w:p>
          <w:p>
            <w:pPr>
              <w:autoSpaceDE w:val="0"/>
              <w:autoSpaceDN w:val="0"/>
              <w:spacing w:line="300" w:lineRule="auto"/>
              <w:ind w:firstLine="420" w:firstLineChars="200"/>
              <w:jc w:val="left"/>
              <w:rPr>
                <w:color w:val="auto"/>
                <w:kern w:val="1"/>
                <w:sz w:val="21"/>
                <w:szCs w:val="21"/>
                <w:highlight w:val="none"/>
                <w:lang w:val="zh-CN"/>
              </w:rPr>
            </w:pPr>
            <w:r>
              <w:rPr>
                <w:rFonts w:hint="eastAsia"/>
                <w:color w:val="auto"/>
                <w:kern w:val="1"/>
                <w:sz w:val="21"/>
                <w:szCs w:val="21"/>
                <w:highlight w:val="none"/>
                <w:lang w:val="zh-CN"/>
              </w:rPr>
              <w:t>候选人的投标人代表号即为候选人代表球号，由建设单位派出代表（除定标委员会成员以外人员）在市公共资源交易中心开标区抽取机中放入所有候选人代表球号，第1次抽取出的球号对应的候选人为中标人。</w:t>
            </w:r>
          </w:p>
          <w:p>
            <w:pPr>
              <w:autoSpaceDE w:val="0"/>
              <w:autoSpaceDN w:val="0"/>
              <w:spacing w:line="300" w:lineRule="auto"/>
              <w:ind w:firstLine="420" w:firstLineChars="200"/>
              <w:jc w:val="left"/>
              <w:rPr>
                <w:color w:val="auto"/>
                <w:kern w:val="1"/>
                <w:sz w:val="21"/>
                <w:szCs w:val="21"/>
                <w:highlight w:val="none"/>
                <w:lang w:val="zh-CN"/>
              </w:rPr>
            </w:pPr>
            <w:r>
              <w:rPr>
                <w:rFonts w:hint="eastAsia"/>
                <w:color w:val="auto"/>
                <w:kern w:val="1"/>
                <w:sz w:val="21"/>
                <w:szCs w:val="21"/>
                <w:highlight w:val="none"/>
                <w:lang w:val="zh-CN"/>
              </w:rPr>
              <w:t>在抽取过程中，如出现由于建设单位的工作失误</w:t>
            </w:r>
            <w:r>
              <w:rPr>
                <w:color w:val="auto"/>
                <w:kern w:val="1"/>
                <w:sz w:val="21"/>
                <w:szCs w:val="21"/>
                <w:highlight w:val="none"/>
                <w:lang w:val="zh-CN"/>
              </w:rPr>
              <w:t>或设备故障</w:t>
            </w:r>
            <w:r>
              <w:rPr>
                <w:rFonts w:hint="eastAsia"/>
                <w:color w:val="auto"/>
                <w:kern w:val="1"/>
                <w:sz w:val="21"/>
                <w:szCs w:val="21"/>
                <w:highlight w:val="none"/>
                <w:lang w:val="zh-CN"/>
              </w:rPr>
              <w:t>影响抽取结果的，抽取中标人无效，应当重新抽取。</w:t>
            </w:r>
          </w:p>
          <w:p>
            <w:pPr>
              <w:autoSpaceDE w:val="0"/>
              <w:autoSpaceDN w:val="0"/>
              <w:spacing w:line="300" w:lineRule="auto"/>
              <w:ind w:firstLine="420" w:firstLineChars="200"/>
              <w:jc w:val="left"/>
              <w:rPr>
                <w:color w:val="auto"/>
                <w:kern w:val="1"/>
                <w:sz w:val="21"/>
                <w:szCs w:val="21"/>
                <w:highlight w:val="none"/>
                <w:lang w:val="zh-CN"/>
              </w:rPr>
            </w:pPr>
            <w:r>
              <w:rPr>
                <w:color w:val="auto"/>
                <w:kern w:val="1"/>
                <w:sz w:val="21"/>
                <w:szCs w:val="21"/>
                <w:highlight w:val="none"/>
                <w:lang w:val="zh-CN"/>
              </w:rPr>
              <w:t>所有抽球过程实行全程录音录像监控。</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c>
          <w:tcPr>
            <w:tcW w:w="709" w:type="dxa"/>
            <w:vAlign w:val="center"/>
          </w:tcPr>
          <w:p>
            <w:pPr>
              <w:autoSpaceDE w:val="0"/>
              <w:autoSpaceDN w:val="0"/>
              <w:spacing w:line="300" w:lineRule="auto"/>
              <w:jc w:val="center"/>
              <w:rPr>
                <w:rFonts w:cs="宋体"/>
                <w:color w:val="auto"/>
                <w:kern w:val="1"/>
                <w:sz w:val="21"/>
                <w:szCs w:val="21"/>
                <w:highlight w:val="none"/>
              </w:rPr>
            </w:pPr>
            <w:r>
              <w:rPr>
                <w:rFonts w:hint="eastAsia" w:cs="宋体"/>
                <w:color w:val="auto"/>
                <w:kern w:val="1"/>
                <w:sz w:val="21"/>
                <w:szCs w:val="21"/>
                <w:highlight w:val="none"/>
              </w:rPr>
              <w:t>5</w:t>
            </w:r>
          </w:p>
        </w:tc>
        <w:tc>
          <w:tcPr>
            <w:tcW w:w="851" w:type="dxa"/>
            <w:vAlign w:val="center"/>
          </w:tcPr>
          <w:p>
            <w:pPr>
              <w:autoSpaceDE w:val="0"/>
              <w:autoSpaceDN w:val="0"/>
              <w:spacing w:line="300" w:lineRule="auto"/>
              <w:jc w:val="center"/>
              <w:rPr>
                <w:rFonts w:cs="宋体"/>
                <w:color w:val="auto"/>
                <w:sz w:val="21"/>
                <w:szCs w:val="21"/>
                <w:highlight w:val="none"/>
              </w:rPr>
            </w:pPr>
            <w:r>
              <w:rPr>
                <w:rFonts w:hint="eastAsia" w:cs="宋体"/>
                <w:color w:val="auto"/>
                <w:sz w:val="21"/>
                <w:szCs w:val="21"/>
                <w:highlight w:val="none"/>
              </w:rPr>
              <w:t>3.3.5（3）</w:t>
            </w:r>
          </w:p>
        </w:tc>
        <w:tc>
          <w:tcPr>
            <w:tcW w:w="1701" w:type="dxa"/>
            <w:vAlign w:val="center"/>
          </w:tcPr>
          <w:p>
            <w:pPr>
              <w:autoSpaceDE w:val="0"/>
              <w:autoSpaceDN w:val="0"/>
              <w:spacing w:line="300" w:lineRule="auto"/>
              <w:jc w:val="left"/>
              <w:rPr>
                <w:rFonts w:ascii="Calibri" w:hAnsi="Calibri"/>
                <w:color w:val="auto"/>
                <w:sz w:val="21"/>
                <w:szCs w:val="21"/>
                <w:highlight w:val="none"/>
              </w:rPr>
            </w:pPr>
            <w:r>
              <w:rPr>
                <w:rFonts w:hint="eastAsia" w:cs="宋体"/>
                <w:color w:val="auto"/>
                <w:sz w:val="21"/>
                <w:szCs w:val="21"/>
                <w:highlight w:val="none"/>
              </w:rPr>
              <w:t>票决低价定标法</w:t>
            </w:r>
          </w:p>
        </w:tc>
        <w:tc>
          <w:tcPr>
            <w:tcW w:w="6520" w:type="dxa"/>
            <w:vAlign w:val="center"/>
          </w:tcPr>
          <w:p>
            <w:pPr>
              <w:autoSpaceDE w:val="0"/>
              <w:autoSpaceDN w:val="0"/>
              <w:spacing w:line="300" w:lineRule="auto"/>
              <w:ind w:firstLine="420" w:firstLineChars="200"/>
              <w:jc w:val="left"/>
              <w:rPr>
                <w:rFonts w:cs="宋体"/>
                <w:color w:val="auto"/>
                <w:sz w:val="21"/>
                <w:szCs w:val="21"/>
                <w:highlight w:val="none"/>
              </w:rPr>
            </w:pPr>
            <w:r>
              <w:rPr>
                <w:rFonts w:hint="eastAsia" w:cs="宋体"/>
                <w:color w:val="auto"/>
                <w:sz w:val="21"/>
                <w:szCs w:val="21"/>
                <w:highlight w:val="none"/>
              </w:rPr>
              <w:t>定标委员会在综合得分（或综合等级）最高的三家定标候选人〔与上述三家中综合得分（或综合等级）最低的定标候选人的综合得分（或综合等级）相同的定标候选人，一并进入低价选择范围〕中确定投标报价最低（投标报价如有修正，以修正后投标报价为准）的定标候选人为中标人。</w:t>
            </w:r>
          </w:p>
          <w:p>
            <w:pPr>
              <w:autoSpaceDE w:val="0"/>
              <w:autoSpaceDN w:val="0"/>
              <w:spacing w:line="300" w:lineRule="auto"/>
              <w:ind w:firstLine="420" w:firstLineChars="200"/>
              <w:jc w:val="left"/>
              <w:rPr>
                <w:rFonts w:cs="宋体"/>
                <w:b/>
                <w:color w:val="auto"/>
                <w:sz w:val="21"/>
                <w:szCs w:val="21"/>
                <w:highlight w:val="none"/>
              </w:rPr>
            </w:pPr>
            <w:r>
              <w:rPr>
                <w:rFonts w:hint="eastAsia" w:cs="宋体"/>
                <w:color w:val="auto"/>
                <w:sz w:val="21"/>
                <w:szCs w:val="21"/>
                <w:highlight w:val="none"/>
              </w:rPr>
              <w:t>如综合得分（或综合等级）最高的三家定标候选人中出现最低投标报价相同情形时，则在最低投标报价相同的候选人中，采用随机抽取方式确定中标人，随机抽取规则如下：</w:t>
            </w:r>
          </w:p>
          <w:p>
            <w:pPr>
              <w:autoSpaceDE w:val="0"/>
              <w:autoSpaceDN w:val="0"/>
              <w:spacing w:line="300" w:lineRule="auto"/>
              <w:ind w:firstLine="420" w:firstLineChars="200"/>
              <w:jc w:val="left"/>
              <w:rPr>
                <w:color w:val="auto"/>
                <w:kern w:val="1"/>
                <w:sz w:val="21"/>
                <w:szCs w:val="21"/>
                <w:highlight w:val="none"/>
                <w:lang w:val="zh-CN"/>
              </w:rPr>
            </w:pPr>
            <w:r>
              <w:rPr>
                <w:rFonts w:hint="eastAsia"/>
                <w:color w:val="auto"/>
                <w:kern w:val="1"/>
                <w:sz w:val="21"/>
                <w:szCs w:val="21"/>
                <w:highlight w:val="none"/>
                <w:lang w:val="zh-CN"/>
              </w:rPr>
              <w:t>候选人的投标人代表号即为候选人代表球号，由建设单位派出代表（除定标委员会成员以外人员）在市公共资源交易中心开标区抽取机中放入所有候选人代表球号，第1次抽取出的球号对应的候选人为中标人。</w:t>
            </w:r>
          </w:p>
          <w:p>
            <w:pPr>
              <w:autoSpaceDE w:val="0"/>
              <w:autoSpaceDN w:val="0"/>
              <w:spacing w:line="300" w:lineRule="auto"/>
              <w:ind w:firstLine="420" w:firstLineChars="200"/>
              <w:jc w:val="left"/>
              <w:rPr>
                <w:color w:val="auto"/>
                <w:kern w:val="1"/>
                <w:sz w:val="21"/>
                <w:szCs w:val="21"/>
                <w:highlight w:val="none"/>
                <w:lang w:val="zh-CN"/>
              </w:rPr>
            </w:pPr>
            <w:r>
              <w:rPr>
                <w:rFonts w:hint="eastAsia"/>
                <w:color w:val="auto"/>
                <w:kern w:val="1"/>
                <w:sz w:val="21"/>
                <w:szCs w:val="21"/>
                <w:highlight w:val="none"/>
                <w:lang w:val="zh-CN"/>
              </w:rPr>
              <w:t>在抽取过程中，如出现由于建设单位的工作失误</w:t>
            </w:r>
            <w:r>
              <w:rPr>
                <w:color w:val="auto"/>
                <w:kern w:val="1"/>
                <w:sz w:val="21"/>
                <w:szCs w:val="21"/>
                <w:highlight w:val="none"/>
                <w:lang w:val="zh-CN"/>
              </w:rPr>
              <w:t>或设备故障</w:t>
            </w:r>
            <w:r>
              <w:rPr>
                <w:rFonts w:hint="eastAsia"/>
                <w:color w:val="auto"/>
                <w:kern w:val="1"/>
                <w:sz w:val="21"/>
                <w:szCs w:val="21"/>
                <w:highlight w:val="none"/>
                <w:lang w:val="zh-CN"/>
              </w:rPr>
              <w:t>影响抽取结果的，抽取中标人无效，应当重新抽取。</w:t>
            </w:r>
          </w:p>
          <w:p>
            <w:pPr>
              <w:autoSpaceDE w:val="0"/>
              <w:autoSpaceDN w:val="0"/>
              <w:spacing w:line="300" w:lineRule="auto"/>
              <w:ind w:firstLine="420" w:firstLineChars="200"/>
              <w:jc w:val="left"/>
              <w:rPr>
                <w:rFonts w:cs="宋体"/>
                <w:color w:val="auto"/>
                <w:sz w:val="21"/>
                <w:szCs w:val="21"/>
                <w:highlight w:val="none"/>
              </w:rPr>
            </w:pPr>
            <w:r>
              <w:rPr>
                <w:color w:val="auto"/>
                <w:kern w:val="1"/>
                <w:sz w:val="21"/>
                <w:szCs w:val="21"/>
                <w:highlight w:val="none"/>
                <w:lang w:val="zh-CN"/>
              </w:rPr>
              <w:t>所有抽球过程实行全程录音录像监控。</w:t>
            </w:r>
          </w:p>
        </w:tc>
      </w:tr>
    </w:tbl>
    <w:p>
      <w:pPr>
        <w:keepNext/>
        <w:keepLines/>
        <w:widowControl/>
        <w:spacing w:beforeLines="100" w:afterLines="100" w:line="360" w:lineRule="auto"/>
        <w:outlineLvl w:val="1"/>
        <w:rPr>
          <w:rFonts w:eastAsia="黑体" w:cs="黑体"/>
          <w:b/>
          <w:color w:val="auto"/>
          <w:kern w:val="1"/>
          <w:sz w:val="28"/>
          <w:szCs w:val="28"/>
          <w:highlight w:val="none"/>
          <w:lang w:val="zh-CN"/>
        </w:rPr>
      </w:pPr>
      <w:r>
        <w:rPr>
          <w:rFonts w:hint="eastAsia" w:cs="宋体"/>
          <w:b/>
          <w:color w:val="auto"/>
          <w:highlight w:val="none"/>
        </w:rPr>
        <w:br w:type="page"/>
      </w:r>
      <w:bookmarkStart w:id="772" w:name="_Toc30451"/>
      <w:bookmarkStart w:id="773" w:name="_Toc24292"/>
      <w:bookmarkStart w:id="774" w:name="_Toc70273128"/>
      <w:bookmarkStart w:id="775" w:name="_Toc1551"/>
      <w:bookmarkStart w:id="776" w:name="_Toc6607"/>
      <w:bookmarkStart w:id="777" w:name="_Toc106703298"/>
      <w:bookmarkStart w:id="778" w:name="_Toc61877312"/>
      <w:bookmarkStart w:id="779" w:name="_Toc28986"/>
      <w:bookmarkStart w:id="780" w:name="_Toc28530"/>
      <w:r>
        <w:rPr>
          <w:rFonts w:hint="eastAsia" w:ascii="黑体" w:eastAsia="黑体" w:cs="黑体"/>
          <w:color w:val="auto"/>
          <w:kern w:val="1"/>
          <w:sz w:val="28"/>
          <w:szCs w:val="28"/>
          <w:highlight w:val="none"/>
          <w:lang w:val="zh-CN"/>
        </w:rPr>
        <w:t>定标办法正文</w:t>
      </w:r>
      <w:bookmarkEnd w:id="772"/>
      <w:bookmarkEnd w:id="773"/>
      <w:bookmarkEnd w:id="774"/>
      <w:bookmarkEnd w:id="775"/>
      <w:bookmarkEnd w:id="776"/>
      <w:bookmarkEnd w:id="777"/>
      <w:bookmarkEnd w:id="778"/>
      <w:bookmarkEnd w:id="779"/>
      <w:bookmarkEnd w:id="780"/>
    </w:p>
    <w:p>
      <w:pPr>
        <w:keepNext/>
        <w:keepLines/>
        <w:widowControl/>
        <w:spacing w:beforeLines="100" w:afterLines="100" w:line="360" w:lineRule="auto"/>
        <w:outlineLvl w:val="1"/>
        <w:rPr>
          <w:rFonts w:ascii="黑体" w:eastAsia="黑体" w:cs="黑体"/>
          <w:color w:val="auto"/>
          <w:kern w:val="1"/>
          <w:sz w:val="28"/>
          <w:szCs w:val="28"/>
          <w:highlight w:val="none"/>
          <w:lang w:val="zh-CN"/>
        </w:rPr>
      </w:pPr>
      <w:bookmarkStart w:id="781" w:name="_Toc30535"/>
      <w:bookmarkStart w:id="782" w:name="_Toc24906"/>
      <w:bookmarkStart w:id="783" w:name="_Toc11606"/>
      <w:bookmarkStart w:id="784" w:name="_Toc70273129"/>
      <w:bookmarkStart w:id="785" w:name="_Toc9316"/>
      <w:bookmarkStart w:id="786" w:name="_Toc61877313"/>
      <w:bookmarkStart w:id="787" w:name="_Toc106703299"/>
      <w:bookmarkStart w:id="788" w:name="_Toc17150"/>
      <w:bookmarkStart w:id="789" w:name="_Toc5297"/>
      <w:r>
        <w:rPr>
          <w:rFonts w:hint="eastAsia" w:ascii="黑体" w:eastAsia="黑体" w:cs="黑体"/>
          <w:color w:val="auto"/>
          <w:kern w:val="1"/>
          <w:sz w:val="28"/>
          <w:szCs w:val="28"/>
          <w:highlight w:val="none"/>
          <w:lang w:val="zh-CN"/>
        </w:rPr>
        <w:t>1.定标方法</w:t>
      </w:r>
      <w:bookmarkEnd w:id="781"/>
      <w:bookmarkEnd w:id="782"/>
      <w:bookmarkEnd w:id="783"/>
      <w:bookmarkEnd w:id="784"/>
      <w:bookmarkEnd w:id="785"/>
      <w:bookmarkEnd w:id="786"/>
      <w:bookmarkEnd w:id="787"/>
      <w:bookmarkEnd w:id="788"/>
      <w:bookmarkEnd w:id="789"/>
    </w:p>
    <w:p>
      <w:pPr>
        <w:autoSpaceDE w:val="0"/>
        <w:autoSpaceDN w:val="0"/>
        <w:spacing w:line="360" w:lineRule="auto"/>
        <w:ind w:firstLine="394" w:firstLineChars="188"/>
        <w:jc w:val="left"/>
        <w:rPr>
          <w:rFonts w:cs="宋体"/>
          <w:color w:val="auto"/>
          <w:sz w:val="22"/>
          <w:szCs w:val="22"/>
          <w:highlight w:val="none"/>
        </w:rPr>
      </w:pPr>
      <w:r>
        <w:rPr>
          <w:rFonts w:hint="eastAsia" w:cs="宋体"/>
          <w:color w:val="auto"/>
          <w:sz w:val="21"/>
          <w:szCs w:val="21"/>
          <w:highlight w:val="none"/>
        </w:rPr>
        <w:t>1.1定标应当坚持择优与竞价相结合，择优为主。定标过程应严格按照定标规则和定标方案相关规定执行，不得临时改变既定的定标规则和定标方案。</w:t>
      </w:r>
    </w:p>
    <w:p>
      <w:pPr>
        <w:autoSpaceDE w:val="0"/>
        <w:autoSpaceDN w:val="0"/>
        <w:spacing w:line="360" w:lineRule="auto"/>
        <w:ind w:firstLine="394" w:firstLineChars="188"/>
        <w:jc w:val="left"/>
        <w:rPr>
          <w:rFonts w:cs="宋体"/>
          <w:color w:val="auto"/>
          <w:sz w:val="21"/>
          <w:szCs w:val="21"/>
          <w:highlight w:val="none"/>
        </w:rPr>
      </w:pPr>
      <w:r>
        <w:rPr>
          <w:rFonts w:hint="eastAsia" w:cs="宋体"/>
          <w:color w:val="auto"/>
          <w:sz w:val="21"/>
          <w:szCs w:val="21"/>
          <w:highlight w:val="none"/>
        </w:rPr>
        <w:t>1.2定标规则包括定标委员会的组建、清标、定标时限、定标票决办法、定标要素（包括子要素）。</w:t>
      </w:r>
    </w:p>
    <w:p>
      <w:pPr>
        <w:autoSpaceDE w:val="0"/>
        <w:autoSpaceDN w:val="0"/>
        <w:spacing w:line="360" w:lineRule="auto"/>
        <w:ind w:firstLine="394" w:firstLineChars="188"/>
        <w:jc w:val="left"/>
        <w:rPr>
          <w:rFonts w:cs="宋体"/>
          <w:color w:val="auto"/>
          <w:sz w:val="21"/>
          <w:szCs w:val="21"/>
          <w:highlight w:val="none"/>
        </w:rPr>
      </w:pPr>
      <w:r>
        <w:rPr>
          <w:rFonts w:hint="eastAsia" w:cs="宋体"/>
          <w:color w:val="auto"/>
          <w:sz w:val="21"/>
          <w:szCs w:val="21"/>
          <w:highlight w:val="none"/>
        </w:rPr>
        <w:t>1.3定标方案由建设单位按照《厦门市建设局关于印发建设工程招投标“评定分离”办法（试行）的通知》（厦建筑〔2022〕51号）有关规定，根据定标规则结合项目具体情况编制并作为定标依据。</w:t>
      </w:r>
    </w:p>
    <w:p>
      <w:pPr>
        <w:pStyle w:val="59"/>
        <w:spacing w:after="0" w:line="360" w:lineRule="auto"/>
        <w:ind w:left="0"/>
        <w:rPr>
          <w:rFonts w:ascii="宋体" w:hAnsi="宋体" w:cs="宋体"/>
          <w:color w:val="auto"/>
          <w:kern w:val="0"/>
          <w:szCs w:val="21"/>
          <w:highlight w:val="none"/>
        </w:rPr>
      </w:pPr>
      <w:r>
        <w:rPr>
          <w:rFonts w:hint="eastAsia" w:ascii="宋体" w:hAnsi="宋体" w:cs="宋体"/>
          <w:color w:val="auto"/>
          <w:kern w:val="0"/>
          <w:szCs w:val="21"/>
          <w:highlight w:val="none"/>
        </w:rPr>
        <w:t>定标方案包括定标规则、各定标要素定性评级标准或定量评审标准、定标候选人进入票决范围应达到的综合等级或综合得分以及票决规程。</w:t>
      </w:r>
    </w:p>
    <w:p>
      <w:pPr>
        <w:pStyle w:val="59"/>
        <w:spacing w:after="0" w:line="360" w:lineRule="auto"/>
        <w:ind w:left="0"/>
        <w:rPr>
          <w:color w:val="auto"/>
          <w:highlight w:val="none"/>
        </w:rPr>
      </w:pPr>
      <w:r>
        <w:rPr>
          <w:rFonts w:hint="eastAsia" w:ascii="宋体" w:hAnsi="宋体" w:cs="宋体"/>
          <w:color w:val="auto"/>
          <w:kern w:val="0"/>
          <w:szCs w:val="21"/>
          <w:highlight w:val="none"/>
        </w:rPr>
        <w:t>投标截止时间前，定标方案经建设单位“三重一大”决策程序研究确定后，应当加密上传电子交易平台。</w:t>
      </w:r>
    </w:p>
    <w:p>
      <w:pPr>
        <w:autoSpaceDE w:val="0"/>
        <w:autoSpaceDN w:val="0"/>
        <w:spacing w:line="360" w:lineRule="auto"/>
        <w:ind w:firstLine="394" w:firstLineChars="188"/>
        <w:jc w:val="left"/>
        <w:rPr>
          <w:rFonts w:cs="宋体"/>
          <w:color w:val="auto"/>
          <w:sz w:val="21"/>
          <w:szCs w:val="21"/>
          <w:highlight w:val="none"/>
        </w:rPr>
      </w:pPr>
      <w:r>
        <w:rPr>
          <w:rFonts w:hint="eastAsia" w:cs="宋体"/>
          <w:color w:val="auto"/>
          <w:sz w:val="21"/>
          <w:szCs w:val="21"/>
          <w:highlight w:val="none"/>
        </w:rPr>
        <w:t>1.4定标方案中的定标票决办法和定标要素（包括子要素）应当与定标规则中的定标票决办法和定标要素（包括子要素）一致。</w:t>
      </w:r>
    </w:p>
    <w:p>
      <w:pPr>
        <w:autoSpaceDE w:val="0"/>
        <w:autoSpaceDN w:val="0"/>
        <w:spacing w:line="360" w:lineRule="auto"/>
        <w:ind w:firstLine="394" w:firstLineChars="188"/>
        <w:jc w:val="left"/>
        <w:rPr>
          <w:rFonts w:cs="宋体"/>
          <w:color w:val="auto"/>
          <w:sz w:val="21"/>
          <w:szCs w:val="21"/>
          <w:highlight w:val="none"/>
        </w:rPr>
      </w:pPr>
      <w:r>
        <w:rPr>
          <w:rFonts w:hint="eastAsia" w:cs="宋体"/>
          <w:color w:val="auto"/>
          <w:sz w:val="21"/>
          <w:szCs w:val="21"/>
          <w:highlight w:val="none"/>
        </w:rPr>
        <w:t>1.5定标委员会根据定标规则和定标方案在进入票决范围的定标候选人中进行定标，确定中标人。</w:t>
      </w:r>
    </w:p>
    <w:p>
      <w:pPr>
        <w:keepNext/>
        <w:keepLines/>
        <w:widowControl/>
        <w:spacing w:beforeLines="100" w:afterLines="100" w:line="360" w:lineRule="auto"/>
        <w:outlineLvl w:val="1"/>
        <w:rPr>
          <w:rFonts w:ascii="黑体" w:eastAsia="黑体" w:cs="黑体"/>
          <w:color w:val="auto"/>
          <w:kern w:val="1"/>
          <w:sz w:val="28"/>
          <w:szCs w:val="28"/>
          <w:highlight w:val="none"/>
          <w:lang w:val="zh-CN"/>
        </w:rPr>
      </w:pPr>
      <w:bookmarkStart w:id="790" w:name="_Toc106703300"/>
      <w:bookmarkStart w:id="791" w:name="_Toc20163"/>
      <w:bookmarkStart w:id="792" w:name="_Toc4213"/>
      <w:bookmarkStart w:id="793" w:name="_Toc25914"/>
      <w:bookmarkStart w:id="794" w:name="_Toc27078"/>
      <w:bookmarkStart w:id="795" w:name="_Toc6369"/>
      <w:bookmarkStart w:id="796" w:name="_Toc70273130"/>
      <w:bookmarkStart w:id="797" w:name="_Toc61877314"/>
      <w:bookmarkStart w:id="798" w:name="_Toc11258"/>
      <w:r>
        <w:rPr>
          <w:rFonts w:hint="eastAsia" w:ascii="黑体" w:eastAsia="黑体" w:cs="黑体"/>
          <w:color w:val="auto"/>
          <w:kern w:val="1"/>
          <w:sz w:val="28"/>
          <w:szCs w:val="28"/>
          <w:highlight w:val="none"/>
          <w:lang w:val="zh-CN"/>
        </w:rPr>
        <w:t>2.定标程序</w:t>
      </w:r>
      <w:bookmarkEnd w:id="790"/>
      <w:bookmarkEnd w:id="791"/>
      <w:bookmarkEnd w:id="792"/>
      <w:bookmarkEnd w:id="793"/>
      <w:bookmarkEnd w:id="794"/>
      <w:bookmarkEnd w:id="795"/>
      <w:bookmarkEnd w:id="796"/>
      <w:bookmarkEnd w:id="797"/>
      <w:bookmarkEnd w:id="798"/>
    </w:p>
    <w:p>
      <w:pPr>
        <w:spacing w:beforeLines="50" w:afterLines="50" w:line="360" w:lineRule="auto"/>
        <w:ind w:firstLine="420" w:firstLineChars="200"/>
        <w:rPr>
          <w:rFonts w:cs="宋体"/>
          <w:color w:val="auto"/>
          <w:sz w:val="21"/>
          <w:szCs w:val="21"/>
          <w:highlight w:val="none"/>
        </w:rPr>
      </w:pPr>
      <w:r>
        <w:rPr>
          <w:rFonts w:hint="eastAsia" w:cs="宋体"/>
          <w:color w:val="auto"/>
          <w:sz w:val="21"/>
          <w:szCs w:val="21"/>
          <w:highlight w:val="none"/>
        </w:rPr>
        <w:t>2.1定标按以下程序进行。</w:t>
      </w:r>
    </w:p>
    <w:p>
      <w:pPr>
        <w:spacing w:line="360" w:lineRule="auto"/>
        <w:ind w:firstLine="420" w:firstLineChars="200"/>
        <w:rPr>
          <w:rFonts w:cs="宋体"/>
          <w:color w:val="auto"/>
          <w:sz w:val="21"/>
          <w:szCs w:val="21"/>
          <w:highlight w:val="none"/>
        </w:rPr>
      </w:pPr>
      <w:r>
        <w:rPr>
          <w:rFonts w:hint="eastAsia" w:cs="宋体"/>
          <w:color w:val="auto"/>
          <w:sz w:val="21"/>
          <w:szCs w:val="21"/>
          <w:highlight w:val="none"/>
        </w:rPr>
        <w:t>（1）</w:t>
      </w:r>
      <w:r>
        <w:rPr>
          <w:rFonts w:hint="eastAsia" w:cs="宋体"/>
          <w:color w:val="auto"/>
          <w:kern w:val="1"/>
          <w:sz w:val="21"/>
          <w:szCs w:val="21"/>
          <w:highlight w:val="none"/>
        </w:rPr>
        <w:t>组建定标委员会</w:t>
      </w:r>
    </w:p>
    <w:p>
      <w:pPr>
        <w:spacing w:line="360" w:lineRule="auto"/>
        <w:ind w:firstLine="420" w:firstLineChars="200"/>
        <w:rPr>
          <w:rFonts w:cs="宋体"/>
          <w:color w:val="auto"/>
          <w:sz w:val="21"/>
          <w:szCs w:val="21"/>
          <w:highlight w:val="none"/>
        </w:rPr>
      </w:pPr>
      <w:r>
        <w:rPr>
          <w:rFonts w:hint="eastAsia" w:cs="宋体"/>
          <w:color w:val="auto"/>
          <w:sz w:val="21"/>
          <w:szCs w:val="21"/>
          <w:highlight w:val="none"/>
        </w:rPr>
        <w:t>（2）清标</w:t>
      </w:r>
    </w:p>
    <w:p>
      <w:pPr>
        <w:spacing w:line="360" w:lineRule="auto"/>
        <w:ind w:firstLine="420" w:firstLineChars="200"/>
        <w:rPr>
          <w:rFonts w:cs="宋体"/>
          <w:color w:val="auto"/>
          <w:sz w:val="21"/>
          <w:szCs w:val="21"/>
          <w:highlight w:val="none"/>
        </w:rPr>
      </w:pPr>
      <w:r>
        <w:rPr>
          <w:rFonts w:hint="eastAsia" w:cs="宋体"/>
          <w:color w:val="auto"/>
          <w:sz w:val="21"/>
          <w:szCs w:val="21"/>
          <w:highlight w:val="none"/>
        </w:rPr>
        <w:t>（3）票决定标，确定中标人</w:t>
      </w:r>
    </w:p>
    <w:p>
      <w:pPr>
        <w:keepNext/>
        <w:keepLines/>
        <w:widowControl/>
        <w:spacing w:beforeLines="100" w:afterLines="100" w:line="360" w:lineRule="auto"/>
        <w:outlineLvl w:val="1"/>
        <w:rPr>
          <w:rFonts w:ascii="黑体" w:eastAsia="黑体" w:cs="黑体"/>
          <w:color w:val="auto"/>
          <w:kern w:val="1"/>
          <w:sz w:val="28"/>
          <w:szCs w:val="28"/>
          <w:highlight w:val="none"/>
          <w:lang w:val="zh-CN"/>
        </w:rPr>
      </w:pPr>
      <w:bookmarkStart w:id="799" w:name="_Toc19608"/>
      <w:bookmarkStart w:id="800" w:name="_Toc28881"/>
      <w:bookmarkStart w:id="801" w:name="_Toc70273131"/>
      <w:bookmarkStart w:id="802" w:name="_Toc106703301"/>
      <w:bookmarkStart w:id="803" w:name="_Toc14320"/>
      <w:bookmarkStart w:id="804" w:name="_Toc28372"/>
      <w:bookmarkStart w:id="805" w:name="_Toc61877315"/>
      <w:bookmarkStart w:id="806" w:name="_Toc2024"/>
      <w:bookmarkStart w:id="807" w:name="_Toc7320"/>
      <w:r>
        <w:rPr>
          <w:rFonts w:hint="eastAsia" w:ascii="黑体" w:eastAsia="黑体" w:cs="黑体"/>
          <w:color w:val="auto"/>
          <w:kern w:val="1"/>
          <w:sz w:val="28"/>
          <w:szCs w:val="28"/>
          <w:highlight w:val="none"/>
          <w:lang w:val="zh-CN"/>
        </w:rPr>
        <w:t>3.定标规则</w:t>
      </w:r>
      <w:bookmarkEnd w:id="799"/>
      <w:bookmarkEnd w:id="800"/>
      <w:bookmarkEnd w:id="801"/>
      <w:bookmarkEnd w:id="802"/>
      <w:bookmarkEnd w:id="803"/>
      <w:bookmarkEnd w:id="804"/>
      <w:bookmarkEnd w:id="805"/>
      <w:bookmarkEnd w:id="806"/>
      <w:bookmarkEnd w:id="807"/>
    </w:p>
    <w:p>
      <w:pPr>
        <w:autoSpaceDE w:val="0"/>
        <w:autoSpaceDN w:val="0"/>
        <w:spacing w:beforeLines="50" w:afterLines="50" w:line="360" w:lineRule="auto"/>
        <w:ind w:firstLine="394" w:firstLineChars="188"/>
        <w:jc w:val="left"/>
        <w:rPr>
          <w:rFonts w:cs="宋体"/>
          <w:color w:val="auto"/>
          <w:sz w:val="21"/>
          <w:szCs w:val="21"/>
          <w:highlight w:val="none"/>
        </w:rPr>
      </w:pPr>
      <w:r>
        <w:rPr>
          <w:rFonts w:hint="eastAsia" w:cs="宋体"/>
          <w:color w:val="auto"/>
          <w:sz w:val="21"/>
          <w:szCs w:val="21"/>
          <w:highlight w:val="none"/>
        </w:rPr>
        <w:t>3.1组建定标委员会</w:t>
      </w:r>
    </w:p>
    <w:p>
      <w:pPr>
        <w:autoSpaceDE w:val="0"/>
        <w:autoSpaceDN w:val="0"/>
        <w:spacing w:line="360" w:lineRule="auto"/>
        <w:ind w:firstLine="394" w:firstLineChars="188"/>
        <w:jc w:val="left"/>
        <w:rPr>
          <w:rFonts w:cs="宋体"/>
          <w:color w:val="auto"/>
          <w:sz w:val="21"/>
          <w:szCs w:val="21"/>
          <w:highlight w:val="none"/>
        </w:rPr>
      </w:pPr>
      <w:r>
        <w:rPr>
          <w:rFonts w:hint="eastAsia" w:cs="宋体"/>
          <w:color w:val="auto"/>
          <w:sz w:val="21"/>
          <w:szCs w:val="21"/>
          <w:highlight w:val="none"/>
        </w:rPr>
        <w:t>3.1.1定标委员会需由建设单位的法定代表人负责组建。项目实行代建的且代建单位作为招标人的，建设单位可以委托代建单位的法定代表人组建，代建单位应将定标委员会组建方案报建设单位批准同意。</w:t>
      </w:r>
    </w:p>
    <w:p>
      <w:pPr>
        <w:autoSpaceDE w:val="0"/>
        <w:autoSpaceDN w:val="0"/>
        <w:spacing w:line="360" w:lineRule="auto"/>
        <w:ind w:firstLine="394" w:firstLineChars="188"/>
        <w:jc w:val="left"/>
        <w:rPr>
          <w:rFonts w:cs="宋体"/>
          <w:color w:val="auto"/>
          <w:sz w:val="21"/>
          <w:szCs w:val="21"/>
          <w:highlight w:val="none"/>
        </w:rPr>
      </w:pPr>
      <w:r>
        <w:rPr>
          <w:rFonts w:hint="eastAsia" w:cs="宋体"/>
          <w:color w:val="auto"/>
          <w:sz w:val="21"/>
          <w:szCs w:val="21"/>
          <w:highlight w:val="none"/>
        </w:rPr>
        <w:t>3.1.2定标委员会成员原则上从建设单位（代建单位）的领导班子成员、经营管理人员、具有工程建设类中级及以上技术职称或注册执业资格的人员中产生，成员总数为五人及以上单数。本单位人员不足的，也可以从主管部门、下属单位或关联企业中选取符合条件的人员作为定标委员会成员。招标项目对技术、商务有特别要求的，也可以邀请与投标人无利害关系的专家参与定标，专家人数为1～2名且不超过定标委员会成员总数的1/3。</w:t>
      </w:r>
    </w:p>
    <w:p>
      <w:pPr>
        <w:autoSpaceDE w:val="0"/>
        <w:autoSpaceDN w:val="0"/>
        <w:spacing w:line="360" w:lineRule="auto"/>
        <w:ind w:firstLine="394" w:firstLineChars="188"/>
        <w:jc w:val="left"/>
        <w:rPr>
          <w:rFonts w:cs="宋体"/>
          <w:color w:val="auto"/>
          <w:sz w:val="21"/>
          <w:szCs w:val="21"/>
          <w:highlight w:val="none"/>
        </w:rPr>
      </w:pPr>
      <w:r>
        <w:rPr>
          <w:rFonts w:hint="eastAsia" w:cs="宋体"/>
          <w:color w:val="auto"/>
          <w:sz w:val="21"/>
          <w:szCs w:val="21"/>
          <w:highlight w:val="none"/>
        </w:rPr>
        <w:t>3.1.3各区、各行业主管部门及有条件的建设单位建立定标委员会成员名录库的，建设单位可以在相应的定标委员会成员名录库中采取随机抽签的方式组建定标委员会。</w:t>
      </w:r>
    </w:p>
    <w:p>
      <w:pPr>
        <w:widowControl/>
        <w:spacing w:beforeLines="50" w:afterLines="50" w:line="360" w:lineRule="auto"/>
        <w:ind w:firstLine="420" w:firstLineChars="200"/>
        <w:jc w:val="left"/>
        <w:rPr>
          <w:rFonts w:cs="宋体"/>
          <w:color w:val="auto"/>
          <w:sz w:val="21"/>
          <w:szCs w:val="21"/>
          <w:highlight w:val="none"/>
        </w:rPr>
      </w:pPr>
      <w:r>
        <w:rPr>
          <w:rFonts w:hint="eastAsia" w:cs="宋体"/>
          <w:color w:val="auto"/>
          <w:sz w:val="21"/>
          <w:szCs w:val="21"/>
          <w:highlight w:val="none"/>
        </w:rPr>
        <w:t>3.2清标</w:t>
      </w:r>
    </w:p>
    <w:p>
      <w:pPr>
        <w:widowControl/>
        <w:spacing w:line="360" w:lineRule="auto"/>
        <w:ind w:firstLine="420" w:firstLineChars="200"/>
        <w:jc w:val="left"/>
        <w:rPr>
          <w:rFonts w:cs="宋体"/>
          <w:color w:val="auto"/>
          <w:sz w:val="21"/>
          <w:szCs w:val="21"/>
          <w:highlight w:val="none"/>
        </w:rPr>
      </w:pPr>
      <w:r>
        <w:rPr>
          <w:rFonts w:hint="eastAsia" w:cs="宋体"/>
          <w:color w:val="auto"/>
          <w:sz w:val="21"/>
          <w:szCs w:val="21"/>
          <w:highlight w:val="none"/>
        </w:rPr>
        <w:t>3.2.1定标候选人公示期满后，招标人进行清标工作。清标小组通过电子交易平台下载并解密定标方案（清标版，只包括定标子要素评审标准），并按其中确定的各定标要素定性评级标准或定量评审标准，整理各定标候选人的清标等级或清标得分，定标要素见定标办法前附表第1项。</w:t>
      </w:r>
    </w:p>
    <w:p>
      <w:pPr>
        <w:widowControl/>
        <w:spacing w:line="360" w:lineRule="auto"/>
        <w:ind w:firstLine="420" w:firstLineChars="200"/>
        <w:jc w:val="left"/>
        <w:rPr>
          <w:rFonts w:cs="宋体"/>
          <w:color w:val="auto"/>
          <w:sz w:val="21"/>
          <w:szCs w:val="21"/>
          <w:highlight w:val="none"/>
        </w:rPr>
      </w:pPr>
      <w:r>
        <w:rPr>
          <w:rFonts w:hint="eastAsia" w:cs="宋体"/>
          <w:color w:val="auto"/>
          <w:sz w:val="21"/>
          <w:szCs w:val="21"/>
          <w:highlight w:val="none"/>
        </w:rPr>
        <w:t>3.2.2招标人应编制清标报告，清标报告内容应当客观公正、真实有效。</w:t>
      </w:r>
    </w:p>
    <w:p>
      <w:pPr>
        <w:widowControl/>
        <w:adjustRightInd w:val="0"/>
        <w:snapToGrid w:val="0"/>
        <w:spacing w:beforeLines="100" w:afterLines="50" w:line="360" w:lineRule="auto"/>
        <w:ind w:firstLine="420" w:firstLineChars="200"/>
        <w:jc w:val="left"/>
        <w:rPr>
          <w:rFonts w:cs="宋体"/>
          <w:color w:val="auto"/>
          <w:sz w:val="21"/>
          <w:szCs w:val="21"/>
          <w:highlight w:val="none"/>
        </w:rPr>
      </w:pPr>
      <w:r>
        <w:rPr>
          <w:rFonts w:hint="eastAsia" w:cs="宋体"/>
          <w:color w:val="auto"/>
          <w:sz w:val="21"/>
          <w:szCs w:val="21"/>
          <w:highlight w:val="none"/>
        </w:rPr>
        <w:t>3.3票决定标，确定中标人</w:t>
      </w:r>
    </w:p>
    <w:p>
      <w:pPr>
        <w:widowControl/>
        <w:spacing w:line="360" w:lineRule="auto"/>
        <w:ind w:firstLine="420" w:firstLineChars="200"/>
        <w:jc w:val="left"/>
        <w:rPr>
          <w:rFonts w:cs="宋体"/>
          <w:color w:val="auto"/>
          <w:sz w:val="21"/>
          <w:szCs w:val="21"/>
          <w:highlight w:val="none"/>
        </w:rPr>
      </w:pPr>
      <w:r>
        <w:rPr>
          <w:rFonts w:hint="eastAsia" w:cs="宋体"/>
          <w:color w:val="auto"/>
          <w:sz w:val="21"/>
          <w:szCs w:val="21"/>
          <w:highlight w:val="none"/>
        </w:rPr>
        <w:t>3.3.1</w:t>
      </w:r>
      <w:bookmarkStart w:id="808" w:name="_Hlk62562936"/>
      <w:r>
        <w:rPr>
          <w:rFonts w:hint="eastAsia" w:cs="宋体"/>
          <w:color w:val="auto"/>
          <w:sz w:val="21"/>
          <w:szCs w:val="21"/>
          <w:highlight w:val="none"/>
        </w:rPr>
        <w:t>招标人应当自定标候选人公示期满后7日内组织定标委员会进入市公共资源交易中心进行定标。不能按时定标的，应当通过市公共资源交易网公示延期原因和定标时间。</w:t>
      </w:r>
      <w:bookmarkEnd w:id="808"/>
    </w:p>
    <w:p>
      <w:pPr>
        <w:widowControl/>
        <w:spacing w:line="360" w:lineRule="auto"/>
        <w:ind w:firstLine="420" w:firstLineChars="200"/>
        <w:jc w:val="left"/>
        <w:rPr>
          <w:rFonts w:cs="宋体"/>
          <w:color w:val="auto"/>
          <w:sz w:val="21"/>
          <w:szCs w:val="21"/>
          <w:highlight w:val="none"/>
        </w:rPr>
      </w:pPr>
      <w:r>
        <w:rPr>
          <w:rFonts w:hint="eastAsia" w:cs="宋体"/>
          <w:color w:val="auto"/>
          <w:sz w:val="21"/>
          <w:szCs w:val="21"/>
          <w:highlight w:val="none"/>
        </w:rPr>
        <w:t>定标委员会通过电子交易平台下载并解密定标方案（完整版本）。</w:t>
      </w:r>
    </w:p>
    <w:p>
      <w:pPr>
        <w:widowControl/>
        <w:spacing w:line="360" w:lineRule="auto"/>
        <w:ind w:firstLine="420" w:firstLineChars="200"/>
        <w:jc w:val="left"/>
        <w:rPr>
          <w:rFonts w:cs="宋体"/>
          <w:color w:val="auto"/>
          <w:sz w:val="21"/>
          <w:szCs w:val="21"/>
          <w:highlight w:val="none"/>
        </w:rPr>
      </w:pPr>
      <w:r>
        <w:rPr>
          <w:rFonts w:hint="eastAsia" w:cs="宋体"/>
          <w:color w:val="auto"/>
          <w:sz w:val="21"/>
          <w:szCs w:val="21"/>
          <w:highlight w:val="none"/>
        </w:rPr>
        <w:t>3.3.2定标委员会按照清标报告中各定标候选人的清标等级或清标得分，根据定标方案（完整版本）中各定标要素权重计算定标候选人的综合等级或综合得分。</w:t>
      </w:r>
    </w:p>
    <w:p>
      <w:pPr>
        <w:widowControl/>
        <w:spacing w:line="360" w:lineRule="auto"/>
        <w:ind w:firstLine="420" w:firstLineChars="200"/>
        <w:jc w:val="left"/>
        <w:rPr>
          <w:rFonts w:cs="宋体"/>
          <w:color w:val="auto"/>
          <w:sz w:val="21"/>
          <w:szCs w:val="21"/>
          <w:highlight w:val="none"/>
        </w:rPr>
      </w:pPr>
      <w:r>
        <w:rPr>
          <w:rFonts w:hint="eastAsia" w:cs="宋体"/>
          <w:color w:val="auto"/>
          <w:sz w:val="21"/>
          <w:szCs w:val="21"/>
          <w:highlight w:val="none"/>
        </w:rPr>
        <w:t>3.3.3定标委员会根据定标方案规定的进入票决范围应达到的综合等级或综合得分，以及定标方案其他规定，确定进入票决范围的定标候选人。</w:t>
      </w:r>
    </w:p>
    <w:p>
      <w:pPr>
        <w:widowControl/>
        <w:spacing w:line="360" w:lineRule="auto"/>
        <w:ind w:firstLine="420" w:firstLineChars="200"/>
        <w:jc w:val="left"/>
        <w:rPr>
          <w:rFonts w:cs="宋体"/>
          <w:color w:val="auto"/>
          <w:sz w:val="21"/>
          <w:szCs w:val="21"/>
          <w:highlight w:val="none"/>
        </w:rPr>
      </w:pPr>
      <w:r>
        <w:rPr>
          <w:rFonts w:hint="eastAsia" w:cs="宋体"/>
          <w:color w:val="auto"/>
          <w:sz w:val="21"/>
          <w:szCs w:val="21"/>
          <w:highlight w:val="none"/>
        </w:rPr>
        <w:t>3.3.4定标委员会在进入票决范围的定标候选人中，按照定标方案中的定标票决规程和定标办法前附表第2项选择的定标票决办法确定中标人。</w:t>
      </w:r>
    </w:p>
    <w:p>
      <w:pPr>
        <w:widowControl/>
        <w:spacing w:line="360" w:lineRule="auto"/>
        <w:ind w:firstLine="420" w:firstLineChars="200"/>
        <w:jc w:val="left"/>
        <w:rPr>
          <w:rFonts w:cs="宋体"/>
          <w:color w:val="auto"/>
          <w:sz w:val="21"/>
          <w:szCs w:val="21"/>
          <w:highlight w:val="none"/>
        </w:rPr>
      </w:pPr>
      <w:r>
        <w:rPr>
          <w:rFonts w:hint="eastAsia" w:cs="宋体"/>
          <w:color w:val="auto"/>
          <w:sz w:val="21"/>
          <w:szCs w:val="21"/>
          <w:highlight w:val="none"/>
        </w:rPr>
        <w:t>3.3.5定标票决办法</w:t>
      </w:r>
    </w:p>
    <w:p>
      <w:pPr>
        <w:spacing w:line="360" w:lineRule="auto"/>
        <w:ind w:firstLine="420" w:firstLineChars="200"/>
        <w:rPr>
          <w:rFonts w:cs="宋体"/>
          <w:color w:val="auto"/>
          <w:sz w:val="21"/>
          <w:szCs w:val="21"/>
          <w:highlight w:val="none"/>
        </w:rPr>
      </w:pPr>
      <w:r>
        <w:rPr>
          <w:rFonts w:hint="eastAsia" w:cs="宋体"/>
          <w:color w:val="auto"/>
          <w:sz w:val="21"/>
          <w:szCs w:val="21"/>
          <w:highlight w:val="none"/>
        </w:rPr>
        <w:t>定标票决办法种类包括票决定标法、票决抽签定标法和票决低价定标法：</w:t>
      </w:r>
    </w:p>
    <w:p>
      <w:pPr>
        <w:spacing w:line="360" w:lineRule="auto"/>
        <w:ind w:firstLine="420" w:firstLineChars="200"/>
        <w:rPr>
          <w:rFonts w:cs="宋体"/>
          <w:color w:val="auto"/>
          <w:sz w:val="21"/>
          <w:szCs w:val="21"/>
          <w:highlight w:val="none"/>
        </w:rPr>
      </w:pPr>
      <w:r>
        <w:rPr>
          <w:rFonts w:hint="eastAsia" w:cs="宋体"/>
          <w:color w:val="auto"/>
          <w:sz w:val="21"/>
          <w:szCs w:val="21"/>
          <w:highlight w:val="none"/>
        </w:rPr>
        <w:t>（1）票决定标法是由定标委员会以直接票决或者逐轮票决等方式确定中标人，具体标准详见定标办法前附表第3项。</w:t>
      </w:r>
    </w:p>
    <w:p>
      <w:pPr>
        <w:spacing w:line="360" w:lineRule="auto"/>
        <w:ind w:firstLine="420" w:firstLineChars="200"/>
        <w:rPr>
          <w:rFonts w:cs="宋体"/>
          <w:color w:val="auto"/>
          <w:sz w:val="21"/>
          <w:szCs w:val="21"/>
          <w:highlight w:val="none"/>
        </w:rPr>
      </w:pPr>
      <w:r>
        <w:rPr>
          <w:rFonts w:hint="eastAsia" w:cs="宋体"/>
          <w:color w:val="auto"/>
          <w:sz w:val="21"/>
          <w:szCs w:val="21"/>
          <w:highlight w:val="none"/>
        </w:rPr>
        <w:t>（2）票决抽签定标法是由定标委员会从进入票决定标的投标人中，先以投票表决方式确定3家投标人，再以建设单位随机抽签方式确定中标人，具体标准详见定标办法前附表第4项。</w:t>
      </w:r>
    </w:p>
    <w:p>
      <w:pPr>
        <w:widowControl/>
        <w:spacing w:line="360" w:lineRule="auto"/>
        <w:ind w:firstLine="420" w:firstLineChars="200"/>
        <w:jc w:val="left"/>
        <w:rPr>
          <w:rFonts w:cs="宋体"/>
          <w:color w:val="auto"/>
          <w:sz w:val="21"/>
          <w:szCs w:val="21"/>
          <w:highlight w:val="none"/>
        </w:rPr>
      </w:pPr>
      <w:r>
        <w:rPr>
          <w:rFonts w:hint="eastAsia" w:cs="宋体"/>
          <w:color w:val="auto"/>
          <w:sz w:val="21"/>
          <w:szCs w:val="21"/>
          <w:highlight w:val="none"/>
        </w:rPr>
        <w:t>（3）票决低价法是由定标委员会在综合得分（或综合等级）最高的三家定标候选人中，确定投标报价最低定标候选人为中标人，具体标准详见定标办法前附表第5项。</w:t>
      </w:r>
    </w:p>
    <w:p>
      <w:pPr>
        <w:widowControl/>
        <w:adjustRightInd w:val="0"/>
        <w:snapToGrid w:val="0"/>
        <w:spacing w:line="360" w:lineRule="auto"/>
        <w:ind w:firstLine="420" w:firstLineChars="200"/>
        <w:jc w:val="left"/>
        <w:rPr>
          <w:rFonts w:cs="宋体"/>
          <w:color w:val="auto"/>
          <w:sz w:val="21"/>
          <w:szCs w:val="21"/>
          <w:highlight w:val="none"/>
        </w:rPr>
      </w:pPr>
      <w:bookmarkStart w:id="809" w:name="_Hlk62033781"/>
      <w:r>
        <w:rPr>
          <w:rFonts w:hint="eastAsia" w:cs="宋体"/>
          <w:color w:val="auto"/>
          <w:sz w:val="21"/>
          <w:szCs w:val="21"/>
          <w:highlight w:val="none"/>
        </w:rPr>
        <w:t>3.3.</w:t>
      </w:r>
      <w:bookmarkEnd w:id="809"/>
      <w:r>
        <w:rPr>
          <w:rFonts w:hint="eastAsia" w:cs="宋体"/>
          <w:color w:val="auto"/>
          <w:sz w:val="21"/>
          <w:szCs w:val="21"/>
          <w:highlight w:val="none"/>
        </w:rPr>
        <w:t>6每一次投票，定标委员会成员应当独立进行并说明投票理由。定标完成后，定标委员会应当编制定标报告，定标报告完整载明定标过程。</w:t>
      </w:r>
    </w:p>
    <w:p>
      <w:pPr>
        <w:keepNext/>
        <w:keepLines/>
        <w:widowControl/>
        <w:spacing w:beforeLines="100" w:afterLines="100" w:line="360" w:lineRule="auto"/>
        <w:outlineLvl w:val="1"/>
        <w:rPr>
          <w:rFonts w:ascii="黑体" w:eastAsia="黑体" w:cs="黑体"/>
          <w:color w:val="auto"/>
          <w:kern w:val="1"/>
          <w:sz w:val="28"/>
          <w:szCs w:val="28"/>
          <w:highlight w:val="none"/>
          <w:lang w:val="zh-CN"/>
        </w:rPr>
      </w:pPr>
      <w:bookmarkStart w:id="810" w:name="_Toc61877316"/>
      <w:bookmarkStart w:id="811" w:name="_Toc11344"/>
      <w:bookmarkStart w:id="812" w:name="_Toc12744"/>
      <w:bookmarkStart w:id="813" w:name="_Toc9243"/>
      <w:bookmarkStart w:id="814" w:name="_Toc19512"/>
      <w:bookmarkStart w:id="815" w:name="_Toc7037"/>
      <w:bookmarkStart w:id="816" w:name="_Toc70273132"/>
      <w:bookmarkStart w:id="817" w:name="_Toc21865"/>
      <w:bookmarkStart w:id="818" w:name="_Toc106703302"/>
      <w:r>
        <w:rPr>
          <w:rFonts w:hint="eastAsia" w:ascii="黑体" w:eastAsia="黑体" w:cs="黑体"/>
          <w:color w:val="auto"/>
          <w:kern w:val="1"/>
          <w:sz w:val="28"/>
          <w:szCs w:val="28"/>
          <w:highlight w:val="none"/>
          <w:lang w:val="zh-CN"/>
        </w:rPr>
        <w:t>4.重新定标</w:t>
      </w:r>
      <w:bookmarkEnd w:id="810"/>
      <w:bookmarkEnd w:id="811"/>
      <w:bookmarkEnd w:id="812"/>
      <w:bookmarkEnd w:id="813"/>
      <w:bookmarkEnd w:id="814"/>
      <w:bookmarkEnd w:id="815"/>
      <w:bookmarkEnd w:id="816"/>
      <w:bookmarkEnd w:id="817"/>
      <w:bookmarkEnd w:id="818"/>
    </w:p>
    <w:p>
      <w:pPr>
        <w:widowControl/>
        <w:adjustRightInd w:val="0"/>
        <w:snapToGrid w:val="0"/>
        <w:spacing w:line="360" w:lineRule="auto"/>
        <w:ind w:firstLine="420" w:firstLineChars="200"/>
        <w:jc w:val="left"/>
        <w:rPr>
          <w:rFonts w:cs="宋体"/>
          <w:color w:val="auto"/>
          <w:sz w:val="21"/>
          <w:szCs w:val="21"/>
          <w:highlight w:val="none"/>
        </w:rPr>
      </w:pPr>
      <w:r>
        <w:rPr>
          <w:rFonts w:hint="eastAsia" w:cs="宋体"/>
          <w:color w:val="auto"/>
          <w:sz w:val="21"/>
          <w:szCs w:val="21"/>
          <w:highlight w:val="none"/>
        </w:rPr>
        <w:t>定标后有下列情形之一的，建设单位可从进入定标票决范围的其他定标候选人中采用原定标方案规定的票决方式，由原定标委员会重新确定中标人：</w:t>
      </w:r>
    </w:p>
    <w:p>
      <w:pPr>
        <w:widowControl/>
        <w:adjustRightInd w:val="0"/>
        <w:snapToGrid w:val="0"/>
        <w:spacing w:line="360" w:lineRule="auto"/>
        <w:ind w:firstLine="420" w:firstLineChars="200"/>
        <w:jc w:val="left"/>
        <w:rPr>
          <w:rFonts w:cs="宋体"/>
          <w:color w:val="auto"/>
          <w:sz w:val="21"/>
          <w:szCs w:val="21"/>
          <w:highlight w:val="none"/>
        </w:rPr>
      </w:pPr>
      <w:r>
        <w:rPr>
          <w:rFonts w:hint="eastAsia" w:cs="宋体"/>
          <w:color w:val="auto"/>
          <w:sz w:val="21"/>
          <w:szCs w:val="21"/>
          <w:highlight w:val="none"/>
        </w:rPr>
        <w:t>（1）中标人放弃中标或者拒不签订合同的；</w:t>
      </w:r>
    </w:p>
    <w:p>
      <w:pPr>
        <w:widowControl/>
        <w:adjustRightInd w:val="0"/>
        <w:snapToGrid w:val="0"/>
        <w:spacing w:line="360" w:lineRule="auto"/>
        <w:ind w:firstLine="420" w:firstLineChars="200"/>
        <w:jc w:val="left"/>
        <w:rPr>
          <w:rFonts w:cs="宋体"/>
          <w:color w:val="auto"/>
          <w:sz w:val="21"/>
          <w:szCs w:val="21"/>
          <w:highlight w:val="none"/>
        </w:rPr>
      </w:pPr>
      <w:r>
        <w:rPr>
          <w:rFonts w:hint="eastAsia" w:cs="宋体"/>
          <w:color w:val="auto"/>
          <w:sz w:val="21"/>
          <w:szCs w:val="21"/>
          <w:highlight w:val="none"/>
        </w:rPr>
        <w:t>（2）中标人不按照招标文件要求提交履约担保的；</w:t>
      </w:r>
    </w:p>
    <w:p>
      <w:pPr>
        <w:widowControl/>
        <w:adjustRightInd w:val="0"/>
        <w:snapToGrid w:val="0"/>
        <w:spacing w:line="360" w:lineRule="auto"/>
        <w:ind w:firstLine="420" w:firstLineChars="200"/>
        <w:jc w:val="left"/>
        <w:rPr>
          <w:rFonts w:cs="宋体"/>
          <w:color w:val="auto"/>
          <w:sz w:val="21"/>
          <w:szCs w:val="21"/>
          <w:highlight w:val="none"/>
        </w:rPr>
      </w:pPr>
      <w:r>
        <w:rPr>
          <w:rFonts w:hint="eastAsia" w:cs="宋体"/>
          <w:color w:val="auto"/>
          <w:sz w:val="21"/>
          <w:szCs w:val="21"/>
          <w:highlight w:val="none"/>
        </w:rPr>
        <w:t>（3）被查实存在影响中标结果的违法行为的；</w:t>
      </w:r>
    </w:p>
    <w:p>
      <w:pPr>
        <w:widowControl/>
        <w:adjustRightInd w:val="0"/>
        <w:snapToGrid w:val="0"/>
        <w:spacing w:line="360" w:lineRule="auto"/>
        <w:ind w:firstLine="420" w:firstLineChars="200"/>
        <w:jc w:val="left"/>
        <w:rPr>
          <w:rFonts w:cs="宋体"/>
          <w:color w:val="auto"/>
          <w:sz w:val="21"/>
          <w:szCs w:val="21"/>
          <w:highlight w:val="none"/>
        </w:rPr>
      </w:pPr>
      <w:r>
        <w:rPr>
          <w:rFonts w:hint="eastAsia" w:cs="宋体"/>
          <w:color w:val="auto"/>
          <w:sz w:val="21"/>
          <w:szCs w:val="21"/>
          <w:highlight w:val="none"/>
        </w:rPr>
        <w:t>（4）法律法规规定的其他情形。</w:t>
      </w:r>
    </w:p>
    <w:p>
      <w:pPr>
        <w:keepNext/>
        <w:keepLines/>
        <w:widowControl/>
        <w:spacing w:beforeLines="100" w:afterLines="100" w:line="360" w:lineRule="auto"/>
        <w:outlineLvl w:val="1"/>
        <w:rPr>
          <w:rFonts w:ascii="黑体" w:eastAsia="黑体" w:cs="黑体"/>
          <w:color w:val="auto"/>
          <w:kern w:val="1"/>
          <w:sz w:val="28"/>
          <w:szCs w:val="28"/>
          <w:highlight w:val="none"/>
          <w:lang w:val="zh-CN"/>
        </w:rPr>
      </w:pPr>
      <w:bookmarkStart w:id="819" w:name="_Toc27538"/>
      <w:bookmarkStart w:id="820" w:name="_Toc11350"/>
      <w:bookmarkStart w:id="821" w:name="_Toc4591"/>
      <w:bookmarkStart w:id="822" w:name="_Toc12853"/>
      <w:bookmarkStart w:id="823" w:name="_Toc106703303"/>
      <w:bookmarkStart w:id="824" w:name="_Toc61877317"/>
      <w:bookmarkStart w:id="825" w:name="_Toc70273133"/>
      <w:bookmarkStart w:id="826" w:name="_Toc20734"/>
      <w:bookmarkStart w:id="827" w:name="_Toc29106"/>
      <w:r>
        <w:rPr>
          <w:rFonts w:hint="eastAsia" w:ascii="黑体" w:eastAsia="黑体" w:cs="黑体"/>
          <w:color w:val="auto"/>
          <w:kern w:val="1"/>
          <w:sz w:val="28"/>
          <w:szCs w:val="28"/>
          <w:highlight w:val="none"/>
          <w:lang w:val="zh-CN"/>
        </w:rPr>
        <w:t>5.监督</w:t>
      </w:r>
      <w:bookmarkEnd w:id="819"/>
      <w:bookmarkEnd w:id="820"/>
      <w:bookmarkEnd w:id="821"/>
      <w:bookmarkEnd w:id="822"/>
      <w:bookmarkEnd w:id="823"/>
      <w:bookmarkEnd w:id="824"/>
      <w:bookmarkEnd w:id="825"/>
      <w:bookmarkEnd w:id="826"/>
      <w:bookmarkEnd w:id="827"/>
    </w:p>
    <w:p>
      <w:pPr>
        <w:widowControl/>
        <w:adjustRightInd w:val="0"/>
        <w:snapToGrid w:val="0"/>
        <w:spacing w:line="360" w:lineRule="auto"/>
        <w:ind w:firstLine="420" w:firstLineChars="200"/>
        <w:jc w:val="left"/>
        <w:rPr>
          <w:rFonts w:cs="宋体"/>
          <w:color w:val="auto"/>
          <w:sz w:val="21"/>
          <w:szCs w:val="21"/>
          <w:highlight w:val="none"/>
        </w:rPr>
      </w:pPr>
      <w:r>
        <w:rPr>
          <w:rFonts w:hint="eastAsia" w:cs="宋体"/>
          <w:color w:val="auto"/>
          <w:sz w:val="21"/>
          <w:szCs w:val="21"/>
          <w:highlight w:val="none"/>
        </w:rPr>
        <w:t>建设单位负责组建监督小组，对“评定分离”招投标活动全过程进行监督，重点监督建设单位是否按照确定的定标方案定标。监督小组应当在招投标工作结束后书面向单位党组织报告监督工作情况。</w:t>
      </w:r>
    </w:p>
    <w:p>
      <w:pPr>
        <w:keepNext/>
        <w:keepLines/>
        <w:widowControl/>
        <w:spacing w:beforeLines="100" w:afterLines="100" w:line="360" w:lineRule="auto"/>
        <w:outlineLvl w:val="1"/>
        <w:rPr>
          <w:rFonts w:ascii="黑体" w:eastAsia="黑体" w:cs="黑体"/>
          <w:color w:val="auto"/>
          <w:kern w:val="1"/>
          <w:sz w:val="28"/>
          <w:szCs w:val="28"/>
          <w:highlight w:val="none"/>
          <w:lang w:val="zh-CN"/>
        </w:rPr>
      </w:pPr>
      <w:bookmarkStart w:id="828" w:name="_Toc21118"/>
      <w:bookmarkStart w:id="829" w:name="_Toc27264"/>
      <w:bookmarkStart w:id="830" w:name="_Toc245"/>
      <w:bookmarkStart w:id="831" w:name="_Toc29234"/>
      <w:bookmarkStart w:id="832" w:name="_Toc106703304"/>
      <w:bookmarkStart w:id="833" w:name="_Toc70273134"/>
      <w:bookmarkStart w:id="834" w:name="_Toc61877318"/>
      <w:bookmarkStart w:id="835" w:name="_Toc28096"/>
      <w:bookmarkStart w:id="836" w:name="_Toc7086"/>
      <w:r>
        <w:rPr>
          <w:rFonts w:hint="eastAsia" w:ascii="黑体" w:eastAsia="黑体" w:cs="黑体"/>
          <w:color w:val="auto"/>
          <w:kern w:val="1"/>
          <w:sz w:val="28"/>
          <w:szCs w:val="28"/>
          <w:highlight w:val="none"/>
          <w:lang w:val="zh-CN"/>
        </w:rPr>
        <w:t>6.附则</w:t>
      </w:r>
      <w:bookmarkEnd w:id="828"/>
      <w:bookmarkEnd w:id="829"/>
      <w:bookmarkEnd w:id="830"/>
      <w:bookmarkEnd w:id="831"/>
      <w:bookmarkEnd w:id="832"/>
      <w:bookmarkEnd w:id="833"/>
      <w:bookmarkEnd w:id="834"/>
      <w:bookmarkEnd w:id="835"/>
      <w:bookmarkEnd w:id="836"/>
    </w:p>
    <w:p>
      <w:pPr>
        <w:widowControl/>
        <w:adjustRightInd w:val="0"/>
        <w:snapToGrid w:val="0"/>
        <w:spacing w:line="360" w:lineRule="auto"/>
        <w:ind w:firstLine="420" w:firstLineChars="200"/>
        <w:jc w:val="left"/>
        <w:rPr>
          <w:rFonts w:cs="宋体"/>
          <w:color w:val="auto"/>
          <w:sz w:val="21"/>
          <w:szCs w:val="21"/>
          <w:highlight w:val="none"/>
        </w:rPr>
      </w:pPr>
      <w:r>
        <w:rPr>
          <w:rFonts w:hint="eastAsia" w:cs="宋体"/>
          <w:color w:val="auto"/>
          <w:sz w:val="21"/>
          <w:szCs w:val="21"/>
          <w:highlight w:val="none"/>
        </w:rPr>
        <w:t>6.1招标人不承诺将合同授予投标报价最低的投标人。</w:t>
      </w:r>
    </w:p>
    <w:p>
      <w:pPr>
        <w:spacing w:line="360" w:lineRule="auto"/>
        <w:ind w:firstLine="420" w:firstLineChars="200"/>
        <w:rPr>
          <w:rFonts w:cs="宋体"/>
          <w:color w:val="auto"/>
          <w:sz w:val="21"/>
          <w:szCs w:val="21"/>
          <w:highlight w:val="none"/>
        </w:rPr>
        <w:sectPr>
          <w:footnotePr>
            <w:numFmt w:val="decimalEnclosedCircleChinese"/>
            <w:numRestart w:val="eachPage"/>
          </w:footnotePr>
          <w:type w:val="continuous"/>
          <w:pgSz w:w="11906" w:h="16838"/>
          <w:pgMar w:top="1440" w:right="992" w:bottom="1440" w:left="1134" w:header="851" w:footer="992" w:gutter="0"/>
          <w:pgNumType w:fmt="decimal"/>
          <w:cols w:space="720" w:num="1"/>
          <w:docGrid w:linePitch="312" w:charSpace="0"/>
        </w:sectPr>
      </w:pPr>
      <w:r>
        <w:rPr>
          <w:rFonts w:hint="eastAsia" w:cs="宋体"/>
          <w:color w:val="auto"/>
          <w:sz w:val="21"/>
          <w:szCs w:val="21"/>
          <w:highlight w:val="none"/>
        </w:rPr>
        <w:t>6.2中标人确定后，招标人无义务向未中标的投标人就其未中标的原因作出解释。未中标的投标人不得向定标委员会组成人员或招标人询问定标过程的情况或索要相关材料。</w:t>
      </w:r>
    </w:p>
    <w:p>
      <w:pPr>
        <w:pStyle w:val="3"/>
        <w:spacing w:before="4000" w:line="360" w:lineRule="auto"/>
        <w:jc w:val="center"/>
        <w:rPr>
          <w:rFonts w:ascii="黑体" w:hAnsi="黑体" w:eastAsia="黑体" w:cs="宋体"/>
          <w:b w:val="0"/>
          <w:color w:val="auto"/>
          <w:kern w:val="1"/>
          <w:highlight w:val="none"/>
        </w:rPr>
      </w:pPr>
      <w:bookmarkStart w:id="837" w:name="_Toc247527634"/>
      <w:bookmarkEnd w:id="837"/>
      <w:bookmarkStart w:id="838" w:name="_Toc247514033"/>
      <w:bookmarkEnd w:id="838"/>
      <w:bookmarkStart w:id="839" w:name="_Toc152042387"/>
      <w:bookmarkEnd w:id="839"/>
      <w:bookmarkStart w:id="840" w:name="_Toc152045609"/>
      <w:bookmarkEnd w:id="840"/>
      <w:bookmarkStart w:id="841" w:name="_Toc144974577"/>
      <w:bookmarkEnd w:id="841"/>
      <w:bookmarkStart w:id="842" w:name="_Toc414046780"/>
      <w:bookmarkEnd w:id="842"/>
      <w:bookmarkStart w:id="843" w:name="_Toc8149"/>
      <w:bookmarkStart w:id="844" w:name="_Toc20005"/>
      <w:bookmarkStart w:id="845" w:name="_Toc3342"/>
      <w:bookmarkStart w:id="846" w:name="_Toc106703305"/>
      <w:bookmarkStart w:id="847" w:name="_Toc6635"/>
      <w:bookmarkStart w:id="848" w:name="_Toc52112976"/>
      <w:bookmarkStart w:id="849" w:name="_Toc30170396"/>
      <w:bookmarkStart w:id="850" w:name="_Toc458439998"/>
      <w:bookmarkStart w:id="851" w:name="_Toc61877319"/>
      <w:bookmarkStart w:id="852" w:name="_Toc12323"/>
      <w:bookmarkStart w:id="853" w:name="_Toc17864"/>
      <w:bookmarkStart w:id="854" w:name="_Toc31225"/>
      <w:bookmarkStart w:id="855" w:name="_Toc6558"/>
      <w:r>
        <w:rPr>
          <w:rFonts w:hint="eastAsia" w:ascii="黑体" w:hAnsi="黑体" w:eastAsia="黑体" w:cs="宋体"/>
          <w:b w:val="0"/>
          <w:color w:val="auto"/>
          <w:kern w:val="1"/>
          <w:highlight w:val="none"/>
        </w:rPr>
        <w:t>第五章 合同条款及格式</w:t>
      </w:r>
      <w:bookmarkEnd w:id="843"/>
      <w:bookmarkEnd w:id="844"/>
      <w:bookmarkEnd w:id="845"/>
      <w:bookmarkEnd w:id="846"/>
      <w:bookmarkEnd w:id="847"/>
      <w:bookmarkEnd w:id="848"/>
      <w:bookmarkEnd w:id="849"/>
      <w:bookmarkEnd w:id="850"/>
      <w:bookmarkEnd w:id="851"/>
      <w:bookmarkEnd w:id="852"/>
      <w:bookmarkEnd w:id="853"/>
      <w:bookmarkEnd w:id="854"/>
      <w:bookmarkEnd w:id="855"/>
      <w:bookmarkStart w:id="856" w:name="_Toc184635097"/>
      <w:bookmarkEnd w:id="856"/>
      <w:bookmarkStart w:id="857" w:name="_Toc247527635"/>
      <w:bookmarkEnd w:id="857"/>
      <w:bookmarkStart w:id="858" w:name="_Toc247514034"/>
      <w:bookmarkEnd w:id="858"/>
      <w:bookmarkStart w:id="859" w:name="_Toc144974578"/>
      <w:bookmarkEnd w:id="859"/>
      <w:bookmarkStart w:id="860" w:name="_Toc152042388"/>
      <w:bookmarkEnd w:id="860"/>
      <w:bookmarkStart w:id="861" w:name="_Toc152045610"/>
      <w:bookmarkEnd w:id="861"/>
      <w:bookmarkStart w:id="862" w:name="_Toc414046781"/>
      <w:bookmarkEnd w:id="862"/>
      <w:bookmarkStart w:id="863" w:name="_Toc17354"/>
      <w:bookmarkStart w:id="864" w:name="_Toc95912251"/>
      <w:bookmarkStart w:id="865" w:name="_Toc7129"/>
      <w:bookmarkStart w:id="866" w:name="_Toc40"/>
      <w:bookmarkStart w:id="867" w:name="_Toc3250"/>
      <w:bookmarkStart w:id="868" w:name="_Toc63471428"/>
      <w:bookmarkStart w:id="869" w:name="_Toc84419867"/>
      <w:bookmarkStart w:id="870" w:name="_Toc6208"/>
    </w:p>
    <w:bookmarkEnd w:id="863"/>
    <w:bookmarkEnd w:id="864"/>
    <w:bookmarkEnd w:id="865"/>
    <w:bookmarkEnd w:id="866"/>
    <w:bookmarkEnd w:id="867"/>
    <w:bookmarkEnd w:id="868"/>
    <w:bookmarkEnd w:id="869"/>
    <w:bookmarkEnd w:id="870"/>
    <w:p>
      <w:pPr>
        <w:rPr>
          <w:rFonts w:cs="宋体"/>
          <w:b/>
          <w:color w:val="auto"/>
          <w:sz w:val="21"/>
          <w:szCs w:val="21"/>
          <w:highlight w:val="none"/>
        </w:rPr>
      </w:pPr>
      <w:r>
        <w:rPr>
          <w:rFonts w:hint="eastAsia" w:ascii="黑体" w:eastAsia="黑体"/>
          <w:b/>
          <w:color w:val="auto"/>
          <w:sz w:val="32"/>
          <w:szCs w:val="32"/>
          <w:highlight w:val="none"/>
        </w:rPr>
        <w:br w:type="page"/>
      </w:r>
    </w:p>
    <w:bookmarkEnd w:id="260"/>
    <w:p>
      <w:pPr>
        <w:pStyle w:val="4"/>
        <w:widowControl/>
        <w:spacing w:beforeLines="0" w:after="240"/>
        <w:jc w:val="center"/>
        <w:rPr>
          <w:rFonts w:hAnsi="宋体" w:cs="黑体"/>
          <w:color w:val="auto"/>
          <w:highlight w:val="none"/>
        </w:rPr>
      </w:pPr>
      <w:bookmarkStart w:id="871" w:name="_Toc1707"/>
      <w:bookmarkStart w:id="872" w:name="_Toc28717"/>
      <w:bookmarkStart w:id="873" w:name="_Toc23025"/>
      <w:bookmarkStart w:id="874" w:name="_Toc61877320"/>
      <w:bookmarkStart w:id="875" w:name="_Toc18174"/>
      <w:bookmarkStart w:id="876" w:name="_Toc25749"/>
      <w:bookmarkStart w:id="877" w:name="_Toc10310"/>
      <w:bookmarkStart w:id="878" w:name="_Toc106703306"/>
      <w:bookmarkStart w:id="879" w:name="_Toc317"/>
      <w:bookmarkStart w:id="880" w:name="_Toc10737"/>
      <w:bookmarkStart w:id="881" w:name="_Toc30034"/>
      <w:r>
        <w:rPr>
          <w:rFonts w:hint="eastAsia" w:hAnsi="宋体" w:cs="黑体"/>
          <w:color w:val="auto"/>
          <w:highlight w:val="none"/>
        </w:rPr>
        <w:t>合同协议书</w:t>
      </w:r>
      <w:bookmarkEnd w:id="871"/>
      <w:bookmarkEnd w:id="872"/>
      <w:bookmarkEnd w:id="873"/>
      <w:bookmarkEnd w:id="874"/>
      <w:bookmarkEnd w:id="875"/>
      <w:bookmarkEnd w:id="876"/>
      <w:bookmarkEnd w:id="877"/>
      <w:bookmarkEnd w:id="878"/>
    </w:p>
    <w:p>
      <w:pPr>
        <w:adjustRightInd w:val="0"/>
        <w:spacing w:line="360" w:lineRule="auto"/>
        <w:textAlignment w:val="baseline"/>
        <w:rPr>
          <w:rFonts w:cs="宋体"/>
          <w:b/>
          <w:color w:val="auto"/>
          <w:sz w:val="21"/>
          <w:szCs w:val="21"/>
          <w:highlight w:val="none"/>
          <w:u w:val="single"/>
        </w:rPr>
      </w:pPr>
      <w:r>
        <w:rPr>
          <w:rFonts w:hint="eastAsia" w:cs="宋体"/>
          <w:b/>
          <w:color w:val="auto"/>
          <w:sz w:val="21"/>
          <w:szCs w:val="21"/>
          <w:highlight w:val="none"/>
        </w:rPr>
        <w:t>发包人（全称）：</w:t>
      </w:r>
      <w:r>
        <w:rPr>
          <w:rFonts w:hint="eastAsia" w:cs="宋体"/>
          <w:b/>
          <w:color w:val="auto"/>
          <w:sz w:val="21"/>
          <w:szCs w:val="21"/>
          <w:highlight w:val="none"/>
          <w:u w:val="single"/>
        </w:rPr>
        <w:t>                       </w:t>
      </w:r>
    </w:p>
    <w:p>
      <w:pPr>
        <w:adjustRightInd w:val="0"/>
        <w:spacing w:line="360" w:lineRule="auto"/>
        <w:textAlignment w:val="baseline"/>
        <w:rPr>
          <w:rFonts w:cs="宋体"/>
          <w:b/>
          <w:color w:val="auto"/>
          <w:sz w:val="21"/>
          <w:szCs w:val="21"/>
          <w:highlight w:val="none"/>
          <w:u w:val="single"/>
        </w:rPr>
      </w:pPr>
      <w:r>
        <w:rPr>
          <w:rFonts w:hint="eastAsia" w:cs="宋体"/>
          <w:b/>
          <w:color w:val="auto"/>
          <w:sz w:val="21"/>
          <w:szCs w:val="21"/>
          <w:highlight w:val="none"/>
        </w:rPr>
        <w:t>承包人（全称）：</w:t>
      </w:r>
      <w:r>
        <w:rPr>
          <w:rFonts w:hint="eastAsia" w:cs="宋体"/>
          <w:b/>
          <w:color w:val="auto"/>
          <w:sz w:val="21"/>
          <w:szCs w:val="21"/>
          <w:highlight w:val="none"/>
          <w:u w:val="single"/>
        </w:rPr>
        <w:t>                      </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根据《中华人民共和国民法典》、《中华人民共和国建筑法》及有关法律规定，遵循平等、自愿、公平和诚实信用的原则，双方就</w:t>
      </w:r>
      <w:r>
        <w:rPr>
          <w:rFonts w:hint="eastAsia" w:cs="宋体"/>
          <w:color w:val="auto"/>
          <w:sz w:val="21"/>
          <w:szCs w:val="21"/>
          <w:highlight w:val="none"/>
          <w:u w:val="single"/>
        </w:rPr>
        <w:t xml:space="preserve">                       </w:t>
      </w:r>
      <w:r>
        <w:rPr>
          <w:rFonts w:hint="eastAsia" w:cs="宋体"/>
          <w:color w:val="auto"/>
          <w:sz w:val="21"/>
          <w:szCs w:val="21"/>
          <w:highlight w:val="none"/>
        </w:rPr>
        <w:t>工程施工及有关事项协商一致，共同达成如下协议：</w:t>
      </w:r>
    </w:p>
    <w:p>
      <w:pPr>
        <w:adjustRightInd w:val="0"/>
        <w:spacing w:beforeLines="100" w:afterLines="100" w:line="360" w:lineRule="auto"/>
        <w:textAlignment w:val="baseline"/>
        <w:outlineLvl w:val="3"/>
        <w:rPr>
          <w:rFonts w:ascii="黑体" w:eastAsia="黑体" w:cs="黑体"/>
          <w:color w:val="auto"/>
          <w:sz w:val="28"/>
          <w:szCs w:val="28"/>
          <w:highlight w:val="none"/>
        </w:rPr>
      </w:pPr>
      <w:r>
        <w:rPr>
          <w:rFonts w:hint="eastAsia" w:ascii="黑体" w:eastAsia="黑体" w:cs="黑体"/>
          <w:color w:val="auto"/>
          <w:sz w:val="28"/>
          <w:szCs w:val="28"/>
          <w:highlight w:val="none"/>
        </w:rPr>
        <w:t>一、工程概况</w:t>
      </w:r>
    </w:p>
    <w:p>
      <w:pPr>
        <w:adjustRightInd w:val="0"/>
        <w:spacing w:line="360" w:lineRule="auto"/>
        <w:ind w:firstLine="411" w:firstLineChars="196"/>
        <w:textAlignment w:val="baseline"/>
        <w:rPr>
          <w:rFonts w:cs="宋体"/>
          <w:color w:val="auto"/>
          <w:sz w:val="21"/>
          <w:szCs w:val="21"/>
          <w:highlight w:val="none"/>
          <w:u w:val="single"/>
        </w:rPr>
      </w:pPr>
      <w:r>
        <w:rPr>
          <w:rFonts w:hint="eastAsia" w:cs="宋体"/>
          <w:color w:val="auto"/>
          <w:sz w:val="21"/>
          <w:szCs w:val="21"/>
          <w:highlight w:val="none"/>
        </w:rPr>
        <w:t>1.工程名称：</w:t>
      </w:r>
      <w:r>
        <w:rPr>
          <w:rFonts w:hint="eastAsia" w:cs="宋体"/>
          <w:color w:val="auto"/>
          <w:sz w:val="21"/>
          <w:szCs w:val="21"/>
          <w:highlight w:val="none"/>
          <w:u w:val="single"/>
        </w:rPr>
        <w:t xml:space="preserve">                      </w:t>
      </w:r>
      <w:r>
        <w:rPr>
          <w:rFonts w:hint="eastAsia" w:cs="宋体"/>
          <w:color w:val="auto"/>
          <w:sz w:val="21"/>
          <w:szCs w:val="21"/>
          <w:highlight w:val="none"/>
        </w:rPr>
        <w:t>。</w:t>
      </w:r>
    </w:p>
    <w:p>
      <w:pPr>
        <w:adjustRightInd w:val="0"/>
        <w:spacing w:line="360" w:lineRule="auto"/>
        <w:ind w:firstLine="411" w:firstLineChars="196"/>
        <w:textAlignment w:val="baseline"/>
        <w:rPr>
          <w:rFonts w:cs="宋体"/>
          <w:color w:val="auto"/>
          <w:sz w:val="21"/>
          <w:szCs w:val="21"/>
          <w:highlight w:val="none"/>
        </w:rPr>
      </w:pPr>
      <w:r>
        <w:rPr>
          <w:rFonts w:hint="eastAsia" w:cs="宋体"/>
          <w:color w:val="auto"/>
          <w:sz w:val="21"/>
          <w:szCs w:val="21"/>
          <w:highlight w:val="none"/>
        </w:rPr>
        <w:t>2.工程地点：</w:t>
      </w:r>
      <w:r>
        <w:rPr>
          <w:rFonts w:hint="eastAsia" w:cs="宋体"/>
          <w:color w:val="auto"/>
          <w:sz w:val="21"/>
          <w:szCs w:val="21"/>
          <w:highlight w:val="none"/>
          <w:u w:val="single"/>
        </w:rPr>
        <w:t xml:space="preserve">                      </w:t>
      </w:r>
      <w:r>
        <w:rPr>
          <w:rFonts w:hint="eastAsia" w:cs="宋体"/>
          <w:color w:val="auto"/>
          <w:sz w:val="21"/>
          <w:szCs w:val="21"/>
          <w:highlight w:val="none"/>
        </w:rPr>
        <w:t>。</w:t>
      </w:r>
    </w:p>
    <w:p>
      <w:pPr>
        <w:adjustRightInd w:val="0"/>
        <w:spacing w:line="360" w:lineRule="auto"/>
        <w:ind w:firstLine="411" w:firstLineChars="196"/>
        <w:textAlignment w:val="baseline"/>
        <w:rPr>
          <w:rFonts w:cs="宋体"/>
          <w:color w:val="auto"/>
          <w:sz w:val="21"/>
          <w:szCs w:val="21"/>
          <w:highlight w:val="none"/>
        </w:rPr>
      </w:pPr>
      <w:r>
        <w:rPr>
          <w:rFonts w:hint="eastAsia" w:cs="宋体"/>
          <w:color w:val="auto"/>
          <w:sz w:val="21"/>
          <w:szCs w:val="21"/>
          <w:highlight w:val="none"/>
        </w:rPr>
        <w:t>3.工程立项批准文号：</w:t>
      </w:r>
      <w:r>
        <w:rPr>
          <w:rFonts w:hint="eastAsia" w:cs="宋体"/>
          <w:color w:val="auto"/>
          <w:sz w:val="21"/>
          <w:szCs w:val="21"/>
          <w:highlight w:val="none"/>
          <w:u w:val="single"/>
        </w:rPr>
        <w:t xml:space="preserve">                      </w:t>
      </w:r>
      <w:r>
        <w:rPr>
          <w:rFonts w:hint="eastAsia" w:cs="宋体"/>
          <w:color w:val="auto"/>
          <w:sz w:val="21"/>
          <w:szCs w:val="21"/>
          <w:highlight w:val="none"/>
        </w:rPr>
        <w:t>。</w:t>
      </w:r>
    </w:p>
    <w:p>
      <w:pPr>
        <w:adjustRightInd w:val="0"/>
        <w:spacing w:line="360" w:lineRule="auto"/>
        <w:ind w:firstLine="411" w:firstLineChars="196"/>
        <w:textAlignment w:val="baseline"/>
        <w:rPr>
          <w:rFonts w:cs="宋体"/>
          <w:color w:val="auto"/>
          <w:sz w:val="21"/>
          <w:szCs w:val="21"/>
          <w:highlight w:val="none"/>
        </w:rPr>
      </w:pPr>
      <w:r>
        <w:rPr>
          <w:rFonts w:hint="eastAsia" w:cs="宋体"/>
          <w:color w:val="auto"/>
          <w:sz w:val="21"/>
          <w:szCs w:val="21"/>
          <w:highlight w:val="none"/>
        </w:rPr>
        <w:t>4.资金来源：</w:t>
      </w:r>
      <w:r>
        <w:rPr>
          <w:rFonts w:hint="eastAsia" w:cs="宋体"/>
          <w:color w:val="auto"/>
          <w:sz w:val="21"/>
          <w:szCs w:val="21"/>
          <w:highlight w:val="none"/>
          <w:u w:val="single"/>
        </w:rPr>
        <w:t xml:space="preserve">                        </w:t>
      </w:r>
      <w:r>
        <w:rPr>
          <w:rFonts w:hint="eastAsia" w:cs="宋体"/>
          <w:color w:val="auto"/>
          <w:sz w:val="21"/>
          <w:szCs w:val="21"/>
          <w:highlight w:val="none"/>
        </w:rPr>
        <w:t>。</w:t>
      </w:r>
    </w:p>
    <w:p>
      <w:pPr>
        <w:adjustRightInd w:val="0"/>
        <w:spacing w:line="360" w:lineRule="auto"/>
        <w:ind w:firstLine="411" w:firstLineChars="196"/>
        <w:textAlignment w:val="baseline"/>
        <w:rPr>
          <w:rFonts w:cs="宋体"/>
          <w:color w:val="auto"/>
          <w:sz w:val="21"/>
          <w:szCs w:val="21"/>
          <w:highlight w:val="none"/>
        </w:rPr>
      </w:pPr>
      <w:r>
        <w:rPr>
          <w:rFonts w:hint="eastAsia" w:cs="宋体"/>
          <w:color w:val="auto"/>
          <w:sz w:val="21"/>
          <w:szCs w:val="21"/>
          <w:highlight w:val="none"/>
        </w:rPr>
        <w:t>5.工程内容：</w:t>
      </w:r>
      <w:r>
        <w:rPr>
          <w:rFonts w:hint="eastAsia" w:cs="宋体"/>
          <w:color w:val="auto"/>
          <w:sz w:val="21"/>
          <w:szCs w:val="21"/>
          <w:highlight w:val="none"/>
          <w:u w:val="single"/>
        </w:rPr>
        <w:t xml:space="preserve">                          </w:t>
      </w:r>
      <w:r>
        <w:rPr>
          <w:rFonts w:hint="eastAsia" w:cs="宋体"/>
          <w:color w:val="auto"/>
          <w:sz w:val="21"/>
          <w:szCs w:val="21"/>
          <w:highlight w:val="none"/>
        </w:rPr>
        <w:t>。</w:t>
      </w:r>
    </w:p>
    <w:p>
      <w:pPr>
        <w:adjustRightInd w:val="0"/>
        <w:spacing w:line="360" w:lineRule="auto"/>
        <w:ind w:firstLine="411" w:firstLineChars="196"/>
        <w:textAlignment w:val="baseline"/>
        <w:rPr>
          <w:rFonts w:cs="宋体"/>
          <w:color w:val="auto"/>
          <w:sz w:val="21"/>
          <w:szCs w:val="21"/>
          <w:highlight w:val="none"/>
        </w:rPr>
      </w:pPr>
      <w:r>
        <w:rPr>
          <w:rFonts w:hint="eastAsia" w:cs="宋体"/>
          <w:color w:val="auto"/>
          <w:sz w:val="21"/>
          <w:szCs w:val="21"/>
          <w:highlight w:val="none"/>
        </w:rPr>
        <w:t>群体工程应附《承包人承揽工程项目一览表》（附件1）。</w:t>
      </w:r>
    </w:p>
    <w:p>
      <w:pPr>
        <w:adjustRightInd w:val="0"/>
        <w:spacing w:line="360" w:lineRule="auto"/>
        <w:ind w:firstLine="411" w:firstLineChars="196"/>
        <w:textAlignment w:val="baseline"/>
        <w:rPr>
          <w:rFonts w:cs="宋体"/>
          <w:color w:val="auto"/>
          <w:sz w:val="21"/>
          <w:szCs w:val="21"/>
          <w:highlight w:val="none"/>
        </w:rPr>
      </w:pPr>
      <w:r>
        <w:rPr>
          <w:rFonts w:hint="eastAsia" w:cs="宋体"/>
          <w:color w:val="auto"/>
          <w:sz w:val="21"/>
          <w:szCs w:val="21"/>
          <w:highlight w:val="none"/>
        </w:rPr>
        <w:t>6.工程承包范围：</w:t>
      </w:r>
    </w:p>
    <w:p>
      <w:pPr>
        <w:adjustRightInd w:val="0"/>
        <w:spacing w:line="360" w:lineRule="auto"/>
        <w:ind w:firstLine="405" w:firstLineChars="193"/>
        <w:textAlignment w:val="baseline"/>
        <w:rPr>
          <w:rFonts w:cs="宋体"/>
          <w:color w:val="auto"/>
          <w:sz w:val="21"/>
          <w:szCs w:val="21"/>
          <w:highlight w:val="none"/>
        </w:rPr>
      </w:pPr>
      <w:r>
        <w:rPr>
          <w:rFonts w:hint="eastAsia" w:cs="宋体"/>
          <w:color w:val="auto"/>
          <w:sz w:val="21"/>
          <w:szCs w:val="21"/>
          <w:highlight w:val="none"/>
          <w:u w:val="single"/>
        </w:rPr>
        <w:t>                      </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u w:val="single"/>
        </w:rPr>
        <w:t>                    </w:t>
      </w:r>
      <w:r>
        <w:rPr>
          <w:rFonts w:hint="eastAsia" w:cs="宋体"/>
          <w:color w:val="auto"/>
          <w:sz w:val="21"/>
          <w:szCs w:val="21"/>
          <w:highlight w:val="none"/>
        </w:rPr>
        <w:t>。</w:t>
      </w:r>
    </w:p>
    <w:p>
      <w:pPr>
        <w:adjustRightInd w:val="0"/>
        <w:spacing w:beforeLines="100" w:afterLines="100" w:line="360" w:lineRule="auto"/>
        <w:textAlignment w:val="baseline"/>
        <w:outlineLvl w:val="3"/>
        <w:rPr>
          <w:rFonts w:ascii="黑体" w:eastAsia="黑体" w:cs="黑体"/>
          <w:color w:val="auto"/>
          <w:sz w:val="28"/>
          <w:szCs w:val="28"/>
          <w:highlight w:val="none"/>
        </w:rPr>
      </w:pPr>
      <w:r>
        <w:rPr>
          <w:rFonts w:hint="eastAsia" w:ascii="黑体" w:eastAsia="黑体" w:cs="黑体"/>
          <w:color w:val="auto"/>
          <w:sz w:val="28"/>
          <w:szCs w:val="28"/>
          <w:highlight w:val="none"/>
        </w:rPr>
        <w:t>二、合同工期</w:t>
      </w:r>
    </w:p>
    <w:p>
      <w:pPr>
        <w:adjustRightInd w:val="0"/>
        <w:spacing w:line="360" w:lineRule="auto"/>
        <w:ind w:firstLine="459"/>
        <w:textAlignment w:val="baseline"/>
        <w:rPr>
          <w:rFonts w:cs="宋体"/>
          <w:color w:val="auto"/>
          <w:sz w:val="21"/>
          <w:szCs w:val="21"/>
          <w:highlight w:val="none"/>
        </w:rPr>
      </w:pPr>
      <w:r>
        <w:rPr>
          <w:rFonts w:hint="eastAsia" w:cs="宋体"/>
          <w:color w:val="auto"/>
          <w:sz w:val="21"/>
          <w:szCs w:val="21"/>
          <w:highlight w:val="none"/>
        </w:rPr>
        <w:t>计划开工日期：</w:t>
      </w:r>
      <w:r>
        <w:rPr>
          <w:rFonts w:hint="eastAsia" w:cs="宋体"/>
          <w:color w:val="auto"/>
          <w:sz w:val="21"/>
          <w:szCs w:val="21"/>
          <w:highlight w:val="none"/>
          <w:u w:val="single"/>
        </w:rPr>
        <w:t></w:t>
      </w:r>
      <w:r>
        <w:rPr>
          <w:rFonts w:hint="eastAsia" w:cs="宋体"/>
          <w:color w:val="auto"/>
          <w:sz w:val="21"/>
          <w:szCs w:val="21"/>
          <w:highlight w:val="none"/>
        </w:rPr>
        <w:t>年</w:t>
      </w:r>
      <w:r>
        <w:rPr>
          <w:rFonts w:hint="eastAsia" w:cs="宋体"/>
          <w:color w:val="auto"/>
          <w:sz w:val="21"/>
          <w:szCs w:val="21"/>
          <w:highlight w:val="none"/>
          <w:u w:val="single"/>
        </w:rPr>
        <w:t></w:t>
      </w:r>
      <w:r>
        <w:rPr>
          <w:rFonts w:hint="eastAsia" w:cs="宋体"/>
          <w:color w:val="auto"/>
          <w:sz w:val="21"/>
          <w:szCs w:val="21"/>
          <w:highlight w:val="none"/>
        </w:rPr>
        <w:t>月</w:t>
      </w:r>
      <w:r>
        <w:rPr>
          <w:rFonts w:hint="eastAsia" w:cs="宋体"/>
          <w:color w:val="auto"/>
          <w:sz w:val="21"/>
          <w:szCs w:val="21"/>
          <w:highlight w:val="none"/>
          <w:u w:val="single"/>
        </w:rPr>
        <w:t></w:t>
      </w:r>
      <w:r>
        <w:rPr>
          <w:rFonts w:hint="eastAsia" w:cs="宋体"/>
          <w:color w:val="auto"/>
          <w:sz w:val="21"/>
          <w:szCs w:val="21"/>
          <w:highlight w:val="none"/>
        </w:rPr>
        <w:t>日。</w:t>
      </w:r>
    </w:p>
    <w:p>
      <w:pPr>
        <w:adjustRightInd w:val="0"/>
        <w:spacing w:line="360" w:lineRule="auto"/>
        <w:ind w:firstLine="459"/>
        <w:textAlignment w:val="baseline"/>
        <w:rPr>
          <w:rFonts w:cs="宋体"/>
          <w:color w:val="auto"/>
          <w:sz w:val="21"/>
          <w:szCs w:val="21"/>
          <w:highlight w:val="none"/>
        </w:rPr>
      </w:pPr>
      <w:r>
        <w:rPr>
          <w:rFonts w:hint="eastAsia" w:cs="宋体"/>
          <w:color w:val="auto"/>
          <w:sz w:val="21"/>
          <w:szCs w:val="21"/>
          <w:highlight w:val="none"/>
        </w:rPr>
        <w:t>计划竣工日期：</w:t>
      </w:r>
      <w:r>
        <w:rPr>
          <w:rFonts w:hint="eastAsia" w:cs="宋体"/>
          <w:color w:val="auto"/>
          <w:sz w:val="21"/>
          <w:szCs w:val="21"/>
          <w:highlight w:val="none"/>
          <w:u w:val="single"/>
        </w:rPr>
        <w:t></w:t>
      </w:r>
      <w:r>
        <w:rPr>
          <w:rFonts w:hint="eastAsia" w:cs="宋体"/>
          <w:color w:val="auto"/>
          <w:sz w:val="21"/>
          <w:szCs w:val="21"/>
          <w:highlight w:val="none"/>
        </w:rPr>
        <w:t>年</w:t>
      </w:r>
      <w:r>
        <w:rPr>
          <w:rFonts w:hint="eastAsia" w:cs="宋体"/>
          <w:color w:val="auto"/>
          <w:sz w:val="21"/>
          <w:szCs w:val="21"/>
          <w:highlight w:val="none"/>
          <w:u w:val="single"/>
        </w:rPr>
        <w:t></w:t>
      </w:r>
      <w:r>
        <w:rPr>
          <w:rFonts w:hint="eastAsia" w:cs="宋体"/>
          <w:color w:val="auto"/>
          <w:sz w:val="21"/>
          <w:szCs w:val="21"/>
          <w:highlight w:val="none"/>
        </w:rPr>
        <w:t>月</w:t>
      </w:r>
      <w:r>
        <w:rPr>
          <w:rFonts w:hint="eastAsia" w:cs="宋体"/>
          <w:color w:val="auto"/>
          <w:sz w:val="21"/>
          <w:szCs w:val="21"/>
          <w:highlight w:val="none"/>
          <w:u w:val="single"/>
        </w:rPr>
        <w:t></w:t>
      </w:r>
      <w:r>
        <w:rPr>
          <w:rFonts w:hint="eastAsia" w:cs="宋体"/>
          <w:color w:val="auto"/>
          <w:sz w:val="21"/>
          <w:szCs w:val="21"/>
          <w:highlight w:val="none"/>
        </w:rPr>
        <w:t>日。</w:t>
      </w:r>
    </w:p>
    <w:p>
      <w:pPr>
        <w:adjustRightInd w:val="0"/>
        <w:spacing w:line="360" w:lineRule="auto"/>
        <w:ind w:firstLine="459"/>
        <w:textAlignment w:val="baseline"/>
        <w:rPr>
          <w:rFonts w:cs="宋体"/>
          <w:color w:val="auto"/>
          <w:sz w:val="21"/>
          <w:szCs w:val="21"/>
          <w:highlight w:val="none"/>
        </w:rPr>
      </w:pPr>
      <w:r>
        <w:rPr>
          <w:rFonts w:hint="eastAsia" w:cs="宋体"/>
          <w:color w:val="auto"/>
          <w:sz w:val="21"/>
          <w:szCs w:val="21"/>
          <w:highlight w:val="none"/>
        </w:rPr>
        <w:t>工期总日历天数：</w:t>
      </w:r>
      <w:r>
        <w:rPr>
          <w:rFonts w:hint="eastAsia" w:cs="宋体"/>
          <w:color w:val="auto"/>
          <w:sz w:val="21"/>
          <w:szCs w:val="21"/>
          <w:highlight w:val="none"/>
          <w:u w:val="single"/>
        </w:rPr>
        <w:t></w:t>
      </w:r>
      <w:r>
        <w:rPr>
          <w:rFonts w:hint="eastAsia" w:cs="宋体"/>
          <w:color w:val="auto"/>
          <w:sz w:val="21"/>
          <w:szCs w:val="21"/>
          <w:highlight w:val="none"/>
        </w:rPr>
        <w:t>天。工期总日历天数与根据前述计划开竣工日期计算的工期天数不一致的，以工期总日历天数为准。</w:t>
      </w:r>
    </w:p>
    <w:p>
      <w:pPr>
        <w:adjustRightInd w:val="0"/>
        <w:spacing w:beforeLines="100" w:afterLines="100" w:line="360" w:lineRule="auto"/>
        <w:textAlignment w:val="baseline"/>
        <w:outlineLvl w:val="3"/>
        <w:rPr>
          <w:rFonts w:ascii="黑体" w:eastAsia="黑体" w:cs="黑体"/>
          <w:color w:val="auto"/>
          <w:sz w:val="28"/>
          <w:szCs w:val="28"/>
          <w:highlight w:val="none"/>
        </w:rPr>
      </w:pPr>
      <w:r>
        <w:rPr>
          <w:rFonts w:hint="eastAsia" w:ascii="黑体" w:eastAsia="黑体" w:cs="黑体"/>
          <w:color w:val="auto"/>
          <w:sz w:val="28"/>
          <w:szCs w:val="28"/>
          <w:highlight w:val="none"/>
        </w:rPr>
        <w:t xml:space="preserve"> 三、质量标准</w:t>
      </w:r>
    </w:p>
    <w:p>
      <w:pPr>
        <w:adjustRightInd w:val="0"/>
        <w:spacing w:line="360" w:lineRule="auto"/>
        <w:ind w:firstLine="459"/>
        <w:textAlignment w:val="baseline"/>
        <w:rPr>
          <w:rFonts w:cs="宋体"/>
          <w:color w:val="auto"/>
          <w:sz w:val="21"/>
          <w:szCs w:val="21"/>
          <w:highlight w:val="none"/>
        </w:rPr>
      </w:pPr>
      <w:r>
        <w:rPr>
          <w:rFonts w:hint="eastAsia" w:cs="宋体"/>
          <w:color w:val="auto"/>
          <w:sz w:val="21"/>
          <w:szCs w:val="21"/>
          <w:highlight w:val="none"/>
        </w:rPr>
        <w:t>工程质量符合</w:t>
      </w:r>
      <w:r>
        <w:rPr>
          <w:rFonts w:hint="eastAsia" w:cs="宋体"/>
          <w:color w:val="auto"/>
          <w:sz w:val="21"/>
          <w:szCs w:val="21"/>
          <w:highlight w:val="none"/>
          <w:u w:val="single"/>
        </w:rPr>
        <w:t></w:t>
      </w:r>
      <w:r>
        <w:rPr>
          <w:rFonts w:hint="eastAsia" w:cs="宋体"/>
          <w:color w:val="auto"/>
          <w:sz w:val="21"/>
          <w:szCs w:val="21"/>
          <w:highlight w:val="none"/>
        </w:rPr>
        <w:t>标准。</w:t>
      </w:r>
    </w:p>
    <w:p>
      <w:pPr>
        <w:adjustRightInd w:val="0"/>
        <w:spacing w:beforeLines="100" w:afterLines="100" w:line="360" w:lineRule="auto"/>
        <w:textAlignment w:val="baseline"/>
        <w:outlineLvl w:val="3"/>
        <w:rPr>
          <w:rFonts w:hAnsi="Arial" w:cs="宋体"/>
          <w:b/>
          <w:color w:val="auto"/>
          <w:sz w:val="28"/>
          <w:szCs w:val="28"/>
          <w:highlight w:val="none"/>
        </w:rPr>
      </w:pPr>
      <w:r>
        <w:rPr>
          <w:rFonts w:hint="eastAsia" w:hAnsi="Arial" w:cs="宋体"/>
          <w:b/>
          <w:color w:val="auto"/>
          <w:sz w:val="28"/>
          <w:szCs w:val="28"/>
          <w:highlight w:val="none"/>
        </w:rPr>
        <w:t xml:space="preserve">   </w:t>
      </w:r>
      <w:r>
        <w:rPr>
          <w:rFonts w:hint="eastAsia" w:ascii="黑体" w:eastAsia="黑体" w:cs="黑体"/>
          <w:color w:val="auto"/>
          <w:sz w:val="28"/>
          <w:szCs w:val="28"/>
          <w:highlight w:val="none"/>
        </w:rPr>
        <w:t xml:space="preserve"> 四、签约合同价与合同价格形式</w:t>
      </w:r>
      <w:r>
        <w:rPr>
          <w:rFonts w:hint="eastAsia" w:ascii="黑体" w:eastAsia="黑体" w:cs="黑体"/>
          <w:color w:val="auto"/>
          <w:sz w:val="28"/>
          <w:szCs w:val="28"/>
          <w:highlight w:val="none"/>
        </w:rPr>
        <w:tab/>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1.签约合同价为：</w:t>
      </w:r>
    </w:p>
    <w:p>
      <w:pPr>
        <w:adjustRightInd w:val="0"/>
        <w:spacing w:line="360" w:lineRule="auto"/>
        <w:ind w:firstLine="525" w:firstLineChars="250"/>
        <w:textAlignment w:val="baseline"/>
        <w:rPr>
          <w:rFonts w:cs="宋体"/>
          <w:color w:val="auto"/>
          <w:sz w:val="21"/>
          <w:szCs w:val="21"/>
          <w:highlight w:val="none"/>
        </w:rPr>
      </w:pPr>
      <w:r>
        <w:rPr>
          <w:rFonts w:hint="eastAsia" w:cs="宋体"/>
          <w:color w:val="auto"/>
          <w:sz w:val="21"/>
          <w:szCs w:val="21"/>
          <w:highlight w:val="none"/>
        </w:rPr>
        <w:t>人民币（大写）</w:t>
      </w:r>
      <w:r>
        <w:rPr>
          <w:rFonts w:hint="eastAsia" w:cs="宋体"/>
          <w:color w:val="auto"/>
          <w:sz w:val="21"/>
          <w:szCs w:val="21"/>
          <w:highlight w:val="none"/>
          <w:u w:val="single"/>
        </w:rPr>
        <w:t xml:space="preserve">                 </w:t>
      </w:r>
      <w:r>
        <w:rPr>
          <w:rFonts w:hint="eastAsia" w:cs="宋体"/>
          <w:color w:val="auto"/>
          <w:sz w:val="21"/>
          <w:szCs w:val="21"/>
          <w:highlight w:val="none"/>
        </w:rPr>
        <w:t>(</w:t>
      </w:r>
      <w:r>
        <w:rPr>
          <w:rFonts w:ascii="Calibri" w:hAnsi="Calibri" w:cs="Calibri"/>
          <w:color w:val="auto"/>
          <w:sz w:val="21"/>
          <w:szCs w:val="21"/>
          <w:highlight w:val="none"/>
        </w:rPr>
        <w:t>¥</w:t>
      </w:r>
      <w:r>
        <w:rPr>
          <w:rFonts w:hint="eastAsia" w:cs="宋体"/>
          <w:color w:val="auto"/>
          <w:sz w:val="21"/>
          <w:szCs w:val="21"/>
          <w:highlight w:val="none"/>
          <w:u w:val="single"/>
        </w:rPr>
        <w:t xml:space="preserve">            </w:t>
      </w:r>
      <w:r>
        <w:rPr>
          <w:rFonts w:hint="eastAsia" w:cs="宋体"/>
          <w:color w:val="auto"/>
          <w:sz w:val="21"/>
          <w:szCs w:val="21"/>
          <w:highlight w:val="none"/>
        </w:rPr>
        <w:t>元)；</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其中：</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（1）安全文明施工费：</w:t>
      </w:r>
    </w:p>
    <w:p>
      <w:pPr>
        <w:adjustRightInd w:val="0"/>
        <w:spacing w:line="360" w:lineRule="auto"/>
        <w:ind w:firstLine="945" w:firstLineChars="450"/>
        <w:textAlignment w:val="baseline"/>
        <w:rPr>
          <w:rFonts w:cs="宋体"/>
          <w:color w:val="auto"/>
          <w:sz w:val="21"/>
          <w:szCs w:val="21"/>
          <w:highlight w:val="none"/>
        </w:rPr>
      </w:pPr>
      <w:r>
        <w:rPr>
          <w:rFonts w:hint="eastAsia" w:cs="宋体"/>
          <w:color w:val="auto"/>
          <w:sz w:val="21"/>
          <w:szCs w:val="21"/>
          <w:highlight w:val="none"/>
        </w:rPr>
        <w:t>人民币（大写）</w:t>
      </w:r>
      <w:r>
        <w:rPr>
          <w:rFonts w:hint="eastAsia" w:cs="宋体"/>
          <w:color w:val="auto"/>
          <w:sz w:val="21"/>
          <w:szCs w:val="21"/>
          <w:highlight w:val="none"/>
          <w:u w:val="single"/>
        </w:rPr>
        <w:t xml:space="preserve">              </w:t>
      </w:r>
      <w:r>
        <w:rPr>
          <w:rFonts w:hint="eastAsia" w:cs="宋体"/>
          <w:color w:val="auto"/>
          <w:sz w:val="21"/>
          <w:szCs w:val="21"/>
          <w:highlight w:val="none"/>
        </w:rPr>
        <w:t xml:space="preserve"> (</w:t>
      </w:r>
      <w:r>
        <w:rPr>
          <w:rFonts w:ascii="Calibri" w:hAnsi="Calibri" w:cs="Calibri"/>
          <w:color w:val="auto"/>
          <w:sz w:val="21"/>
          <w:szCs w:val="21"/>
          <w:highlight w:val="none"/>
        </w:rPr>
        <w:t>¥</w:t>
      </w:r>
      <w:r>
        <w:rPr>
          <w:rFonts w:hint="eastAsia" w:cs="宋体"/>
          <w:color w:val="auto"/>
          <w:sz w:val="21"/>
          <w:szCs w:val="21"/>
          <w:highlight w:val="none"/>
          <w:u w:val="single"/>
        </w:rPr>
        <w:t xml:space="preserve">          </w:t>
      </w:r>
      <w:r>
        <w:rPr>
          <w:rFonts w:hint="eastAsia" w:cs="宋体"/>
          <w:color w:val="auto"/>
          <w:sz w:val="21"/>
          <w:szCs w:val="21"/>
          <w:highlight w:val="none"/>
        </w:rPr>
        <w:t>元)；</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（2）专业工程暂估价金额：</w:t>
      </w:r>
    </w:p>
    <w:p>
      <w:pPr>
        <w:adjustRightInd w:val="0"/>
        <w:spacing w:line="360" w:lineRule="auto"/>
        <w:ind w:firstLine="945" w:firstLineChars="450"/>
        <w:textAlignment w:val="baseline"/>
        <w:rPr>
          <w:rFonts w:cs="宋体"/>
          <w:color w:val="auto"/>
          <w:sz w:val="21"/>
          <w:szCs w:val="21"/>
          <w:highlight w:val="none"/>
        </w:rPr>
      </w:pPr>
      <w:r>
        <w:rPr>
          <w:rFonts w:hint="eastAsia" w:cs="宋体"/>
          <w:color w:val="auto"/>
          <w:sz w:val="21"/>
          <w:szCs w:val="21"/>
          <w:highlight w:val="none"/>
        </w:rPr>
        <w:t>人民币（大写）</w:t>
      </w:r>
      <w:r>
        <w:rPr>
          <w:rFonts w:hint="eastAsia" w:cs="宋体"/>
          <w:color w:val="auto"/>
          <w:sz w:val="21"/>
          <w:szCs w:val="21"/>
          <w:highlight w:val="none"/>
          <w:u w:val="single"/>
        </w:rPr>
        <w:t xml:space="preserve">              </w:t>
      </w:r>
      <w:r>
        <w:rPr>
          <w:rFonts w:hint="eastAsia" w:cs="宋体"/>
          <w:color w:val="auto"/>
          <w:sz w:val="21"/>
          <w:szCs w:val="21"/>
          <w:highlight w:val="none"/>
        </w:rPr>
        <w:t xml:space="preserve"> (</w:t>
      </w:r>
      <w:r>
        <w:rPr>
          <w:rFonts w:ascii="Calibri" w:hAnsi="Calibri" w:cs="Calibri"/>
          <w:color w:val="auto"/>
          <w:sz w:val="21"/>
          <w:szCs w:val="21"/>
          <w:highlight w:val="none"/>
        </w:rPr>
        <w:t>¥</w:t>
      </w:r>
      <w:r>
        <w:rPr>
          <w:rFonts w:hint="eastAsia" w:cs="宋体"/>
          <w:color w:val="auto"/>
          <w:sz w:val="21"/>
          <w:szCs w:val="21"/>
          <w:highlight w:val="none"/>
          <w:u w:val="single"/>
        </w:rPr>
        <w:t xml:space="preserve">          </w:t>
      </w:r>
      <w:r>
        <w:rPr>
          <w:rFonts w:hint="eastAsia" w:cs="宋体"/>
          <w:color w:val="auto"/>
          <w:sz w:val="21"/>
          <w:szCs w:val="21"/>
          <w:highlight w:val="none"/>
        </w:rPr>
        <w:t>元)；</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（3）暂列金额：</w:t>
      </w:r>
    </w:p>
    <w:p>
      <w:pPr>
        <w:adjustRightInd w:val="0"/>
        <w:spacing w:line="360" w:lineRule="auto"/>
        <w:ind w:firstLine="945" w:firstLineChars="450"/>
        <w:textAlignment w:val="baseline"/>
        <w:rPr>
          <w:rFonts w:cs="宋体"/>
          <w:color w:val="auto"/>
          <w:sz w:val="21"/>
          <w:szCs w:val="21"/>
          <w:highlight w:val="none"/>
        </w:rPr>
      </w:pPr>
      <w:r>
        <w:rPr>
          <w:rFonts w:hint="eastAsia" w:cs="宋体"/>
          <w:color w:val="auto"/>
          <w:sz w:val="21"/>
          <w:szCs w:val="21"/>
          <w:highlight w:val="none"/>
        </w:rPr>
        <w:t>人民币（大写）</w:t>
      </w:r>
      <w:r>
        <w:rPr>
          <w:rFonts w:hint="eastAsia" w:cs="宋体"/>
          <w:color w:val="auto"/>
          <w:sz w:val="21"/>
          <w:szCs w:val="21"/>
          <w:highlight w:val="none"/>
          <w:u w:val="single"/>
        </w:rPr>
        <w:t xml:space="preserve">              </w:t>
      </w:r>
      <w:r>
        <w:rPr>
          <w:rFonts w:hint="eastAsia" w:cs="宋体"/>
          <w:color w:val="auto"/>
          <w:sz w:val="21"/>
          <w:szCs w:val="21"/>
          <w:highlight w:val="none"/>
        </w:rPr>
        <w:t xml:space="preserve"> (</w:t>
      </w:r>
      <w:r>
        <w:rPr>
          <w:rFonts w:ascii="Calibri" w:hAnsi="Calibri" w:cs="Calibri"/>
          <w:color w:val="auto"/>
          <w:sz w:val="21"/>
          <w:szCs w:val="21"/>
          <w:highlight w:val="none"/>
        </w:rPr>
        <w:t>¥</w:t>
      </w:r>
      <w:r>
        <w:rPr>
          <w:rFonts w:hint="eastAsia" w:cs="宋体"/>
          <w:color w:val="auto"/>
          <w:sz w:val="21"/>
          <w:szCs w:val="21"/>
          <w:highlight w:val="none"/>
          <w:u w:val="single"/>
        </w:rPr>
        <w:t xml:space="preserve">          </w:t>
      </w:r>
      <w:r>
        <w:rPr>
          <w:rFonts w:hint="eastAsia" w:cs="宋体"/>
          <w:color w:val="auto"/>
          <w:sz w:val="21"/>
          <w:szCs w:val="21"/>
          <w:highlight w:val="none"/>
        </w:rPr>
        <w:t>元)。</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2.合同价格形式：</w:t>
      </w:r>
      <w:r>
        <w:rPr>
          <w:rFonts w:hint="eastAsia" w:cs="宋体"/>
          <w:color w:val="auto"/>
          <w:sz w:val="21"/>
          <w:szCs w:val="21"/>
          <w:highlight w:val="none"/>
          <w:u w:val="single"/>
        </w:rPr>
        <w:t>                                        </w:t>
      </w:r>
      <w:r>
        <w:rPr>
          <w:rFonts w:hint="eastAsia" w:cs="宋体"/>
          <w:color w:val="auto"/>
          <w:sz w:val="21"/>
          <w:szCs w:val="21"/>
          <w:highlight w:val="none"/>
        </w:rPr>
        <w:t>。</w:t>
      </w:r>
    </w:p>
    <w:p>
      <w:pPr>
        <w:adjustRightInd w:val="0"/>
        <w:spacing w:beforeLines="100" w:afterLines="100" w:line="360" w:lineRule="auto"/>
        <w:textAlignment w:val="baseline"/>
        <w:outlineLvl w:val="3"/>
        <w:rPr>
          <w:rFonts w:hAnsi="Arial" w:cs="宋体"/>
          <w:b/>
          <w:color w:val="auto"/>
          <w:sz w:val="21"/>
          <w:szCs w:val="21"/>
          <w:highlight w:val="none"/>
        </w:rPr>
      </w:pPr>
      <w:r>
        <w:rPr>
          <w:rFonts w:hint="eastAsia" w:hAnsi="Arial" w:cs="宋体"/>
          <w:b/>
          <w:color w:val="auto"/>
          <w:sz w:val="21"/>
          <w:szCs w:val="21"/>
          <w:highlight w:val="none"/>
        </w:rPr>
        <w:t xml:space="preserve">  </w:t>
      </w:r>
      <w:r>
        <w:rPr>
          <w:rFonts w:hint="eastAsia" w:hAnsi="Arial" w:cs="宋体"/>
          <w:b/>
          <w:color w:val="auto"/>
          <w:sz w:val="28"/>
          <w:szCs w:val="28"/>
          <w:highlight w:val="none"/>
        </w:rPr>
        <w:t xml:space="preserve"> </w:t>
      </w:r>
      <w:r>
        <w:rPr>
          <w:rFonts w:hint="eastAsia" w:ascii="黑体" w:eastAsia="黑体" w:cs="黑体"/>
          <w:color w:val="auto"/>
          <w:sz w:val="28"/>
          <w:szCs w:val="28"/>
          <w:highlight w:val="none"/>
        </w:rPr>
        <w:t xml:space="preserve"> 五、项目负责人</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承包人项目负责人：</w:t>
      </w:r>
      <w:r>
        <w:rPr>
          <w:rFonts w:hint="eastAsia" w:cs="宋体"/>
          <w:color w:val="auto"/>
          <w:sz w:val="21"/>
          <w:szCs w:val="21"/>
          <w:highlight w:val="none"/>
          <w:u w:val="single"/>
        </w:rPr>
        <w:t>                                        </w:t>
      </w:r>
      <w:r>
        <w:rPr>
          <w:rFonts w:hint="eastAsia" w:cs="宋体"/>
          <w:color w:val="auto"/>
          <w:sz w:val="21"/>
          <w:szCs w:val="21"/>
          <w:highlight w:val="none"/>
        </w:rPr>
        <w:t>。</w:t>
      </w:r>
    </w:p>
    <w:p>
      <w:pPr>
        <w:adjustRightInd w:val="0"/>
        <w:spacing w:beforeLines="100" w:afterLines="100" w:line="360" w:lineRule="auto"/>
        <w:textAlignment w:val="baseline"/>
        <w:outlineLvl w:val="3"/>
        <w:rPr>
          <w:rFonts w:hAnsi="Arial" w:cs="宋体"/>
          <w:b/>
          <w:color w:val="auto"/>
          <w:sz w:val="21"/>
          <w:szCs w:val="21"/>
          <w:highlight w:val="none"/>
        </w:rPr>
      </w:pPr>
      <w:r>
        <w:rPr>
          <w:rFonts w:hint="eastAsia" w:hAnsi="Arial" w:cs="宋体"/>
          <w:b/>
          <w:color w:val="auto"/>
          <w:sz w:val="21"/>
          <w:szCs w:val="21"/>
          <w:highlight w:val="none"/>
        </w:rPr>
        <w:t xml:space="preserve">  </w:t>
      </w:r>
      <w:r>
        <w:rPr>
          <w:rFonts w:hint="eastAsia" w:hAnsi="Arial" w:cs="宋体"/>
          <w:b/>
          <w:color w:val="auto"/>
          <w:sz w:val="28"/>
          <w:szCs w:val="28"/>
          <w:highlight w:val="none"/>
        </w:rPr>
        <w:t xml:space="preserve">  </w:t>
      </w:r>
      <w:r>
        <w:rPr>
          <w:rFonts w:hint="eastAsia" w:ascii="黑体" w:eastAsia="黑体" w:cs="黑体"/>
          <w:color w:val="auto"/>
          <w:sz w:val="28"/>
          <w:szCs w:val="28"/>
          <w:highlight w:val="none"/>
        </w:rPr>
        <w:t>六、合同文件构成</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本协议书与下列文件一起构成合同文件：</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（1）中标通知书（如果有）；</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 xml:space="preserve">（2）投标函及其附录（如果有）； </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（3）专用合同条款及其附件；</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（4）通用合同条款；</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（5）技术标准和要求；</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（6）图纸；</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（7）已标价工程量清单或预算书；</w:t>
      </w:r>
    </w:p>
    <w:p>
      <w:pPr>
        <w:pStyle w:val="59"/>
        <w:ind w:left="0" w:firstLineChars="200"/>
        <w:rPr>
          <w:color w:val="auto"/>
          <w:highlight w:val="none"/>
        </w:rPr>
      </w:pPr>
      <w:r>
        <w:rPr>
          <w:rFonts w:hint="eastAsia" w:ascii="宋体" w:hAnsi="宋体"/>
          <w:color w:val="auto"/>
          <w:highlight w:val="none"/>
        </w:rPr>
        <w:t>（8）</w:t>
      </w:r>
      <w:r>
        <w:rPr>
          <w:rFonts w:hint="eastAsia"/>
          <w:color w:val="auto"/>
          <w:highlight w:val="none"/>
        </w:rPr>
        <w:t>最高投标报价限价</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（9）其他合同文件。</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在合同订立及履行过程中形成的与合同有关的文件均构成合同文件组成部分。</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上述各项合同文件包括合同当事人就该项合同文件所作出的补充和修改，属于同一类内容的文件，应以最新签署的为准。专用合同条款及其附件须经合同当事人签字或盖章。</w:t>
      </w:r>
    </w:p>
    <w:p>
      <w:pPr>
        <w:adjustRightInd w:val="0"/>
        <w:spacing w:beforeLines="100" w:afterLines="100" w:line="360" w:lineRule="auto"/>
        <w:textAlignment w:val="baseline"/>
        <w:outlineLvl w:val="3"/>
        <w:rPr>
          <w:rFonts w:ascii="黑体" w:eastAsia="黑体" w:cs="黑体"/>
          <w:color w:val="auto"/>
          <w:sz w:val="28"/>
          <w:szCs w:val="28"/>
          <w:highlight w:val="none"/>
        </w:rPr>
      </w:pPr>
      <w:r>
        <w:rPr>
          <w:rFonts w:hint="eastAsia" w:hAnsi="Arial" w:cs="宋体"/>
          <w:color w:val="auto"/>
          <w:sz w:val="21"/>
          <w:szCs w:val="21"/>
          <w:highlight w:val="none"/>
        </w:rPr>
        <w:t xml:space="preserve"> </w:t>
      </w:r>
      <w:r>
        <w:rPr>
          <w:rFonts w:hint="eastAsia" w:ascii="黑体" w:eastAsia="黑体" w:cs="黑体"/>
          <w:color w:val="auto"/>
          <w:sz w:val="28"/>
          <w:szCs w:val="28"/>
          <w:highlight w:val="none"/>
        </w:rPr>
        <w:t xml:space="preserve">   七、承诺</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1.发包人承诺按照法律规定履行项目审批手续、筹集工程建设资金并按照合同约定的期限和方式支付合同价款。</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2.承包人承诺按照法律规定及合同约定组织完成工程施工，确保工程质量和安全，不进行转包及违法分包，并在缺陷责任期及保修期内承担相应的工程维修责任。</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3.发包人和承包人通过招投标形式签订合同的，双方理解并承诺不再就同一工程另行签订与合同实质性内容相背离的协议。</w:t>
      </w:r>
    </w:p>
    <w:p>
      <w:pPr>
        <w:adjustRightInd w:val="0"/>
        <w:spacing w:beforeLines="100" w:afterLines="100" w:line="360" w:lineRule="auto"/>
        <w:textAlignment w:val="baseline"/>
        <w:outlineLvl w:val="3"/>
        <w:rPr>
          <w:rFonts w:hAnsi="Arial" w:cs="宋体"/>
          <w:b/>
          <w:color w:val="auto"/>
          <w:sz w:val="21"/>
          <w:szCs w:val="21"/>
          <w:highlight w:val="none"/>
        </w:rPr>
      </w:pPr>
      <w:r>
        <w:rPr>
          <w:rFonts w:hint="eastAsia" w:hAnsi="Arial" w:cs="宋体"/>
          <w:color w:val="auto"/>
          <w:sz w:val="21"/>
          <w:szCs w:val="21"/>
          <w:highlight w:val="none"/>
        </w:rPr>
        <w:t xml:space="preserve">  </w:t>
      </w:r>
      <w:r>
        <w:rPr>
          <w:rFonts w:hint="eastAsia" w:ascii="黑体" w:eastAsia="黑体" w:cs="黑体"/>
          <w:color w:val="auto"/>
          <w:sz w:val="28"/>
          <w:szCs w:val="28"/>
          <w:highlight w:val="none"/>
        </w:rPr>
        <w:t xml:space="preserve">  八、词语含义</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本协议书中词语含义与第二部分通用合同条款中赋予的含义相同。</w:t>
      </w:r>
    </w:p>
    <w:p>
      <w:pPr>
        <w:adjustRightInd w:val="0"/>
        <w:spacing w:beforeLines="100" w:afterLines="100" w:line="360" w:lineRule="auto"/>
        <w:textAlignment w:val="baseline"/>
        <w:outlineLvl w:val="3"/>
        <w:rPr>
          <w:rFonts w:ascii="黑体" w:eastAsia="黑体" w:cs="黑体"/>
          <w:color w:val="auto"/>
          <w:sz w:val="28"/>
          <w:szCs w:val="28"/>
          <w:highlight w:val="none"/>
        </w:rPr>
      </w:pPr>
      <w:r>
        <w:rPr>
          <w:rFonts w:hint="eastAsia" w:ascii="黑体" w:eastAsia="黑体" w:cs="黑体"/>
          <w:color w:val="auto"/>
          <w:sz w:val="28"/>
          <w:szCs w:val="28"/>
          <w:highlight w:val="none"/>
        </w:rPr>
        <w:t xml:space="preserve">    九、签订时间</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本合同于</w:t>
      </w:r>
      <w:r>
        <w:rPr>
          <w:rFonts w:hint="eastAsia" w:cs="宋体"/>
          <w:color w:val="auto"/>
          <w:sz w:val="21"/>
          <w:szCs w:val="21"/>
          <w:highlight w:val="none"/>
          <w:u w:val="single"/>
        </w:rPr>
        <w:t xml:space="preserve">         </w:t>
      </w:r>
      <w:r>
        <w:rPr>
          <w:rFonts w:hint="eastAsia" w:cs="宋体"/>
          <w:color w:val="auto"/>
          <w:sz w:val="21"/>
          <w:szCs w:val="21"/>
          <w:highlight w:val="none"/>
        </w:rPr>
        <w:t>年</w:t>
      </w:r>
      <w:r>
        <w:rPr>
          <w:rFonts w:hint="eastAsia" w:cs="宋体"/>
          <w:color w:val="auto"/>
          <w:sz w:val="21"/>
          <w:szCs w:val="21"/>
          <w:highlight w:val="none"/>
          <w:u w:val="single"/>
        </w:rPr>
        <w:t xml:space="preserve">    </w:t>
      </w:r>
      <w:r>
        <w:rPr>
          <w:rFonts w:hint="eastAsia" w:cs="宋体"/>
          <w:color w:val="auto"/>
          <w:sz w:val="21"/>
          <w:szCs w:val="21"/>
          <w:highlight w:val="none"/>
        </w:rPr>
        <w:t>月</w:t>
      </w:r>
      <w:r>
        <w:rPr>
          <w:rFonts w:hint="eastAsia" w:cs="宋体"/>
          <w:color w:val="auto"/>
          <w:sz w:val="21"/>
          <w:szCs w:val="21"/>
          <w:highlight w:val="none"/>
          <w:u w:val="single"/>
        </w:rPr>
        <w:t xml:space="preserve">    </w:t>
      </w:r>
      <w:r>
        <w:rPr>
          <w:rFonts w:hint="eastAsia" w:cs="宋体"/>
          <w:color w:val="auto"/>
          <w:sz w:val="21"/>
          <w:szCs w:val="21"/>
          <w:highlight w:val="none"/>
        </w:rPr>
        <w:t>日签订。</w:t>
      </w:r>
    </w:p>
    <w:p>
      <w:pPr>
        <w:adjustRightInd w:val="0"/>
        <w:spacing w:beforeLines="100" w:afterLines="100" w:line="360" w:lineRule="auto"/>
        <w:textAlignment w:val="baseline"/>
        <w:outlineLvl w:val="3"/>
        <w:rPr>
          <w:rFonts w:hAnsi="Arial" w:cs="宋体"/>
          <w:b/>
          <w:color w:val="auto"/>
          <w:sz w:val="21"/>
          <w:szCs w:val="21"/>
          <w:highlight w:val="none"/>
        </w:rPr>
      </w:pPr>
      <w:r>
        <w:rPr>
          <w:rFonts w:hint="eastAsia" w:hAnsi="Arial" w:cs="宋体"/>
          <w:b/>
          <w:color w:val="auto"/>
          <w:sz w:val="21"/>
          <w:szCs w:val="21"/>
          <w:highlight w:val="none"/>
        </w:rPr>
        <w:t xml:space="preserve"> </w:t>
      </w:r>
      <w:r>
        <w:rPr>
          <w:rFonts w:hint="eastAsia" w:ascii="黑体" w:eastAsia="黑体" w:cs="黑体"/>
          <w:color w:val="auto"/>
          <w:sz w:val="28"/>
          <w:szCs w:val="28"/>
          <w:highlight w:val="none"/>
        </w:rPr>
        <w:t xml:space="preserve">   十、签订地点</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本合同在</w:t>
      </w:r>
      <w:r>
        <w:rPr>
          <w:rFonts w:hint="eastAsia" w:cs="宋体"/>
          <w:color w:val="auto"/>
          <w:sz w:val="21"/>
          <w:szCs w:val="21"/>
          <w:highlight w:val="none"/>
          <w:u w:val="single"/>
        </w:rPr>
        <w:t xml:space="preserve">                                    </w:t>
      </w:r>
      <w:r>
        <w:rPr>
          <w:rFonts w:hint="eastAsia" w:cs="宋体"/>
          <w:color w:val="auto"/>
          <w:sz w:val="21"/>
          <w:szCs w:val="21"/>
          <w:highlight w:val="none"/>
        </w:rPr>
        <w:t>签订。</w:t>
      </w:r>
    </w:p>
    <w:p>
      <w:pPr>
        <w:adjustRightInd w:val="0"/>
        <w:spacing w:beforeLines="100" w:afterLines="100" w:line="360" w:lineRule="auto"/>
        <w:textAlignment w:val="baseline"/>
        <w:outlineLvl w:val="3"/>
        <w:rPr>
          <w:rFonts w:ascii="黑体" w:eastAsia="黑体" w:cs="黑体"/>
          <w:color w:val="auto"/>
          <w:sz w:val="28"/>
          <w:szCs w:val="28"/>
          <w:highlight w:val="none"/>
        </w:rPr>
      </w:pPr>
      <w:r>
        <w:rPr>
          <w:rFonts w:hint="eastAsia" w:ascii="黑体" w:eastAsia="黑体" w:cs="黑体"/>
          <w:color w:val="auto"/>
          <w:sz w:val="28"/>
          <w:szCs w:val="28"/>
          <w:highlight w:val="none"/>
        </w:rPr>
        <w:t xml:space="preserve">    十一、补充协议</w:t>
      </w:r>
    </w:p>
    <w:p>
      <w:pPr>
        <w:adjustRightInd w:val="0"/>
        <w:spacing w:line="360" w:lineRule="auto"/>
        <w:ind w:firstLine="420" w:firstLineChars="200"/>
        <w:textAlignment w:val="baseline"/>
        <w:rPr>
          <w:rFonts w:cs="宋体"/>
          <w:b/>
          <w:color w:val="auto"/>
          <w:sz w:val="21"/>
          <w:szCs w:val="21"/>
          <w:highlight w:val="none"/>
        </w:rPr>
      </w:pPr>
      <w:r>
        <w:rPr>
          <w:rFonts w:hint="eastAsia" w:cs="宋体"/>
          <w:color w:val="auto"/>
          <w:sz w:val="21"/>
          <w:szCs w:val="21"/>
          <w:highlight w:val="none"/>
        </w:rPr>
        <w:t>合同未尽事宜，合同当事人另行签订补充协议，补充协议是合同的组成部分。</w:t>
      </w:r>
    </w:p>
    <w:p>
      <w:pPr>
        <w:adjustRightInd w:val="0"/>
        <w:spacing w:beforeLines="100" w:afterLines="100" w:line="360" w:lineRule="auto"/>
        <w:textAlignment w:val="baseline"/>
        <w:outlineLvl w:val="3"/>
        <w:rPr>
          <w:rFonts w:ascii="黑体" w:eastAsia="黑体" w:cs="黑体"/>
          <w:color w:val="auto"/>
          <w:sz w:val="28"/>
          <w:szCs w:val="28"/>
          <w:highlight w:val="none"/>
        </w:rPr>
      </w:pPr>
      <w:r>
        <w:rPr>
          <w:rFonts w:hint="eastAsia" w:ascii="黑体" w:eastAsia="黑体" w:cs="黑体"/>
          <w:color w:val="auto"/>
          <w:sz w:val="28"/>
          <w:szCs w:val="28"/>
          <w:highlight w:val="none"/>
        </w:rPr>
        <w:t xml:space="preserve">    十二、合同生效</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本合同自</w:t>
      </w:r>
      <w:r>
        <w:rPr>
          <w:rFonts w:hint="eastAsia" w:cs="宋体"/>
          <w:color w:val="auto"/>
          <w:sz w:val="21"/>
          <w:szCs w:val="21"/>
          <w:highlight w:val="none"/>
          <w:u w:val="single"/>
        </w:rPr>
        <w:t xml:space="preserve">                                   </w:t>
      </w:r>
      <w:r>
        <w:rPr>
          <w:rFonts w:hint="eastAsia" w:cs="宋体"/>
          <w:color w:val="auto"/>
          <w:sz w:val="21"/>
          <w:szCs w:val="21"/>
          <w:highlight w:val="none"/>
        </w:rPr>
        <w:t>生效。</w:t>
      </w:r>
    </w:p>
    <w:p>
      <w:pPr>
        <w:adjustRightInd w:val="0"/>
        <w:spacing w:beforeLines="100" w:afterLines="100" w:line="360" w:lineRule="auto"/>
        <w:textAlignment w:val="baseline"/>
        <w:outlineLvl w:val="3"/>
        <w:rPr>
          <w:rFonts w:ascii="黑体" w:eastAsia="黑体" w:cs="黑体"/>
          <w:color w:val="auto"/>
          <w:sz w:val="28"/>
          <w:szCs w:val="28"/>
          <w:highlight w:val="none"/>
        </w:rPr>
      </w:pPr>
      <w:r>
        <w:rPr>
          <w:rFonts w:hint="eastAsia" w:ascii="黑体" w:eastAsia="黑体" w:cs="黑体"/>
          <w:color w:val="auto"/>
          <w:sz w:val="28"/>
          <w:szCs w:val="28"/>
          <w:highlight w:val="none"/>
        </w:rPr>
        <w:t xml:space="preserve">    十三、合同份数</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本合同一式</w:t>
      </w:r>
      <w:r>
        <w:rPr>
          <w:rFonts w:hint="eastAsia" w:cs="宋体"/>
          <w:color w:val="auto"/>
          <w:sz w:val="21"/>
          <w:szCs w:val="21"/>
          <w:highlight w:val="none"/>
          <w:u w:val="single"/>
        </w:rPr>
        <w:t xml:space="preserve">    </w:t>
      </w:r>
      <w:r>
        <w:rPr>
          <w:rFonts w:hint="eastAsia" w:cs="宋体"/>
          <w:color w:val="auto"/>
          <w:sz w:val="21"/>
          <w:szCs w:val="21"/>
          <w:highlight w:val="none"/>
        </w:rPr>
        <w:t>份，均具有同等法律效力，发包人执</w:t>
      </w:r>
      <w:r>
        <w:rPr>
          <w:rFonts w:hint="eastAsia" w:cs="宋体"/>
          <w:color w:val="auto"/>
          <w:sz w:val="21"/>
          <w:szCs w:val="21"/>
          <w:highlight w:val="none"/>
          <w:u w:val="single"/>
        </w:rPr>
        <w:t xml:space="preserve">    </w:t>
      </w:r>
      <w:r>
        <w:rPr>
          <w:rFonts w:hint="eastAsia" w:cs="宋体"/>
          <w:color w:val="auto"/>
          <w:sz w:val="21"/>
          <w:szCs w:val="21"/>
          <w:highlight w:val="none"/>
        </w:rPr>
        <w:t>份，承包人执</w:t>
      </w:r>
      <w:r>
        <w:rPr>
          <w:rFonts w:hint="eastAsia" w:cs="宋体"/>
          <w:color w:val="auto"/>
          <w:sz w:val="21"/>
          <w:szCs w:val="21"/>
          <w:highlight w:val="none"/>
          <w:u w:val="single"/>
        </w:rPr>
        <w:t xml:space="preserve">    </w:t>
      </w:r>
      <w:r>
        <w:rPr>
          <w:rFonts w:hint="eastAsia" w:cs="宋体"/>
          <w:color w:val="auto"/>
          <w:sz w:val="21"/>
          <w:szCs w:val="21"/>
          <w:highlight w:val="none"/>
        </w:rPr>
        <w:t>份。</w:t>
      </w:r>
    </w:p>
    <w:p>
      <w:pPr>
        <w:adjustRightInd w:val="0"/>
        <w:spacing w:line="360" w:lineRule="auto"/>
        <w:textAlignment w:val="baseline"/>
        <w:rPr>
          <w:rFonts w:cs="宋体"/>
          <w:color w:val="auto"/>
          <w:sz w:val="21"/>
          <w:szCs w:val="21"/>
          <w:highlight w:val="none"/>
        </w:rPr>
      </w:pPr>
      <w:r>
        <w:rPr>
          <w:rFonts w:hint="eastAsia" w:cs="宋体"/>
          <w:color w:val="auto"/>
          <w:sz w:val="21"/>
          <w:szCs w:val="21"/>
          <w:highlight w:val="none"/>
        </w:rPr>
        <w:t xml:space="preserve"> </w:t>
      </w:r>
    </w:p>
    <w:p>
      <w:pPr>
        <w:adjustRightInd w:val="0"/>
        <w:spacing w:line="360" w:lineRule="auto"/>
        <w:textAlignment w:val="baseline"/>
        <w:rPr>
          <w:rFonts w:cs="宋体"/>
          <w:color w:val="auto"/>
          <w:sz w:val="21"/>
          <w:szCs w:val="21"/>
          <w:highlight w:val="none"/>
        </w:rPr>
      </w:pPr>
      <w:r>
        <w:rPr>
          <w:rFonts w:hint="eastAsia" w:cs="宋体"/>
          <w:color w:val="auto"/>
          <w:sz w:val="21"/>
          <w:szCs w:val="21"/>
          <w:highlight w:val="none"/>
        </w:rPr>
        <w:t xml:space="preserve"> </w:t>
      </w:r>
    </w:p>
    <w:p>
      <w:pPr>
        <w:adjustRightInd w:val="0"/>
        <w:spacing w:line="360" w:lineRule="auto"/>
        <w:textAlignment w:val="baseline"/>
        <w:rPr>
          <w:rFonts w:cs="宋体"/>
          <w:color w:val="auto"/>
          <w:sz w:val="21"/>
          <w:szCs w:val="21"/>
          <w:highlight w:val="none"/>
        </w:rPr>
      </w:pPr>
      <w:r>
        <w:rPr>
          <w:rFonts w:hint="eastAsia" w:cs="宋体"/>
          <w:color w:val="auto"/>
          <w:sz w:val="21"/>
          <w:szCs w:val="21"/>
          <w:highlight w:val="none"/>
        </w:rPr>
        <w:t>发包人：  (公章)                         承包人：  (公章)</w:t>
      </w:r>
    </w:p>
    <w:p>
      <w:pPr>
        <w:adjustRightInd w:val="0"/>
        <w:spacing w:line="360" w:lineRule="auto"/>
        <w:textAlignment w:val="baseline"/>
        <w:rPr>
          <w:rFonts w:cs="宋体"/>
          <w:color w:val="auto"/>
          <w:sz w:val="21"/>
          <w:szCs w:val="21"/>
          <w:highlight w:val="none"/>
          <w:u w:val="single"/>
        </w:rPr>
      </w:pPr>
      <w:r>
        <w:rPr>
          <w:rFonts w:hint="eastAsia" w:cs="宋体"/>
          <w:color w:val="auto"/>
          <w:sz w:val="21"/>
          <w:szCs w:val="21"/>
          <w:highlight w:val="none"/>
        </w:rPr>
        <w:t xml:space="preserve">                                 </w:t>
      </w:r>
    </w:p>
    <w:p>
      <w:pPr>
        <w:adjustRightInd w:val="0"/>
        <w:spacing w:line="360" w:lineRule="auto"/>
        <w:textAlignment w:val="baseline"/>
        <w:rPr>
          <w:rFonts w:cs="宋体"/>
          <w:color w:val="auto"/>
          <w:sz w:val="21"/>
          <w:szCs w:val="21"/>
          <w:highlight w:val="none"/>
        </w:rPr>
      </w:pPr>
      <w:r>
        <w:rPr>
          <w:rFonts w:hint="eastAsia" w:cs="宋体"/>
          <w:color w:val="auto"/>
          <w:sz w:val="21"/>
          <w:szCs w:val="21"/>
          <w:highlight w:val="none"/>
        </w:rPr>
        <w:t>法定代表人或其委托代理人：               法定代表人或其委托代理人：</w:t>
      </w:r>
    </w:p>
    <w:p>
      <w:pPr>
        <w:adjustRightInd w:val="0"/>
        <w:spacing w:line="360" w:lineRule="auto"/>
        <w:textAlignment w:val="baseline"/>
        <w:rPr>
          <w:rFonts w:cs="宋体"/>
          <w:color w:val="auto"/>
          <w:sz w:val="21"/>
          <w:szCs w:val="21"/>
          <w:highlight w:val="none"/>
        </w:rPr>
      </w:pPr>
      <w:r>
        <w:rPr>
          <w:rFonts w:hint="eastAsia" w:cs="宋体"/>
          <w:color w:val="auto"/>
          <w:sz w:val="21"/>
          <w:szCs w:val="21"/>
          <w:highlight w:val="none"/>
        </w:rPr>
        <w:t>（签字）                                 （签字）</w:t>
      </w:r>
    </w:p>
    <w:p>
      <w:pPr>
        <w:adjustRightInd w:val="0"/>
        <w:spacing w:line="360" w:lineRule="auto"/>
        <w:textAlignment w:val="baseline"/>
        <w:rPr>
          <w:rFonts w:cs="宋体"/>
          <w:color w:val="auto"/>
          <w:sz w:val="21"/>
          <w:szCs w:val="21"/>
          <w:highlight w:val="none"/>
          <w:u w:val="single"/>
        </w:rPr>
      </w:pPr>
    </w:p>
    <w:p>
      <w:pPr>
        <w:adjustRightInd w:val="0"/>
        <w:spacing w:line="360" w:lineRule="auto"/>
        <w:textAlignment w:val="baseline"/>
        <w:rPr>
          <w:rFonts w:cs="宋体"/>
          <w:color w:val="auto"/>
          <w:sz w:val="21"/>
          <w:szCs w:val="21"/>
          <w:highlight w:val="none"/>
        </w:rPr>
      </w:pPr>
      <w:r>
        <w:rPr>
          <w:rFonts w:hint="eastAsia" w:cs="宋体"/>
          <w:color w:val="auto"/>
          <w:sz w:val="21"/>
          <w:szCs w:val="21"/>
          <w:highlight w:val="none"/>
        </w:rPr>
        <w:t>组织机构代码：</w:t>
      </w:r>
      <w:r>
        <w:rPr>
          <w:rFonts w:hint="eastAsia" w:cs="宋体"/>
          <w:color w:val="auto"/>
          <w:sz w:val="21"/>
          <w:szCs w:val="21"/>
          <w:highlight w:val="none"/>
          <w:u w:val="single"/>
        </w:rPr>
        <w:t xml:space="preserve">         </w:t>
      </w:r>
      <w:r>
        <w:rPr>
          <w:rFonts w:hint="eastAsia" w:cs="宋体"/>
          <w:color w:val="auto"/>
          <w:sz w:val="21"/>
          <w:szCs w:val="21"/>
          <w:highlight w:val="none"/>
        </w:rPr>
        <w:t xml:space="preserve">            组织机构代码：</w:t>
      </w:r>
      <w:r>
        <w:rPr>
          <w:rFonts w:hint="eastAsia" w:cs="宋体"/>
          <w:color w:val="auto"/>
          <w:sz w:val="21"/>
          <w:szCs w:val="21"/>
          <w:highlight w:val="none"/>
          <w:u w:val="single"/>
        </w:rPr>
        <w:t xml:space="preserve">            </w:t>
      </w:r>
    </w:p>
    <w:p>
      <w:pPr>
        <w:adjustRightInd w:val="0"/>
        <w:spacing w:line="360" w:lineRule="auto"/>
        <w:textAlignment w:val="baseline"/>
        <w:rPr>
          <w:rFonts w:cs="宋体"/>
          <w:color w:val="auto"/>
          <w:sz w:val="21"/>
          <w:szCs w:val="21"/>
          <w:highlight w:val="none"/>
        </w:rPr>
      </w:pPr>
      <w:r>
        <w:rPr>
          <w:rFonts w:hint="eastAsia" w:cs="宋体"/>
          <w:color w:val="auto"/>
          <w:sz w:val="21"/>
          <w:szCs w:val="21"/>
          <w:highlight w:val="none"/>
        </w:rPr>
        <w:t>地  址：</w:t>
      </w:r>
      <w:r>
        <w:rPr>
          <w:rFonts w:hint="eastAsia" w:cs="宋体"/>
          <w:color w:val="auto"/>
          <w:sz w:val="21"/>
          <w:szCs w:val="21"/>
          <w:highlight w:val="none"/>
          <w:u w:val="single"/>
        </w:rPr>
        <w:t xml:space="preserve">       </w:t>
      </w:r>
      <w:r>
        <w:rPr>
          <w:rFonts w:hint="eastAsia" w:cs="宋体"/>
          <w:color w:val="auto"/>
          <w:sz w:val="21"/>
          <w:szCs w:val="21"/>
          <w:highlight w:val="none"/>
        </w:rPr>
        <w:t xml:space="preserve">            地  址：</w:t>
      </w:r>
      <w:r>
        <w:rPr>
          <w:rFonts w:hint="eastAsia" w:cs="宋体"/>
          <w:color w:val="auto"/>
          <w:sz w:val="21"/>
          <w:szCs w:val="21"/>
          <w:highlight w:val="none"/>
          <w:u w:val="single"/>
        </w:rPr>
        <w:t xml:space="preserve">        </w:t>
      </w:r>
    </w:p>
    <w:p>
      <w:pPr>
        <w:adjustRightInd w:val="0"/>
        <w:spacing w:line="360" w:lineRule="auto"/>
        <w:textAlignment w:val="baseline"/>
        <w:rPr>
          <w:rFonts w:cs="宋体"/>
          <w:color w:val="auto"/>
          <w:sz w:val="21"/>
          <w:szCs w:val="21"/>
          <w:highlight w:val="none"/>
        </w:rPr>
      </w:pPr>
      <w:r>
        <w:rPr>
          <w:rFonts w:hint="eastAsia" w:cs="宋体"/>
          <w:color w:val="auto"/>
          <w:sz w:val="21"/>
          <w:szCs w:val="21"/>
          <w:highlight w:val="none"/>
        </w:rPr>
        <w:t>邮政编码：</w:t>
      </w:r>
      <w:r>
        <w:rPr>
          <w:rFonts w:hint="eastAsia" w:cs="宋体"/>
          <w:color w:val="auto"/>
          <w:sz w:val="21"/>
          <w:szCs w:val="21"/>
          <w:highlight w:val="none"/>
          <w:u w:val="single"/>
        </w:rPr>
        <w:t xml:space="preserve">       </w:t>
      </w:r>
      <w:r>
        <w:rPr>
          <w:rFonts w:hint="eastAsia" w:cs="宋体"/>
          <w:color w:val="auto"/>
          <w:sz w:val="21"/>
          <w:szCs w:val="21"/>
          <w:highlight w:val="none"/>
        </w:rPr>
        <w:t xml:space="preserve">            邮政编码：</w:t>
      </w:r>
      <w:r>
        <w:rPr>
          <w:rFonts w:hint="eastAsia" w:cs="宋体"/>
          <w:color w:val="auto"/>
          <w:sz w:val="21"/>
          <w:szCs w:val="21"/>
          <w:highlight w:val="none"/>
          <w:u w:val="single"/>
        </w:rPr>
        <w:t xml:space="preserve">    </w:t>
      </w:r>
    </w:p>
    <w:p>
      <w:pPr>
        <w:adjustRightInd w:val="0"/>
        <w:spacing w:line="360" w:lineRule="auto"/>
        <w:textAlignment w:val="baseline"/>
        <w:rPr>
          <w:rFonts w:cs="宋体"/>
          <w:color w:val="auto"/>
          <w:sz w:val="21"/>
          <w:szCs w:val="21"/>
          <w:highlight w:val="none"/>
        </w:rPr>
      </w:pPr>
      <w:r>
        <w:rPr>
          <w:rFonts w:hint="eastAsia" w:cs="宋体"/>
          <w:color w:val="auto"/>
          <w:sz w:val="21"/>
          <w:szCs w:val="21"/>
          <w:highlight w:val="none"/>
        </w:rPr>
        <w:t>法定代表人：</w:t>
      </w:r>
      <w:r>
        <w:rPr>
          <w:rFonts w:hint="eastAsia" w:cs="宋体"/>
          <w:color w:val="auto"/>
          <w:sz w:val="21"/>
          <w:szCs w:val="21"/>
          <w:highlight w:val="none"/>
          <w:u w:val="single"/>
        </w:rPr>
        <w:t xml:space="preserve">             </w:t>
      </w:r>
      <w:r>
        <w:rPr>
          <w:rFonts w:hint="eastAsia" w:cs="宋体"/>
          <w:color w:val="auto"/>
          <w:sz w:val="21"/>
          <w:szCs w:val="21"/>
          <w:highlight w:val="none"/>
        </w:rPr>
        <w:t xml:space="preserve">            法定代表人：</w:t>
      </w:r>
      <w:r>
        <w:rPr>
          <w:rFonts w:hint="eastAsia" w:cs="宋体"/>
          <w:color w:val="auto"/>
          <w:sz w:val="21"/>
          <w:szCs w:val="21"/>
          <w:highlight w:val="none"/>
          <w:u w:val="single"/>
        </w:rPr>
        <w:t xml:space="preserve">              </w:t>
      </w:r>
    </w:p>
    <w:p>
      <w:pPr>
        <w:adjustRightInd w:val="0"/>
        <w:spacing w:line="360" w:lineRule="auto"/>
        <w:textAlignment w:val="baseline"/>
        <w:rPr>
          <w:rFonts w:cs="宋体"/>
          <w:color w:val="auto"/>
          <w:sz w:val="21"/>
          <w:szCs w:val="21"/>
          <w:highlight w:val="none"/>
        </w:rPr>
      </w:pPr>
      <w:r>
        <w:rPr>
          <w:rFonts w:hint="eastAsia" w:cs="宋体"/>
          <w:color w:val="auto"/>
          <w:sz w:val="21"/>
          <w:szCs w:val="21"/>
          <w:highlight w:val="none"/>
        </w:rPr>
        <w:t>委托代理人：</w:t>
      </w:r>
      <w:r>
        <w:rPr>
          <w:rFonts w:hint="eastAsia" w:cs="宋体"/>
          <w:color w:val="auto"/>
          <w:sz w:val="21"/>
          <w:szCs w:val="21"/>
          <w:highlight w:val="none"/>
          <w:u w:val="single"/>
        </w:rPr>
        <w:t xml:space="preserve">             </w:t>
      </w:r>
      <w:r>
        <w:rPr>
          <w:rFonts w:hint="eastAsia" w:cs="宋体"/>
          <w:color w:val="auto"/>
          <w:sz w:val="21"/>
          <w:szCs w:val="21"/>
          <w:highlight w:val="none"/>
        </w:rPr>
        <w:t xml:space="preserve">            委托代理人：</w:t>
      </w:r>
      <w:r>
        <w:rPr>
          <w:rFonts w:hint="eastAsia" w:cs="宋体"/>
          <w:color w:val="auto"/>
          <w:sz w:val="21"/>
          <w:szCs w:val="21"/>
          <w:highlight w:val="none"/>
          <w:u w:val="single"/>
        </w:rPr>
        <w:t xml:space="preserve">              </w:t>
      </w:r>
    </w:p>
    <w:p>
      <w:pPr>
        <w:adjustRightInd w:val="0"/>
        <w:spacing w:line="360" w:lineRule="auto"/>
        <w:textAlignment w:val="baseline"/>
        <w:rPr>
          <w:rFonts w:cs="宋体"/>
          <w:color w:val="auto"/>
          <w:sz w:val="21"/>
          <w:szCs w:val="21"/>
          <w:highlight w:val="none"/>
        </w:rPr>
      </w:pPr>
      <w:r>
        <w:rPr>
          <w:rFonts w:hint="eastAsia" w:cs="宋体"/>
          <w:color w:val="auto"/>
          <w:sz w:val="21"/>
          <w:szCs w:val="21"/>
          <w:highlight w:val="none"/>
        </w:rPr>
        <w:t>电  话：</w:t>
      </w:r>
      <w:r>
        <w:rPr>
          <w:rFonts w:hint="eastAsia" w:cs="宋体"/>
          <w:color w:val="auto"/>
          <w:sz w:val="21"/>
          <w:szCs w:val="21"/>
          <w:highlight w:val="none"/>
          <w:u w:val="single"/>
        </w:rPr>
        <w:t xml:space="preserve">     </w:t>
      </w:r>
      <w:r>
        <w:rPr>
          <w:rFonts w:hint="eastAsia" w:cs="宋体"/>
          <w:color w:val="auto"/>
          <w:sz w:val="21"/>
          <w:szCs w:val="21"/>
          <w:highlight w:val="none"/>
        </w:rPr>
        <w:t xml:space="preserve">            电  话：</w:t>
      </w:r>
      <w:r>
        <w:rPr>
          <w:rFonts w:hint="eastAsia" w:cs="宋体"/>
          <w:color w:val="auto"/>
          <w:sz w:val="21"/>
          <w:szCs w:val="21"/>
          <w:highlight w:val="none"/>
          <w:u w:val="single"/>
        </w:rPr>
        <w:t xml:space="preserve">      </w:t>
      </w:r>
    </w:p>
    <w:p>
      <w:pPr>
        <w:adjustRightInd w:val="0"/>
        <w:spacing w:line="360" w:lineRule="auto"/>
        <w:textAlignment w:val="baseline"/>
        <w:rPr>
          <w:rFonts w:cs="宋体"/>
          <w:color w:val="auto"/>
          <w:sz w:val="21"/>
          <w:szCs w:val="21"/>
          <w:highlight w:val="none"/>
        </w:rPr>
      </w:pPr>
      <w:r>
        <w:rPr>
          <w:rFonts w:hint="eastAsia" w:cs="宋体"/>
          <w:color w:val="auto"/>
          <w:sz w:val="21"/>
          <w:szCs w:val="21"/>
          <w:highlight w:val="none"/>
        </w:rPr>
        <w:t>传  真：</w:t>
      </w:r>
      <w:r>
        <w:rPr>
          <w:rFonts w:hint="eastAsia" w:cs="宋体"/>
          <w:color w:val="auto"/>
          <w:sz w:val="21"/>
          <w:szCs w:val="21"/>
          <w:highlight w:val="none"/>
          <w:u w:val="single"/>
        </w:rPr>
        <w:t xml:space="preserve">     </w:t>
      </w:r>
      <w:r>
        <w:rPr>
          <w:rFonts w:hint="eastAsia" w:cs="宋体"/>
          <w:color w:val="auto"/>
          <w:sz w:val="21"/>
          <w:szCs w:val="21"/>
          <w:highlight w:val="none"/>
        </w:rPr>
        <w:t xml:space="preserve">            传  真：</w:t>
      </w:r>
      <w:r>
        <w:rPr>
          <w:rFonts w:hint="eastAsia" w:cs="宋体"/>
          <w:color w:val="auto"/>
          <w:sz w:val="21"/>
          <w:szCs w:val="21"/>
          <w:highlight w:val="none"/>
          <w:u w:val="single"/>
        </w:rPr>
        <w:t xml:space="preserve">      </w:t>
      </w:r>
    </w:p>
    <w:p>
      <w:pPr>
        <w:adjustRightInd w:val="0"/>
        <w:spacing w:line="360" w:lineRule="auto"/>
        <w:textAlignment w:val="baseline"/>
        <w:rPr>
          <w:rFonts w:cs="宋体"/>
          <w:color w:val="auto"/>
          <w:sz w:val="21"/>
          <w:szCs w:val="21"/>
          <w:highlight w:val="none"/>
        </w:rPr>
      </w:pPr>
      <w:r>
        <w:rPr>
          <w:rFonts w:hint="eastAsia" w:cs="宋体"/>
          <w:color w:val="auto"/>
          <w:sz w:val="21"/>
          <w:szCs w:val="21"/>
          <w:highlight w:val="none"/>
        </w:rPr>
        <w:t>电子信箱：</w:t>
      </w:r>
      <w:r>
        <w:rPr>
          <w:rFonts w:hint="eastAsia" w:cs="宋体"/>
          <w:color w:val="auto"/>
          <w:sz w:val="21"/>
          <w:szCs w:val="21"/>
          <w:highlight w:val="none"/>
          <w:u w:val="single"/>
        </w:rPr>
        <w:t xml:space="preserve">                   </w:t>
      </w:r>
      <w:r>
        <w:rPr>
          <w:rFonts w:hint="eastAsia" w:cs="宋体"/>
          <w:color w:val="auto"/>
          <w:sz w:val="21"/>
          <w:szCs w:val="21"/>
          <w:highlight w:val="none"/>
        </w:rPr>
        <w:t xml:space="preserve">            电子信箱：</w:t>
      </w:r>
      <w:r>
        <w:rPr>
          <w:rFonts w:hint="eastAsia" w:cs="宋体"/>
          <w:color w:val="auto"/>
          <w:sz w:val="21"/>
          <w:szCs w:val="21"/>
          <w:highlight w:val="none"/>
          <w:u w:val="single"/>
        </w:rPr>
        <w:t xml:space="preserve">    </w:t>
      </w:r>
    </w:p>
    <w:p>
      <w:pPr>
        <w:adjustRightInd w:val="0"/>
        <w:spacing w:line="360" w:lineRule="auto"/>
        <w:textAlignment w:val="baseline"/>
        <w:rPr>
          <w:rFonts w:cs="宋体"/>
          <w:color w:val="auto"/>
          <w:sz w:val="21"/>
          <w:szCs w:val="21"/>
          <w:highlight w:val="none"/>
        </w:rPr>
      </w:pPr>
      <w:r>
        <w:rPr>
          <w:rFonts w:hint="eastAsia" w:cs="宋体"/>
          <w:color w:val="auto"/>
          <w:sz w:val="21"/>
          <w:szCs w:val="21"/>
          <w:highlight w:val="none"/>
        </w:rPr>
        <w:t>开户银行：</w:t>
      </w:r>
      <w:r>
        <w:rPr>
          <w:rFonts w:hint="eastAsia" w:cs="宋体"/>
          <w:color w:val="auto"/>
          <w:sz w:val="21"/>
          <w:szCs w:val="21"/>
          <w:highlight w:val="none"/>
          <w:u w:val="single"/>
        </w:rPr>
        <w:t xml:space="preserve">     </w:t>
      </w:r>
      <w:r>
        <w:rPr>
          <w:rFonts w:hint="eastAsia" w:cs="宋体"/>
          <w:color w:val="auto"/>
          <w:sz w:val="21"/>
          <w:szCs w:val="21"/>
          <w:highlight w:val="none"/>
        </w:rPr>
        <w:t xml:space="preserve">            开户银行：</w:t>
      </w:r>
      <w:r>
        <w:rPr>
          <w:rFonts w:hint="eastAsia" w:cs="宋体"/>
          <w:color w:val="auto"/>
          <w:sz w:val="21"/>
          <w:szCs w:val="21"/>
          <w:highlight w:val="none"/>
          <w:u w:val="single"/>
        </w:rPr>
        <w:t xml:space="preserve">    </w:t>
      </w:r>
    </w:p>
    <w:p>
      <w:pPr>
        <w:adjustRightInd w:val="0"/>
        <w:spacing w:line="360" w:lineRule="auto"/>
        <w:textAlignment w:val="baseline"/>
        <w:rPr>
          <w:rFonts w:cs="宋体"/>
          <w:color w:val="auto"/>
          <w:sz w:val="21"/>
          <w:szCs w:val="21"/>
          <w:highlight w:val="none"/>
        </w:rPr>
      </w:pPr>
      <w:r>
        <w:rPr>
          <w:rFonts w:hint="eastAsia" w:cs="宋体"/>
          <w:color w:val="auto"/>
          <w:sz w:val="21"/>
          <w:szCs w:val="21"/>
          <w:highlight w:val="none"/>
        </w:rPr>
        <w:t>账  号：</w:t>
      </w:r>
      <w:r>
        <w:rPr>
          <w:rFonts w:hint="eastAsia" w:cs="宋体"/>
          <w:color w:val="auto"/>
          <w:sz w:val="21"/>
          <w:szCs w:val="21"/>
          <w:highlight w:val="none"/>
          <w:u w:val="single"/>
        </w:rPr>
        <w:t>                 </w:t>
      </w:r>
      <w:r>
        <w:rPr>
          <w:rFonts w:hint="eastAsia" w:cs="宋体"/>
          <w:color w:val="auto"/>
          <w:sz w:val="21"/>
          <w:szCs w:val="21"/>
          <w:highlight w:val="none"/>
        </w:rPr>
        <w:t xml:space="preserve">            账  号：</w:t>
      </w:r>
      <w:r>
        <w:rPr>
          <w:rFonts w:hint="eastAsia" w:cs="宋体"/>
          <w:color w:val="auto"/>
          <w:sz w:val="21"/>
          <w:szCs w:val="21"/>
          <w:highlight w:val="none"/>
          <w:u w:val="single"/>
        </w:rPr>
        <w:t>                 </w:t>
      </w:r>
    </w:p>
    <w:p>
      <w:pPr>
        <w:adjustRightInd w:val="0"/>
        <w:spacing w:line="300" w:lineRule="auto"/>
        <w:textAlignment w:val="baseline"/>
        <w:rPr>
          <w:rFonts w:cs="宋体"/>
          <w:color w:val="auto"/>
          <w:sz w:val="24"/>
          <w:szCs w:val="24"/>
          <w:highlight w:val="none"/>
        </w:rPr>
      </w:pPr>
      <w:r>
        <w:rPr>
          <w:rFonts w:hint="eastAsia" w:cs="宋体"/>
          <w:color w:val="auto"/>
          <w:sz w:val="24"/>
          <w:szCs w:val="24"/>
          <w:highlight w:val="none"/>
        </w:rPr>
        <w:t xml:space="preserve"> </w:t>
      </w:r>
    </w:p>
    <w:p>
      <w:pPr>
        <w:rPr>
          <w:rFonts w:cs="宋体"/>
          <w:color w:val="auto"/>
          <w:sz w:val="21"/>
          <w:szCs w:val="21"/>
          <w:highlight w:val="none"/>
        </w:rPr>
      </w:pPr>
      <w:r>
        <w:rPr>
          <w:rFonts w:hint="eastAsia" w:cs="宋体"/>
          <w:color w:val="auto"/>
          <w:sz w:val="21"/>
          <w:szCs w:val="21"/>
          <w:highlight w:val="none"/>
        </w:rPr>
        <w:t xml:space="preserve"> </w:t>
      </w:r>
    </w:p>
    <w:p>
      <w:pPr>
        <w:rPr>
          <w:rFonts w:cs="宋体"/>
          <w:color w:val="auto"/>
          <w:sz w:val="21"/>
          <w:szCs w:val="21"/>
          <w:highlight w:val="none"/>
        </w:rPr>
      </w:pPr>
      <w:r>
        <w:rPr>
          <w:rFonts w:hint="eastAsia" w:cs="宋体"/>
          <w:color w:val="auto"/>
          <w:sz w:val="21"/>
          <w:szCs w:val="21"/>
          <w:highlight w:val="none"/>
        </w:rPr>
        <w:t xml:space="preserve"> </w:t>
      </w:r>
    </w:p>
    <w:p>
      <w:pPr>
        <w:rPr>
          <w:rFonts w:cs="宋体"/>
          <w:color w:val="auto"/>
          <w:sz w:val="21"/>
          <w:szCs w:val="21"/>
          <w:highlight w:val="none"/>
        </w:rPr>
      </w:pPr>
      <w:r>
        <w:rPr>
          <w:rFonts w:hint="eastAsia" w:cs="宋体"/>
          <w:color w:val="auto"/>
          <w:sz w:val="21"/>
          <w:szCs w:val="21"/>
          <w:highlight w:val="none"/>
        </w:rPr>
        <w:t xml:space="preserve"> </w:t>
      </w:r>
    </w:p>
    <w:p>
      <w:pPr>
        <w:rPr>
          <w:rFonts w:cs="宋体"/>
          <w:color w:val="auto"/>
          <w:sz w:val="21"/>
          <w:szCs w:val="21"/>
          <w:highlight w:val="none"/>
        </w:rPr>
      </w:pPr>
      <w:r>
        <w:rPr>
          <w:rFonts w:hint="eastAsia" w:cs="宋体"/>
          <w:color w:val="auto"/>
          <w:sz w:val="21"/>
          <w:szCs w:val="21"/>
          <w:highlight w:val="none"/>
        </w:rPr>
        <w:t xml:space="preserve"> </w:t>
      </w:r>
    </w:p>
    <w:p>
      <w:pPr>
        <w:rPr>
          <w:rFonts w:cs="宋体"/>
          <w:color w:val="auto"/>
          <w:sz w:val="21"/>
          <w:szCs w:val="21"/>
          <w:highlight w:val="none"/>
        </w:rPr>
      </w:pPr>
      <w:r>
        <w:rPr>
          <w:rFonts w:hint="eastAsia" w:cs="宋体"/>
          <w:color w:val="auto"/>
          <w:sz w:val="21"/>
          <w:szCs w:val="21"/>
          <w:highlight w:val="none"/>
        </w:rPr>
        <w:t xml:space="preserve"> </w:t>
      </w:r>
    </w:p>
    <w:p>
      <w:pPr>
        <w:rPr>
          <w:rFonts w:cs="宋体"/>
          <w:color w:val="auto"/>
          <w:sz w:val="21"/>
          <w:szCs w:val="21"/>
          <w:highlight w:val="none"/>
        </w:rPr>
      </w:pPr>
      <w:r>
        <w:rPr>
          <w:rFonts w:hint="eastAsia" w:cs="宋体"/>
          <w:color w:val="auto"/>
          <w:sz w:val="21"/>
          <w:szCs w:val="21"/>
          <w:highlight w:val="none"/>
        </w:rPr>
        <w:t xml:space="preserve"> </w:t>
      </w:r>
    </w:p>
    <w:p>
      <w:pPr>
        <w:rPr>
          <w:rFonts w:cs="宋体"/>
          <w:color w:val="auto"/>
          <w:sz w:val="21"/>
          <w:szCs w:val="21"/>
          <w:highlight w:val="none"/>
        </w:rPr>
      </w:pPr>
      <w:r>
        <w:rPr>
          <w:rFonts w:ascii="Calibri" w:hAnsi="Calibri" w:cs="Calibri"/>
          <w:color w:val="auto"/>
          <w:sz w:val="21"/>
          <w:szCs w:val="21"/>
          <w:highlight w:val="none"/>
        </w:rPr>
        <w:br w:type="page"/>
      </w:r>
    </w:p>
    <w:p>
      <w:pPr>
        <w:pStyle w:val="4"/>
        <w:widowControl/>
        <w:spacing w:beforeLines="0" w:after="240"/>
        <w:jc w:val="center"/>
        <w:rPr>
          <w:rFonts w:hAnsi="宋体" w:cs="黑体"/>
          <w:color w:val="auto"/>
          <w:highlight w:val="none"/>
        </w:rPr>
      </w:pPr>
      <w:bookmarkStart w:id="882" w:name="_Toc830"/>
      <w:bookmarkStart w:id="883" w:name="_Toc5348"/>
      <w:bookmarkStart w:id="884" w:name="_Toc61877321"/>
      <w:bookmarkStart w:id="885" w:name="_Toc30179"/>
      <w:bookmarkStart w:id="886" w:name="_Toc32620"/>
      <w:bookmarkStart w:id="887" w:name="_Toc106703307"/>
      <w:bookmarkStart w:id="888" w:name="_Toc30665"/>
      <w:bookmarkStart w:id="889" w:name="_Toc20754"/>
      <w:r>
        <w:rPr>
          <w:rFonts w:hint="eastAsia" w:hAnsi="宋体" w:cs="黑体"/>
          <w:color w:val="auto"/>
          <w:highlight w:val="none"/>
        </w:rPr>
        <w:t>通用合同条款</w:t>
      </w:r>
      <w:bookmarkEnd w:id="882"/>
      <w:bookmarkEnd w:id="883"/>
      <w:bookmarkEnd w:id="884"/>
      <w:bookmarkEnd w:id="885"/>
      <w:bookmarkEnd w:id="886"/>
      <w:bookmarkEnd w:id="887"/>
      <w:bookmarkEnd w:id="888"/>
      <w:bookmarkEnd w:id="889"/>
    </w:p>
    <w:bookmarkEnd w:id="879"/>
    <w:bookmarkEnd w:id="880"/>
    <w:bookmarkEnd w:id="881"/>
    <w:p>
      <w:pPr>
        <w:keepNext/>
        <w:keepLines/>
        <w:numPr>
          <w:ilvl w:val="0"/>
          <w:numId w:val="2"/>
        </w:numPr>
        <w:tabs>
          <w:tab w:val="left" w:pos="425"/>
        </w:tabs>
        <w:adjustRightInd w:val="0"/>
        <w:spacing w:before="280" w:after="290" w:line="360" w:lineRule="auto"/>
        <w:ind w:left="425" w:hanging="425"/>
        <w:textAlignment w:val="baseline"/>
        <w:outlineLvl w:val="4"/>
        <w:rPr>
          <w:rFonts w:cs="宋体"/>
          <w:b/>
          <w:bCs/>
          <w:color w:val="auto"/>
          <w:sz w:val="21"/>
          <w:szCs w:val="21"/>
          <w:highlight w:val="none"/>
        </w:rPr>
      </w:pPr>
      <w:bookmarkStart w:id="890" w:name="_Toc433901050"/>
      <w:bookmarkStart w:id="891" w:name="_Toc63471445"/>
      <w:bookmarkStart w:id="892" w:name="_Toc296346528"/>
      <w:bookmarkStart w:id="893" w:name="_Toc351203495"/>
      <w:bookmarkStart w:id="894" w:name="_Toc296503027"/>
      <w:bookmarkStart w:id="895" w:name="_Toc439"/>
      <w:bookmarkStart w:id="896" w:name="_Toc31099"/>
      <w:bookmarkStart w:id="897" w:name="_Toc27571"/>
      <w:bookmarkStart w:id="898" w:name="_Toc52112979"/>
      <w:r>
        <w:rPr>
          <w:rFonts w:hint="eastAsia" w:cs="宋体"/>
          <w:b/>
          <w:bCs/>
          <w:color w:val="auto"/>
          <w:sz w:val="21"/>
          <w:szCs w:val="21"/>
          <w:highlight w:val="none"/>
        </w:rPr>
        <w:t>一般约定</w:t>
      </w:r>
      <w:bookmarkEnd w:id="890"/>
      <w:bookmarkEnd w:id="891"/>
      <w:bookmarkEnd w:id="892"/>
      <w:bookmarkEnd w:id="893"/>
      <w:bookmarkEnd w:id="894"/>
    </w:p>
    <w:p>
      <w:pPr>
        <w:autoSpaceDE w:val="0"/>
        <w:autoSpaceDN w:val="0"/>
        <w:adjustRightInd w:val="0"/>
        <w:spacing w:line="360" w:lineRule="auto"/>
        <w:ind w:firstLine="420" w:firstLineChars="200"/>
        <w:jc w:val="left"/>
        <w:textAlignment w:val="baseline"/>
        <w:rPr>
          <w:rFonts w:cs="宋体"/>
          <w:color w:val="auto"/>
          <w:sz w:val="21"/>
          <w:szCs w:val="21"/>
          <w:highlight w:val="none"/>
        </w:rPr>
      </w:pPr>
      <w:bookmarkStart w:id="899" w:name="_Toc296346529"/>
      <w:bookmarkStart w:id="900" w:name="_Toc337558728"/>
      <w:bookmarkStart w:id="901" w:name="_Toc296503028"/>
      <w:bookmarkStart w:id="902" w:name="_Toc351203496"/>
      <w:r>
        <w:rPr>
          <w:rFonts w:hint="eastAsia" w:cs="宋体"/>
          <w:color w:val="auto"/>
          <w:sz w:val="21"/>
          <w:szCs w:val="21"/>
          <w:highlight w:val="none"/>
        </w:rPr>
        <w:t>1.1 词语定义</w:t>
      </w:r>
      <w:bookmarkEnd w:id="899"/>
      <w:bookmarkEnd w:id="900"/>
      <w:bookmarkEnd w:id="901"/>
      <w:r>
        <w:rPr>
          <w:rFonts w:hint="eastAsia" w:cs="宋体"/>
          <w:color w:val="auto"/>
          <w:sz w:val="21"/>
          <w:szCs w:val="21"/>
          <w:highlight w:val="none"/>
        </w:rPr>
        <w:t>与解释</w:t>
      </w:r>
      <w:bookmarkEnd w:id="902"/>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合同协议书、通用合同条款、专用合同条款中的下列词语具有本款所赋予的含义：</w:t>
      </w:r>
    </w:p>
    <w:p>
      <w:pPr>
        <w:autoSpaceDE w:val="0"/>
        <w:autoSpaceDN w:val="0"/>
        <w:adjustRightInd w:val="0"/>
        <w:spacing w:line="360" w:lineRule="auto"/>
        <w:jc w:val="left"/>
        <w:textAlignment w:val="baseline"/>
        <w:rPr>
          <w:rFonts w:cs="宋体"/>
          <w:color w:val="auto"/>
          <w:sz w:val="21"/>
          <w:szCs w:val="21"/>
          <w:highlight w:val="none"/>
        </w:rPr>
      </w:pPr>
      <w:r>
        <w:rPr>
          <w:rFonts w:hint="eastAsia" w:cs="宋体"/>
          <w:color w:val="auto"/>
          <w:sz w:val="21"/>
          <w:szCs w:val="21"/>
          <w:highlight w:val="none"/>
        </w:rPr>
        <w:t xml:space="preserve">    1.1.1 合同</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1.1.1.1 合同：是指根据法律规定和合同当事人约定具有约束力的文件，构成合同的文件包括合同协议书、中标通知书（如果有）、投标函及其附录（如果有）、专用合同条款及其附件、通用合同条款、技术标准和要求、图纸、已标价工程量清单或预算书、</w:t>
      </w:r>
      <w:r>
        <w:rPr>
          <w:rFonts w:hint="eastAsia" w:cs="仿宋"/>
          <w:color w:val="auto"/>
          <w:sz w:val="21"/>
          <w:szCs w:val="21"/>
          <w:highlight w:val="none"/>
        </w:rPr>
        <w:t>招标控制价（</w:t>
      </w:r>
      <w:r>
        <w:rPr>
          <w:rFonts w:hint="eastAsia" w:cs="宋体"/>
          <w:color w:val="auto"/>
          <w:sz w:val="21"/>
          <w:szCs w:val="21"/>
          <w:highlight w:val="none"/>
        </w:rPr>
        <w:t>即最高投标报价限价</w:t>
      </w:r>
      <w:r>
        <w:rPr>
          <w:rFonts w:hint="eastAsia" w:cs="仿宋"/>
          <w:color w:val="auto"/>
          <w:sz w:val="21"/>
          <w:szCs w:val="21"/>
          <w:highlight w:val="none"/>
        </w:rPr>
        <w:t>，下同）</w:t>
      </w:r>
      <w:r>
        <w:rPr>
          <w:rFonts w:hint="eastAsia" w:cs="宋体"/>
          <w:color w:val="auto"/>
          <w:sz w:val="21"/>
          <w:szCs w:val="21"/>
          <w:highlight w:val="none"/>
        </w:rPr>
        <w:t>以及其他合同文件。</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1.1.1.2 合同协议书：是指构成合同的由发包人和承包人共同签署的称为“合同协议书”的书面文件。</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1.1.1.3 中标通知书：是指构成合同的由发包人通知承包人中标的书面文件。</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1.1.1.4 投标函：是指构成合同的由承包人填写并签署的用于投标的称为“投标函”的文件。</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1.1.1.5 投标函附录：是指构成合同的附在投标函后的称为“投标函附录”的文件。</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1.1.1.6 技术标准和要求：是指构成合同的施工应当遵守的或指导施工的国家、行业或地方的技术标准和要求，以及合同约定的技术标准和要求。</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1.1.1.7 图纸：是指构成合同的图纸，包括由发包人按照合同约定提供或经发包人批准的设计文件、施工图、鸟瞰图及模型等，以及在合同履行过程中形成的图纸文件。图纸应当按照法律规定审查合格。</w:t>
      </w:r>
    </w:p>
    <w:p>
      <w:pPr>
        <w:autoSpaceDE w:val="0"/>
        <w:autoSpaceDN w:val="0"/>
        <w:adjustRightInd w:val="0"/>
        <w:spacing w:line="360" w:lineRule="auto"/>
        <w:ind w:firstLine="409" w:firstLineChars="195"/>
        <w:jc w:val="left"/>
        <w:textAlignment w:val="baseline"/>
        <w:rPr>
          <w:rFonts w:cs="宋体"/>
          <w:color w:val="auto"/>
          <w:sz w:val="21"/>
          <w:szCs w:val="21"/>
          <w:highlight w:val="none"/>
        </w:rPr>
      </w:pPr>
      <w:r>
        <w:rPr>
          <w:rFonts w:hint="eastAsia" w:cs="宋体"/>
          <w:color w:val="auto"/>
          <w:sz w:val="21"/>
          <w:szCs w:val="21"/>
          <w:highlight w:val="none"/>
        </w:rPr>
        <w:t>1.1.1.8 已标价工程量清单：是指构成合同的由承包人按照规定的格式和要求填写并标明价格的工程量清单，包括说明和表格。</w:t>
      </w:r>
    </w:p>
    <w:p>
      <w:pPr>
        <w:autoSpaceDE w:val="0"/>
        <w:autoSpaceDN w:val="0"/>
        <w:adjustRightInd w:val="0"/>
        <w:spacing w:line="360" w:lineRule="auto"/>
        <w:ind w:firstLine="409" w:firstLineChars="195"/>
        <w:jc w:val="left"/>
        <w:textAlignment w:val="baseline"/>
        <w:rPr>
          <w:rFonts w:cs="宋体"/>
          <w:color w:val="auto"/>
          <w:sz w:val="21"/>
          <w:szCs w:val="21"/>
          <w:highlight w:val="none"/>
        </w:rPr>
      </w:pPr>
      <w:r>
        <w:rPr>
          <w:rFonts w:hint="eastAsia" w:cs="宋体"/>
          <w:color w:val="auto"/>
          <w:sz w:val="21"/>
          <w:szCs w:val="21"/>
          <w:highlight w:val="none"/>
        </w:rPr>
        <w:t>1.1.1.9 预算书：是指构成合同的由承包人按照发包人规定的格式和要求编制的工程预算文件。</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1.1.1.10 其他合同文件：是指经合同当事人约定的与工程施工有关的具有合同约束力的文件或书面协议。合同当事人可以在专用合同条款中进行约定。</w:t>
      </w:r>
    </w:p>
    <w:p>
      <w:pPr>
        <w:autoSpaceDE w:val="0"/>
        <w:autoSpaceDN w:val="0"/>
        <w:adjustRightInd w:val="0"/>
        <w:spacing w:line="360" w:lineRule="auto"/>
        <w:jc w:val="left"/>
        <w:textAlignment w:val="baseline"/>
        <w:rPr>
          <w:rFonts w:cs="宋体"/>
          <w:color w:val="auto"/>
          <w:sz w:val="21"/>
          <w:szCs w:val="21"/>
          <w:highlight w:val="none"/>
        </w:rPr>
      </w:pPr>
      <w:r>
        <w:rPr>
          <w:rFonts w:hint="eastAsia" w:cs="宋体"/>
          <w:color w:val="auto"/>
          <w:sz w:val="21"/>
          <w:szCs w:val="21"/>
          <w:highlight w:val="none"/>
        </w:rPr>
        <w:t xml:space="preserve">    1.1.2 合同当事人及其他相关方</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1.1.2.1 合同当事人：是指发包人和（或）承包人。</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1.1.2.2 发包人：是指与承包人签订合同协议书的当事人及取得该当事人资格的合法继承人。</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1.1.2.3 承包人：是指与发包人签订合同协议书的，具有相应工程施工承包资质的当事人及取得该当事人资格的合法继承人。</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1.1.2.4 监理人：是指在专用合同条款中指明的，受发包人委托按照法律规定进行工程监督管理的法人或其他组织。</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1.1.2.5 设计人：是指在专用合同条款中指明的，受发包人委托负责工程设计并具备相应工程设计资质的法人或其他组织。</w:t>
      </w:r>
    </w:p>
    <w:p>
      <w:pPr>
        <w:adjustRightInd w:val="0"/>
        <w:spacing w:line="360" w:lineRule="auto"/>
        <w:ind w:firstLine="409" w:firstLineChars="195"/>
        <w:jc w:val="left"/>
        <w:textAlignment w:val="baseline"/>
        <w:rPr>
          <w:rFonts w:cs="宋体"/>
          <w:color w:val="auto"/>
          <w:sz w:val="21"/>
          <w:szCs w:val="21"/>
          <w:highlight w:val="none"/>
        </w:rPr>
      </w:pPr>
      <w:r>
        <w:rPr>
          <w:rFonts w:hint="eastAsia" w:cs="宋体"/>
          <w:color w:val="auto"/>
          <w:sz w:val="21"/>
          <w:szCs w:val="21"/>
          <w:highlight w:val="none"/>
        </w:rPr>
        <w:t>1.1.2.6 分包人：</w:t>
      </w:r>
      <w:bookmarkStart w:id="903" w:name="#go5"/>
      <w:bookmarkEnd w:id="903"/>
      <w:r>
        <w:rPr>
          <w:rFonts w:hint="eastAsia" w:cs="宋体"/>
          <w:color w:val="auto"/>
          <w:sz w:val="21"/>
          <w:szCs w:val="21"/>
          <w:highlight w:val="none"/>
        </w:rPr>
        <w:t>是指按照法律规定和合同约定，分包部分工程或工作，并与承包人签订分包合同的具有相应资质的法人。</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1.1.2.7 发包人代表：是指由发包人任命并派驻施工现场在发包人授权范围内行使发包人权利的人。</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1.1.2.8 项目负责人：是指由承包人任命并派驻施工现场，在承包人授权范围内负责合同履行，且按照法律规定具有相应资格的项目负责人。</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1.1.2.9 总监理工程师：是指由监理人任命并派驻施工现场进行工程监理的总负责人。</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1.1.3 工程和设备</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1.1.3.1 工程：是指与合同协议书中工程承包范围对应的永久工程和（或）临时工程。</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1.1.3.2 永久工程：是指按合同约定建造并移交给发包人的工程，包括工程设备。</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1.1.3.3 临时工程：是指为完成合同约定的永久工程所修建的各类临时性工程，不包括施工设备。</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1.1.3.4 单位工程：是指在合同协议书中指明的，具备独立施工条件并能形成独立使用功能的永久工程。</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1.1.3.5 工程设备：是指构成永久工程的机电设备、金属结构设备、仪器及其他类似的设备和装置。</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1.1.3.6 施工设备：是指为完成合同约定的各项工作所需的设备、器具和其他物品，但不包括工程设备、临时工程和材料。</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1.1.3.7 施工现场：是指用于工程施工的场所，以及在专用合同条款中指明作为施工场所组成部分的其他场所，包括永久占地和临时占地。</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1.1.3.8临时设施：是指为完成合同约定的各项工作所服务的临时性生产和生活设施。</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1.1.3.9 永久占地：是指专用合同条款中指明为实施工程需永久占用的土地。</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1.1.3.10 临时占地：是指专用合同条款中指明为实施工程需要临时占用的土地。</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1.1.4 日期和期限</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1.1.4.1 开工日期：包括计划开工日期和实际开工日期。计划开工日期是指合同协议书约定的开工日期；实际开工日期是指监理人按照第7.3.2项〔开工通知〕约定发出的符合法律规定的开工通知中载明的开工日期。</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 xml:space="preserve">1.1.4.2 竣工日期：包括计划竣工日期和实际竣工日期。计划竣工日期是指合同协议书约定的竣工日期；实际竣工日期按照第13.2.3项〔竣工日期〕的约定确定。 </w:t>
      </w:r>
    </w:p>
    <w:p>
      <w:pPr>
        <w:adjustRightInd w:val="0"/>
        <w:spacing w:line="360" w:lineRule="auto"/>
        <w:ind w:firstLine="426" w:firstLineChars="203"/>
        <w:textAlignment w:val="baseline"/>
        <w:rPr>
          <w:rFonts w:cs="宋体"/>
          <w:color w:val="auto"/>
          <w:sz w:val="21"/>
          <w:szCs w:val="21"/>
          <w:highlight w:val="none"/>
        </w:rPr>
      </w:pPr>
      <w:r>
        <w:rPr>
          <w:rFonts w:hint="eastAsia" w:cs="宋体"/>
          <w:color w:val="auto"/>
          <w:sz w:val="21"/>
          <w:szCs w:val="21"/>
          <w:highlight w:val="none"/>
        </w:rPr>
        <w:t>1.1.4.3 工期：是指在合同协议书约定的承包人完成工程所需的期限，包括按照合同约定所作的期限变更。</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1.1.4.4 缺陷责任期：是指承包人按照合同约定承担缺陷修复义务，且发包人预留质量保证金（已缴纳履约保证金的除外）的期限，自工程实际竣工日期起计算。</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1.1.4.5 保修期：是指承包人按照合同约定对工程承担保修责任的期限，从工程竣工验收合格之日起计算。</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1.1.4.6 基准日期：招标发包的工程以投标截止日前28天的日期为基准日期，直接发包的工程以合同签订日前28天的日期为基准日期。</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1.1.4.7 天：除特别指明外，均指日历天。合同中按天计算时间的，开始当天不计入，从次日开始计算，期限最后一天的截止时间为当天24:00时。</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1.1.5 合同价格和费用</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1.1.5.1 签约合同价：是指发包人和承包人在合同协议书中确定的总金额，包括安全文明施工费、甲供材料费（即发包人供应材料设备费）、暂估价及暂列金额等。</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1.1.5.2 合同价格：是指发包人用于支付承包人按照合同约定完成承包范围内全部工作的金额，包括合同履行过程中按合同约定发生的价格变化。</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1.1.5.3 费用：是指为履行合同所发生的或将要发生的所有必需的开支，包括管理费和应分摊的其他费用，但不包括利润。</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1.1.5.4 暂估价：是指发包人在工程量清单或预算书中提供的用于支付必然发生但暂时不能确定价格的专业工程以及服务工作的金额。</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1.1.5.5 暂列金额：是指发包人在工程量清单或预算书中暂定并包括在合同价格中的一笔款项，用于工程合同签订时尚未确定或者不可预见的所需材料、工程设备、服务的采购，施工中可能发生的工程变更、合同约定调整因素出现时的合同价格调整以及发生的索赔、现场签证确认等的费用。</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1.1.5.6 质量保证金</w:t>
      </w:r>
      <w:bookmarkStart w:id="904" w:name="#go2"/>
      <w:bookmarkEnd w:id="904"/>
      <w:r>
        <w:rPr>
          <w:rFonts w:hint="eastAsia" w:cs="宋体"/>
          <w:color w:val="auto"/>
          <w:sz w:val="21"/>
          <w:szCs w:val="21"/>
          <w:highlight w:val="none"/>
        </w:rPr>
        <w:t>：是指按照第15.3款〔质量保证金〕约定承包人用于保证其在缺陷责任期内履行缺陷修补义务的担保。</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1.1.5.7 总价项目：是指在现行国家、行业以及地方的计量规则中无工程量计算规则，在已标价工程量清单或预算书中以总价形式计算的项目。</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1.1.5.8 工资保证金：是指承包人在银行设立账户并按照工程施工合同额的一定比例存储，专项用于支付为所承包工程提供劳动的建筑农民工（建筑工人）被拖欠工资的专项资金。工资保证金可以用银行类金融机构出具的银行保函或工程担保公司保函、工程保证保险替代。</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1.1.5.9 建筑工人实名制：是指对建筑企业所招用建筑工人的从业、培训、技能和权益保障等以真实身份信息认证方式进行综合管理的制度。</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1.1.6 其他</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1.1.6.1 书面形式：是指合同文件、信函、电报、传真等可以有形地表现所载内容的形式。</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bookmarkStart w:id="905" w:name="_Toc337558729"/>
      <w:bookmarkStart w:id="906" w:name="_Toc296346530"/>
      <w:bookmarkStart w:id="907" w:name="_Toc296503029"/>
      <w:bookmarkStart w:id="908" w:name="_Toc351203497"/>
      <w:r>
        <w:rPr>
          <w:rFonts w:hint="eastAsia" w:cs="宋体"/>
          <w:color w:val="auto"/>
          <w:sz w:val="21"/>
          <w:szCs w:val="21"/>
          <w:highlight w:val="none"/>
        </w:rPr>
        <w:t>1.2 语言文字</w:t>
      </w:r>
      <w:bookmarkEnd w:id="905"/>
      <w:bookmarkEnd w:id="906"/>
      <w:bookmarkEnd w:id="907"/>
      <w:bookmarkEnd w:id="908"/>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合同以中国的汉语简体文字编写、解释和说明。合同当事人在专用合同条款中约定使用两种以上语言时，汉语为优先解释和说明合同的语言。</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bookmarkStart w:id="909" w:name="_Toc296503030"/>
      <w:bookmarkStart w:id="910" w:name="_Toc351203498"/>
      <w:bookmarkStart w:id="911" w:name="_Toc296346531"/>
      <w:bookmarkStart w:id="912" w:name="_Toc337558730"/>
      <w:r>
        <w:rPr>
          <w:rFonts w:hint="eastAsia" w:cs="宋体"/>
          <w:color w:val="auto"/>
          <w:sz w:val="21"/>
          <w:szCs w:val="21"/>
          <w:highlight w:val="none"/>
        </w:rPr>
        <w:t>1.3 法律</w:t>
      </w:r>
      <w:bookmarkEnd w:id="909"/>
      <w:bookmarkEnd w:id="910"/>
      <w:bookmarkEnd w:id="911"/>
      <w:bookmarkEnd w:id="912"/>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合同所称法律是指中华人民共和国法律、行政法规、部门规章，以及工程所在地的地方性法规、自治条例、单行条例和地方政府规章等。</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合同当事人可以在专用合同条款中约定合同适用的其他规范性文件。</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bookmarkStart w:id="913" w:name="_Toc351203499"/>
      <w:r>
        <w:rPr>
          <w:rFonts w:hint="eastAsia" w:cs="宋体"/>
          <w:color w:val="auto"/>
          <w:sz w:val="21"/>
          <w:szCs w:val="21"/>
          <w:highlight w:val="none"/>
        </w:rPr>
        <w:t>1.4  标准和规范</w:t>
      </w:r>
      <w:bookmarkEnd w:id="913"/>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1.4.1 适用于工程的国家标准、行业标准、工程所在地的地方性标准，以及相应的规范、规程等，合同当事人有特别要求的，应在专用合同条款中约定。</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1.4.2 发包人要求使用国外标准、规范的，发包人负责提供原文版本和中文译本，并在专用合同条款中约定提供标准规范的名称、份数和时间。</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1.4.3 发包人对工程的技术标准、功能要求高于或严于现行国家、行业或地方标准的，应当在专用合同条款中予以明确。除专用合同条款另有约定外，应视为承包人在签订合同前已充分预见前述技术标准和功能要求的复杂程度，签约合同价中已包含由此产生的费用。</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bookmarkStart w:id="914" w:name="_Toc351203500"/>
      <w:r>
        <w:rPr>
          <w:rFonts w:hint="eastAsia" w:cs="宋体"/>
          <w:color w:val="auto"/>
          <w:sz w:val="21"/>
          <w:szCs w:val="21"/>
          <w:highlight w:val="none"/>
        </w:rPr>
        <w:t>1</w:t>
      </w:r>
      <w:bookmarkStart w:id="915" w:name="_Toc296346532"/>
      <w:bookmarkStart w:id="916" w:name="_Toc337558731"/>
      <w:bookmarkStart w:id="917" w:name="_Toc296503031"/>
      <w:r>
        <w:rPr>
          <w:rFonts w:hint="eastAsia" w:cs="宋体"/>
          <w:color w:val="auto"/>
          <w:sz w:val="21"/>
          <w:szCs w:val="21"/>
          <w:highlight w:val="none"/>
        </w:rPr>
        <w:t>.5 合同文件的优先顺序</w:t>
      </w:r>
      <w:bookmarkEnd w:id="914"/>
    </w:p>
    <w:bookmarkEnd w:id="915"/>
    <w:bookmarkEnd w:id="916"/>
    <w:bookmarkEnd w:id="917"/>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组成合同的各项文件应互相解释，互为说明。除专用合同条款另有约定外，解释合同文件的优先顺序如下：</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（1）合同协议书；</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（2）中标通知书（如果有）；</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（3）投标函及其附录（如果有）；</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（4）专用合同条款及其附件；</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（5）通用合同条款；</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（6）技术标准和要求；</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（7）图纸；</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（8）已标价工程量清单或预算书；</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（9）招标控制价；</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（10）其他合同文件。</w:t>
      </w:r>
    </w:p>
    <w:p>
      <w:pPr>
        <w:adjustRightInd w:val="0"/>
        <w:spacing w:line="360" w:lineRule="auto"/>
        <w:ind w:firstLine="447" w:firstLineChars="213"/>
        <w:textAlignment w:val="baseline"/>
        <w:rPr>
          <w:rFonts w:cs="宋体"/>
          <w:color w:val="auto"/>
          <w:sz w:val="21"/>
          <w:szCs w:val="21"/>
          <w:highlight w:val="none"/>
        </w:rPr>
      </w:pPr>
      <w:r>
        <w:rPr>
          <w:rFonts w:hint="eastAsia" w:cs="宋体"/>
          <w:color w:val="auto"/>
          <w:sz w:val="21"/>
          <w:szCs w:val="21"/>
          <w:highlight w:val="none"/>
        </w:rPr>
        <w:t>上述各项合同文件包括合同当事人就该项合同文件所作出的补充和修改，属于同一类内容的文件，应以最新签署的为准。</w:t>
      </w:r>
    </w:p>
    <w:p>
      <w:pPr>
        <w:adjustRightInd w:val="0"/>
        <w:spacing w:line="360" w:lineRule="auto"/>
        <w:ind w:firstLine="447" w:firstLineChars="213"/>
        <w:textAlignment w:val="baseline"/>
        <w:rPr>
          <w:rFonts w:cs="宋体"/>
          <w:color w:val="auto"/>
          <w:sz w:val="21"/>
          <w:szCs w:val="21"/>
          <w:highlight w:val="none"/>
        </w:rPr>
      </w:pPr>
      <w:r>
        <w:rPr>
          <w:rFonts w:hint="eastAsia" w:cs="宋体"/>
          <w:color w:val="auto"/>
          <w:sz w:val="21"/>
          <w:szCs w:val="21"/>
          <w:highlight w:val="none"/>
        </w:rPr>
        <w:t>在合同订立及履行过程中形成的与合同有关的文件均构成合同文件组成部分，并根据其性质确定优先解释顺序。</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bookmarkStart w:id="918" w:name="_Toc351203501"/>
      <w:r>
        <w:rPr>
          <w:rFonts w:hint="eastAsia" w:cs="宋体"/>
          <w:color w:val="auto"/>
          <w:sz w:val="21"/>
          <w:szCs w:val="21"/>
          <w:highlight w:val="none"/>
        </w:rPr>
        <w:t>1</w:t>
      </w:r>
      <w:bookmarkStart w:id="919" w:name="_Toc337558732"/>
      <w:bookmarkStart w:id="920" w:name="_Toc296346533"/>
      <w:bookmarkStart w:id="921" w:name="_Toc296503032"/>
      <w:r>
        <w:rPr>
          <w:rFonts w:hint="eastAsia" w:cs="宋体"/>
          <w:color w:val="auto"/>
          <w:sz w:val="21"/>
          <w:szCs w:val="21"/>
          <w:highlight w:val="none"/>
        </w:rPr>
        <w:t>.6 图纸和承包人文件</w:t>
      </w:r>
      <w:bookmarkEnd w:id="918"/>
    </w:p>
    <w:bookmarkEnd w:id="919"/>
    <w:bookmarkEnd w:id="920"/>
    <w:bookmarkEnd w:id="921"/>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1.6.1 图纸的提供和交底</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发包人应按照专用合同条款约定的期限、数量和内容向承包人免费提供图纸，并组织承包人、监理人和设计人进行图纸会审和设计交底。发包人至迟不得晚于第7.3.2项〔开工通知〕载明的开工日期前14天向承包人提供图纸。</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因发包人未按合同约定提供图纸导致承包人费用增加和（或）工期延误的，按照第7.5.1项〔因发包人原因导致工期延误〕约定办理。</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1.6.2 图纸的错误</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在收到发包人提供的图纸后，发现图纸存在差错、遗漏或缺陷的，应及时通知监理人。监理人接到该通知后，应附具相关意见并立即报送发包人，发包人应在收到监理人报送的通知后的合理时间内作出决定。合理时间是指发包人在收到监理人的报送通知后，尽其努力且不懈怠地完成图纸修改补充所需的时间。</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1.6.3 图纸的修改和补充</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图纸需要修改和补充的，应经图纸原设计人及审批部门同意，并由监理人在工程或工程相应部位施工前将修改后的图纸或补充图纸提交给承包人，承包人应按修改或补充后的图纸施工。</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1.6.4 承包人文件</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承包人应按照专用合同条款的约定提供应当由其编制的与工程施工有关的文件，并按照专用合同条款约定的期限、数量和形式提交监理人，并由监理人报送发包人。</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除专用合同条款另有约定外，监理人应在收到承包人文件后7天内审查完毕，监理人对承包人文件有异议的，承包人应予以修改，并重新报送监理人。监理人的审查并不减轻或免除承包人根据合同约定应当承担的责任。</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1.6.5 图纸和承包人文件的保管</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除专用合同条款另有约定外，承包人应在施工现场另外保存一套完整的图纸和承包人文件，供发包人、监理人及有关人员进行工程检查时使用。</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bookmarkStart w:id="922" w:name="_Toc351203502"/>
      <w:r>
        <w:rPr>
          <w:rFonts w:hint="eastAsia" w:cs="宋体"/>
          <w:color w:val="auto"/>
          <w:sz w:val="21"/>
          <w:szCs w:val="21"/>
          <w:highlight w:val="none"/>
        </w:rPr>
        <w:t>1</w:t>
      </w:r>
      <w:bookmarkStart w:id="923" w:name="_Toc296503033"/>
      <w:bookmarkStart w:id="924" w:name="_Toc337558733"/>
      <w:bookmarkStart w:id="925" w:name="_Toc296346534"/>
      <w:r>
        <w:rPr>
          <w:rFonts w:hint="eastAsia" w:cs="宋体"/>
          <w:color w:val="auto"/>
          <w:sz w:val="21"/>
          <w:szCs w:val="21"/>
          <w:highlight w:val="none"/>
        </w:rPr>
        <w:t>.7 联络</w:t>
      </w:r>
      <w:bookmarkEnd w:id="922"/>
    </w:p>
    <w:bookmarkEnd w:id="923"/>
    <w:bookmarkEnd w:id="924"/>
    <w:bookmarkEnd w:id="925"/>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1.7.1 与合同有关的通知、批准、证明、证书、指示、指令、要求、请求、同意、意见、确定和决定等，均应采用书面形式，并应在合同约定的期限内送达接收人和送达地点。</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1.7.2 发包人和承包人应在专用合同条款中约定各自的送达接收人和送达地点。任何一方合同当事人指定的接收人或送达地点发生变动的，应提前3天以书面形式通知对方。</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1.7.3 发包人和承包人应当及时签收另一方送达至送达地点和指定接收人的来往信函。拒不签收的，由此增加的费用和（或）延误的工期由拒绝接收一方承担。</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bookmarkStart w:id="926" w:name="_Toc351203503"/>
      <w:r>
        <w:rPr>
          <w:rFonts w:hint="eastAsia" w:cs="宋体"/>
          <w:color w:val="auto"/>
          <w:sz w:val="21"/>
          <w:szCs w:val="21"/>
          <w:highlight w:val="none"/>
        </w:rPr>
        <w:t>1</w:t>
      </w:r>
      <w:bookmarkStart w:id="927" w:name="_Toc296503035"/>
      <w:bookmarkStart w:id="928" w:name="_Toc337558734"/>
      <w:bookmarkStart w:id="929" w:name="_Toc296346536"/>
      <w:r>
        <w:rPr>
          <w:rFonts w:hint="eastAsia" w:cs="宋体"/>
          <w:color w:val="auto"/>
          <w:sz w:val="21"/>
          <w:szCs w:val="21"/>
          <w:highlight w:val="none"/>
        </w:rPr>
        <w:t>.8 严禁贿赂</w:t>
      </w:r>
      <w:bookmarkEnd w:id="926"/>
    </w:p>
    <w:bookmarkEnd w:id="927"/>
    <w:bookmarkEnd w:id="928"/>
    <w:bookmarkEnd w:id="929"/>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合同当事人不得以贿赂或变相贿赂的方式，谋取非法利益或损害对方权益。因一方合同当事人的贿赂造成对方损失的，应赔偿损失，并承担相应的法律责任。</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承包人不得与监理人或发包人聘请的第三方串通损害发包人利益。未经发包人书面同意，承包人不得为监理人提供合同约定以外的通讯设备、交通工具及其他任何形式的利益，不得向监理人支付报酬。</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bookmarkStart w:id="930" w:name="_Toc351203504"/>
      <w:r>
        <w:rPr>
          <w:rFonts w:hint="eastAsia" w:cs="宋体"/>
          <w:color w:val="auto"/>
          <w:sz w:val="21"/>
          <w:szCs w:val="21"/>
          <w:highlight w:val="none"/>
        </w:rPr>
        <w:t>1</w:t>
      </w:r>
      <w:bookmarkStart w:id="931" w:name="_Toc296346537"/>
      <w:bookmarkStart w:id="932" w:name="_Toc337558735"/>
      <w:bookmarkStart w:id="933" w:name="_Toc296503036"/>
      <w:r>
        <w:rPr>
          <w:rFonts w:hint="eastAsia" w:cs="宋体"/>
          <w:color w:val="auto"/>
          <w:sz w:val="21"/>
          <w:szCs w:val="21"/>
          <w:highlight w:val="none"/>
        </w:rPr>
        <w:t>.9 化石、文物</w:t>
      </w:r>
      <w:bookmarkEnd w:id="930"/>
    </w:p>
    <w:bookmarkEnd w:id="931"/>
    <w:bookmarkEnd w:id="932"/>
    <w:bookmarkEnd w:id="933"/>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在施工现场发掘的所有文物、古迹以及具有地质研究或考古价值的其他遗迹、化石、钱币或物品属于国家所有。一旦发现上述文物，承包人应采取合理有效的保护措施，防止任何人员移动或损坏上述物品，并立即报告有关政府行政管理部门，同时通知监理人。</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发包人、监理人和承包人应按有关政府行政管理部门要求采取妥善的保护措施，由此增加的费用和（或）延误的工期由发包人承担。</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承包人发现文物后不及时报告或隐瞒不报，致使文物丢失或损坏的，应赔偿损失，并承担相应的法律责任。</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bookmarkStart w:id="934" w:name="_Toc351203505"/>
      <w:r>
        <w:rPr>
          <w:rFonts w:hint="eastAsia" w:cs="宋体"/>
          <w:color w:val="auto"/>
          <w:sz w:val="21"/>
          <w:szCs w:val="21"/>
          <w:highlight w:val="none"/>
        </w:rPr>
        <w:t>1</w:t>
      </w:r>
      <w:bookmarkStart w:id="935" w:name="_Toc337558736"/>
      <w:r>
        <w:rPr>
          <w:rFonts w:hint="eastAsia" w:cs="宋体"/>
          <w:color w:val="auto"/>
          <w:sz w:val="21"/>
          <w:szCs w:val="21"/>
          <w:highlight w:val="none"/>
        </w:rPr>
        <w:t>.10 交通运输</w:t>
      </w:r>
      <w:bookmarkEnd w:id="934"/>
    </w:p>
    <w:bookmarkEnd w:id="935"/>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1.10.1 出入现场的权利</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除专用合同条款另有约定外，发包人应根据施工需要，负责取得出入施工现场所需的批准手续和全部权利，以及取得因施工所需修建道路、桥梁以及其他基础设施的权利，并承担相关手续费用和建设费用。承包人应协助发包人办理修建场内外道路、桥梁以及其他基础设施的手续。</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承包人应在订立合同前查勘施工现场，并根据工程规模及技术参数合理预见工程施工所需的进出施工现场的方式、手段、路径等。因承包人未合理预见所增加的费用和（或）延误的工期由承包人承担。</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1.10.2 场外交通</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发包人应提供场外交通设施的技术参数和具体条件，承包人应遵守有关交通法规，严格按照道路和桥梁的限制荷载行驶，执行有关道路限速、限行、禁止超载的规定，并配合交通管理部门的监督和检查。场外交通设施无法满足工程施工需要的，由发包人负责完善并承担相关费用。</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1.10.3场内交通</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发包人应提供场内交通设施的技术参数和具体条件，并应按照专用合同条款的约定向承包人免费提供满足工程施工所需的场内道路和交通设施。因承包人原因造成上述道路或交通设施损坏的，承包人负责修复并承担由此增加的费用。</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除发包人按照合同约定提供的场内道路和交通设施外，承包人负责修建、维修、养护和管理施工所需的其他场内临时道路和交通设施。发包人和监理人可以为实现合同目的使用承包人修建的场内临时道路和交通设施。</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场外交通和场内交通的边界由合同当事人在专用合同条款中约定。</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1.10.4 超大件和超重件的运输</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由承包人负责运输的超大件或超重件，应由承包人负责向交通管理部门办理申请手续，发包人给予协助。运输超大件或超重件所需的道路和桥梁临时加固改造费用和其他有关费用，由承包人承担，但专用合同条款另有约定除外。</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1.10.5 道路和桥梁的损坏责任</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因承包人运输造成施工场地内外公共道路和桥梁损坏的，由承包人承担修复损坏的全部费用和可能引起的赔偿。</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1.10.6 水路和航空运输</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本款前述各项的内容适用于水路运输和航空运输，其中“道路”一词的涵义包括河道、航线、船闸、机场、码头、堤防以及水路或航空运输中其他相似结构物；“车辆”一词的涵义包括船舶和飞机等。</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bookmarkStart w:id="936" w:name="_Toc351203506"/>
      <w:r>
        <w:rPr>
          <w:rFonts w:hint="eastAsia" w:cs="宋体"/>
          <w:color w:val="auto"/>
          <w:sz w:val="21"/>
          <w:szCs w:val="21"/>
          <w:highlight w:val="none"/>
        </w:rPr>
        <w:t>1</w:t>
      </w:r>
      <w:bookmarkStart w:id="937" w:name="_Toc337558737"/>
      <w:bookmarkStart w:id="938" w:name="_Toc296346538"/>
      <w:bookmarkStart w:id="939" w:name="_Toc296503037"/>
      <w:r>
        <w:rPr>
          <w:rFonts w:hint="eastAsia" w:cs="宋体"/>
          <w:color w:val="auto"/>
          <w:sz w:val="21"/>
          <w:szCs w:val="21"/>
          <w:highlight w:val="none"/>
        </w:rPr>
        <w:t>.11 知识产权</w:t>
      </w:r>
      <w:bookmarkEnd w:id="936"/>
      <w:r>
        <w:rPr>
          <w:rFonts w:hint="eastAsia" w:cs="宋体"/>
          <w:color w:val="auto"/>
          <w:sz w:val="21"/>
          <w:szCs w:val="21"/>
          <w:highlight w:val="none"/>
        </w:rPr>
        <w:t xml:space="preserve"> </w:t>
      </w:r>
      <w:bookmarkEnd w:id="937"/>
    </w:p>
    <w:bookmarkEnd w:id="938"/>
    <w:bookmarkEnd w:id="939"/>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1.11.1 除专用合同条款另有约定外，发包人提供给承包人的图纸、发包人为实施工程自行编制或委托编制的技术规范以及反映发包人要求的或其他类似性质的文件的著作权属于发包人，承包人可以为实现合同目的而复制、使用此类文件，但不能用于与合同无关的其他事项。未经发包人书面同意，承包人不得为了合同以外的目的而复制、使用上述文件或将之提供给任何第三方。</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1.11.2 除专用合同条款另有约定外，承包人为实施工程所编制的文件，除署名权以外的著作权属于发包人，承包人可因实施工程的运行、调试、维修、改造等目的而复制、使用此类文件，但不能用于与合同无关的其他事项。未经发包人书面同意，承包人不得为了合同以外的目的而复制、使用上述文件或将之提供给任何第三方。</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1.11.3 合同当事人保证在履行合同过程中不侵犯对方及第三方的知识产权。承包人在使用材料、施工设备、工程设备或采用施工工艺时，因侵犯他人的专利权或其他知识产权所引起的责任，由承包人承担；因发包人提供的材料、施工设备、工程设备或施工工艺导致侵权的，由发包人承担责任。</w:t>
      </w:r>
    </w:p>
    <w:p>
      <w:pPr>
        <w:adjustRightInd w:val="0"/>
        <w:spacing w:line="360" w:lineRule="auto"/>
        <w:textAlignment w:val="baseline"/>
        <w:rPr>
          <w:rFonts w:cs="宋体"/>
          <w:color w:val="auto"/>
          <w:sz w:val="21"/>
          <w:szCs w:val="21"/>
          <w:highlight w:val="none"/>
        </w:rPr>
      </w:pPr>
      <w:r>
        <w:rPr>
          <w:rFonts w:hint="eastAsia" w:cs="宋体"/>
          <w:color w:val="auto"/>
          <w:sz w:val="21"/>
          <w:szCs w:val="21"/>
          <w:highlight w:val="none"/>
        </w:rPr>
        <w:t xml:space="preserve">    1.11.4 除专用合同条款另有约定外，承包人在合同签订前和签订时已确定采用的专利、专有技术、技术秘密的使用费已包含在签约合同价中。</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bookmarkStart w:id="940" w:name="_Toc351203507"/>
      <w:r>
        <w:rPr>
          <w:rFonts w:hint="eastAsia" w:cs="宋体"/>
          <w:color w:val="auto"/>
          <w:sz w:val="21"/>
          <w:szCs w:val="21"/>
          <w:highlight w:val="none"/>
        </w:rPr>
        <w:t>1</w:t>
      </w:r>
      <w:bookmarkStart w:id="941" w:name="_Toc337558738"/>
      <w:r>
        <w:rPr>
          <w:rFonts w:hint="eastAsia" w:cs="宋体"/>
          <w:color w:val="auto"/>
          <w:sz w:val="21"/>
          <w:szCs w:val="21"/>
          <w:highlight w:val="none"/>
        </w:rPr>
        <w:t>.12 保密</w:t>
      </w:r>
      <w:bookmarkEnd w:id="940"/>
    </w:p>
    <w:bookmarkEnd w:id="941"/>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除法律规定或合同另有约定外，未经发包人同意，承包人不得将发包人提供的图纸、文件以及声明需要保密的资料信息等商业秘密泄露给第三方。</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除法律规定或合同另有约定外，未经承包人同意，发包人不得将承包人提供的技术秘密及声明需要保密的资料信息等商业秘密泄露给第三方。</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bookmarkStart w:id="942" w:name="_Toc351203508"/>
      <w:r>
        <w:rPr>
          <w:rFonts w:hint="eastAsia" w:cs="宋体"/>
          <w:color w:val="auto"/>
          <w:sz w:val="21"/>
          <w:szCs w:val="21"/>
          <w:highlight w:val="none"/>
        </w:rPr>
        <w:t>1.13 工程量清单错误的修正</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除专用合同条款另有约定外，发包人提供的工程量清单，应被认为是准确的和完整的。除专用合同条款另有约定外，出现下列情形之一时，发包人应予以修正，并相应调整合同价格：</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（1）工程量清单存在缺项、漏项的，新增工程量清单项目的，按照10.4.1.2 〔已标价工程量清单或预算书无相同项目的〕确定综合单价。</w:t>
      </w:r>
    </w:p>
    <w:p>
      <w:pPr>
        <w:autoSpaceDE w:val="0"/>
        <w:autoSpaceDN w:val="0"/>
        <w:adjustRightInd w:val="0"/>
        <w:spacing w:line="360" w:lineRule="auto"/>
        <w:ind w:firstLine="420" w:firstLineChars="200"/>
        <w:jc w:val="left"/>
        <w:textAlignment w:val="baseline"/>
        <w:rPr>
          <w:rFonts w:eastAsia="仿宋_GB2312" w:cs="宋体"/>
          <w:color w:val="auto"/>
          <w:sz w:val="21"/>
          <w:szCs w:val="21"/>
          <w:highlight w:val="none"/>
        </w:rPr>
      </w:pPr>
      <w:r>
        <w:rPr>
          <w:rFonts w:hint="eastAsia" w:eastAsia="仿宋_GB2312" w:cs="宋体"/>
          <w:color w:val="auto"/>
          <w:sz w:val="21"/>
          <w:szCs w:val="21"/>
          <w:highlight w:val="none"/>
        </w:rPr>
        <w:t>（2）</w:t>
      </w:r>
      <w:r>
        <w:rPr>
          <w:rFonts w:hint="eastAsia" w:cs="宋体"/>
          <w:color w:val="auto"/>
          <w:sz w:val="21"/>
          <w:szCs w:val="21"/>
          <w:highlight w:val="none"/>
        </w:rPr>
        <w:t>工程量清单项目特征与设计要求不符的，按照10.4.1 〔变更估价原则〕确定综合单价。</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（3）工程量偏差的，综合单价按照10.4.1.1〔已标价工程量清单或预算书有相同项目的〕第（3）点确定。</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（4）未按照国家现行工程量计算规范强制性规定计量的。</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1.14 招标控制价错误的修正</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采用简易评标法招标的项目，发包人提供的招标控制价，应被认为是准确的和完整的。除专用合同条款另有约定外，工程量偏差错误的修正按照1.13 〔工程量清单错误的修正〕执行，综合单价偏差按实调整，发包人应予以修正，并相应调整合同价格。</w:t>
      </w:r>
      <w:bookmarkEnd w:id="942"/>
    </w:p>
    <w:p>
      <w:pPr>
        <w:keepNext/>
        <w:keepLines/>
        <w:numPr>
          <w:ilvl w:val="0"/>
          <w:numId w:val="2"/>
        </w:numPr>
        <w:tabs>
          <w:tab w:val="left" w:pos="425"/>
        </w:tabs>
        <w:adjustRightInd w:val="0"/>
        <w:spacing w:before="280" w:after="290" w:line="360" w:lineRule="auto"/>
        <w:ind w:left="425" w:hanging="425"/>
        <w:textAlignment w:val="baseline"/>
        <w:outlineLvl w:val="4"/>
        <w:rPr>
          <w:rFonts w:cs="宋体"/>
          <w:b/>
          <w:bCs/>
          <w:color w:val="auto"/>
          <w:sz w:val="21"/>
          <w:szCs w:val="21"/>
          <w:highlight w:val="none"/>
        </w:rPr>
      </w:pPr>
      <w:bookmarkStart w:id="943" w:name="_Toc351203509"/>
      <w:bookmarkStart w:id="944" w:name="_Toc63471446"/>
      <w:bookmarkStart w:id="945" w:name="_Toc433901051"/>
      <w:bookmarkStart w:id="946" w:name="_Toc296346539"/>
      <w:bookmarkStart w:id="947" w:name="_Toc296503038"/>
      <w:bookmarkStart w:id="948" w:name="_Toc337558739"/>
      <w:r>
        <w:rPr>
          <w:rFonts w:hint="eastAsia" w:cs="宋体"/>
          <w:b/>
          <w:bCs/>
          <w:color w:val="auto"/>
          <w:sz w:val="21"/>
          <w:szCs w:val="21"/>
          <w:highlight w:val="none"/>
        </w:rPr>
        <w:t>发包人</w:t>
      </w:r>
      <w:bookmarkEnd w:id="943"/>
      <w:bookmarkEnd w:id="944"/>
      <w:bookmarkEnd w:id="945"/>
    </w:p>
    <w:bookmarkEnd w:id="946"/>
    <w:bookmarkEnd w:id="947"/>
    <w:bookmarkEnd w:id="948"/>
    <w:p>
      <w:pPr>
        <w:autoSpaceDE w:val="0"/>
        <w:autoSpaceDN w:val="0"/>
        <w:adjustRightInd w:val="0"/>
        <w:spacing w:line="360" w:lineRule="auto"/>
        <w:ind w:firstLine="420" w:firstLineChars="200"/>
        <w:jc w:val="left"/>
        <w:textAlignment w:val="baseline"/>
        <w:rPr>
          <w:rFonts w:cs="宋体"/>
          <w:color w:val="auto"/>
          <w:sz w:val="21"/>
          <w:szCs w:val="21"/>
          <w:highlight w:val="none"/>
        </w:rPr>
      </w:pPr>
      <w:bookmarkStart w:id="949" w:name="_Toc351203510"/>
      <w:r>
        <w:rPr>
          <w:rFonts w:hint="eastAsia" w:cs="宋体"/>
          <w:color w:val="auto"/>
          <w:sz w:val="21"/>
          <w:szCs w:val="21"/>
          <w:highlight w:val="none"/>
        </w:rPr>
        <w:t>2</w:t>
      </w:r>
      <w:bookmarkStart w:id="950" w:name="_Toc296346540"/>
      <w:bookmarkStart w:id="951" w:name="_Toc337558740"/>
      <w:bookmarkStart w:id="952" w:name="_Toc296503039"/>
      <w:r>
        <w:rPr>
          <w:rFonts w:hint="eastAsia" w:cs="宋体"/>
          <w:color w:val="auto"/>
          <w:sz w:val="21"/>
          <w:szCs w:val="21"/>
          <w:highlight w:val="none"/>
        </w:rPr>
        <w:t>.1 许可或批准</w:t>
      </w:r>
      <w:bookmarkEnd w:id="949"/>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发包人应遵守法律，并办理法律规定由其办理的许可、批准或备案，包括但不限于建设用地规划许可证、建设工程规划许可证、建设工程施工许可证、施工所需临时用水、临时用电、中断道路交通、临时占用土地等许可和批准。发包人应协助承包人办理法律规定的有关施工证件和批件。</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因发包人原因未能及时办理完毕前述许可、批准或备案，由发包人承担由此增加的费用和（或）延误的工期，并支付承包人合理的利润。</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bookmarkStart w:id="953" w:name="_Toc351203511"/>
      <w:r>
        <w:rPr>
          <w:rFonts w:hint="eastAsia" w:cs="宋体"/>
          <w:color w:val="auto"/>
          <w:sz w:val="21"/>
          <w:szCs w:val="21"/>
          <w:highlight w:val="none"/>
        </w:rPr>
        <w:t>2.2 发包人代表</w:t>
      </w:r>
      <w:bookmarkEnd w:id="953"/>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发包人应在专用合同条款中明确其派驻施工现场的发包人代表的姓名、职务、联系方式及授权范围等事项。发包人代表在发包人的授权范围内，负责处理合同履行过程中与发包人有关的具体事宜。发包人代表在授权范围内的行为由发包人承担法律责任。发包人更换发包人代表的，应提前7天书面通知承包人。</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发包人代表不能按照合同约定履行其职责及义务，并导致合同无法继续正常履行的，承包人可以要求发包人撤换发包人代表。</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不属于法定必须监理的工程，监理人的职权可以由发包人代表或发包人指定的其他人员行使。</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bookmarkStart w:id="954" w:name="_Toc351203512"/>
      <w:r>
        <w:rPr>
          <w:rFonts w:hint="eastAsia" w:cs="宋体"/>
          <w:color w:val="auto"/>
          <w:sz w:val="21"/>
          <w:szCs w:val="21"/>
          <w:highlight w:val="none"/>
        </w:rPr>
        <w:t>2.3 发包人人员</w:t>
      </w:r>
      <w:bookmarkEnd w:id="954"/>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发包人应要求在施工现场的发包人人员遵守法律及有关安全、质量、环境保护、文明施工等规定，并保障承包人免于承受因发包人人员未遵守上述要求给承包人造成的损失和责任。</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发包人人员包括发包人代表及其他由发包人派驻施工现场的人员。</w:t>
      </w:r>
      <w:bookmarkEnd w:id="950"/>
      <w:bookmarkEnd w:id="951"/>
      <w:bookmarkEnd w:id="952"/>
    </w:p>
    <w:p>
      <w:pPr>
        <w:autoSpaceDE w:val="0"/>
        <w:autoSpaceDN w:val="0"/>
        <w:adjustRightInd w:val="0"/>
        <w:spacing w:line="360" w:lineRule="auto"/>
        <w:ind w:firstLine="420" w:firstLineChars="200"/>
        <w:jc w:val="left"/>
        <w:textAlignment w:val="baseline"/>
        <w:rPr>
          <w:rFonts w:cs="宋体"/>
          <w:color w:val="auto"/>
          <w:sz w:val="21"/>
          <w:szCs w:val="21"/>
          <w:highlight w:val="none"/>
        </w:rPr>
      </w:pPr>
      <w:bookmarkStart w:id="955" w:name="_Toc351203513"/>
      <w:r>
        <w:rPr>
          <w:rFonts w:hint="eastAsia" w:cs="宋体"/>
          <w:color w:val="auto"/>
          <w:sz w:val="21"/>
          <w:szCs w:val="21"/>
          <w:highlight w:val="none"/>
        </w:rPr>
        <w:t>2</w:t>
      </w:r>
      <w:bookmarkStart w:id="956" w:name="_Toc296346541"/>
      <w:bookmarkStart w:id="957" w:name="_Toc296503040"/>
      <w:bookmarkStart w:id="958" w:name="_Toc337558741"/>
      <w:r>
        <w:rPr>
          <w:rFonts w:hint="eastAsia" w:cs="宋体"/>
          <w:color w:val="auto"/>
          <w:sz w:val="21"/>
          <w:szCs w:val="21"/>
          <w:highlight w:val="none"/>
        </w:rPr>
        <w:t>.4 施工现场、施工条件和基础资料的提供</w:t>
      </w:r>
      <w:bookmarkEnd w:id="955"/>
      <w:r>
        <w:rPr>
          <w:rFonts w:hint="eastAsia" w:cs="宋体"/>
          <w:color w:val="auto"/>
          <w:sz w:val="21"/>
          <w:szCs w:val="21"/>
          <w:highlight w:val="none"/>
        </w:rPr>
        <w:t xml:space="preserve"> </w:t>
      </w:r>
      <w:bookmarkEnd w:id="956"/>
      <w:bookmarkEnd w:id="957"/>
      <w:bookmarkEnd w:id="958"/>
      <w:r>
        <w:rPr>
          <w:rFonts w:hint="eastAsia" w:cs="宋体"/>
          <w:color w:val="auto"/>
          <w:sz w:val="21"/>
          <w:szCs w:val="21"/>
          <w:highlight w:val="none"/>
        </w:rPr>
        <w:t xml:space="preserve"> </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2.4.1 提供施工现场</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除专用合同条款另有约定外，发包人应最迟于开工日期7天前向承包人移交施工现场。</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2.4.2 提供施工条件</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除专用合同条款另有约定外，发包人应负责提供施工所需要的条件，包括：</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（1）将施工用水、电力、通讯线路等施工所必需的条件接至施工现场内；</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（2）保证向承包人提供正常施工所需要的进入施工现场的交通条件；</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（3）协调处理施工现场周围地下管线和邻近建筑物、构筑物、古树名木的保护工作，并承担相关费用；</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（4）按照专用合同条款约定应提供的其他设施和条件。</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2.4.3 提供基础资料</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发包人应当在移交施工现场前向承包人提供施工现场及工程施工所必需的毗邻区域内供水、排水、供电、供气、供热、通信、广播电视等地下管线资料，气象和水文观测资料，地质勘察资料，相邻建筑物、构筑物和地下工程等有关基础资料，并对所提供资料的真实性、准确性和完整性负责。</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按照法律规定确需在开工后方能提供的基础资料，发包人应尽其努力及时地在相应工程施工前的合理期限内提供，合理期限应以不影响承包人的正常施工为限。</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2.4.4 逾期提供的责任</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因发包人原因未能按合同约定及时向承包人提供施工现场、施工条件、基础资料的，由发包人承担由此增加的费用和（或）延误的工期。</w:t>
      </w:r>
    </w:p>
    <w:p>
      <w:pPr>
        <w:adjustRightInd w:val="0"/>
        <w:spacing w:line="360" w:lineRule="auto"/>
        <w:ind w:firstLine="420" w:firstLineChars="200"/>
        <w:jc w:val="left"/>
        <w:textAlignment w:val="baseline"/>
        <w:rPr>
          <w:rFonts w:cs="宋体"/>
          <w:color w:val="auto"/>
          <w:sz w:val="21"/>
          <w:szCs w:val="21"/>
          <w:highlight w:val="none"/>
        </w:rPr>
      </w:pPr>
      <w:bookmarkStart w:id="959" w:name="_Toc351203514"/>
      <w:r>
        <w:rPr>
          <w:rFonts w:hint="eastAsia" w:cs="宋体"/>
          <w:color w:val="auto"/>
          <w:sz w:val="21"/>
          <w:szCs w:val="21"/>
          <w:highlight w:val="none"/>
        </w:rPr>
        <w:t>2</w:t>
      </w:r>
      <w:bookmarkStart w:id="960" w:name="_Toc337558745"/>
      <w:bookmarkStart w:id="961" w:name="_Toc296346543"/>
      <w:bookmarkStart w:id="962" w:name="_Toc296503042"/>
      <w:r>
        <w:rPr>
          <w:rFonts w:hint="eastAsia" w:cs="宋体"/>
          <w:color w:val="auto"/>
          <w:sz w:val="21"/>
          <w:szCs w:val="21"/>
          <w:highlight w:val="none"/>
        </w:rPr>
        <w:t>.5 资</w:t>
      </w:r>
      <w:bookmarkEnd w:id="960"/>
      <w:bookmarkEnd w:id="961"/>
      <w:bookmarkEnd w:id="962"/>
      <w:r>
        <w:rPr>
          <w:rFonts w:hint="eastAsia" w:cs="宋体"/>
          <w:color w:val="auto"/>
          <w:sz w:val="21"/>
          <w:szCs w:val="21"/>
          <w:highlight w:val="none"/>
        </w:rPr>
        <w:t>金来源证明及支付担保</w:t>
      </w:r>
      <w:bookmarkEnd w:id="959"/>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除专用合同条款另有约定外，发包人应在收到承包人要求提供资金来源证明的书面通知后28天内，向承包人提供能够按照合同约定支付合同价款的相应资金来源证明。</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发包人应当向承包人提供支付担保。支付担保可以采用银行保函或担保公司担保或建设工程保证保险等形式，具体由合同当事人在专用合同条款中约定。</w:t>
      </w:r>
    </w:p>
    <w:p>
      <w:pPr>
        <w:adjustRightInd w:val="0"/>
        <w:spacing w:line="360" w:lineRule="auto"/>
        <w:ind w:firstLine="420" w:firstLineChars="200"/>
        <w:jc w:val="left"/>
        <w:textAlignment w:val="baseline"/>
        <w:rPr>
          <w:rFonts w:cs="宋体"/>
          <w:color w:val="auto"/>
          <w:sz w:val="21"/>
          <w:szCs w:val="21"/>
          <w:highlight w:val="none"/>
        </w:rPr>
      </w:pPr>
      <w:bookmarkStart w:id="963" w:name="_Toc351203515"/>
      <w:r>
        <w:rPr>
          <w:rFonts w:hint="eastAsia" w:cs="宋体"/>
          <w:color w:val="auto"/>
          <w:sz w:val="21"/>
          <w:szCs w:val="21"/>
          <w:highlight w:val="none"/>
        </w:rPr>
        <w:t>2.6 支付合同价款</w:t>
      </w:r>
      <w:bookmarkEnd w:id="963"/>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发包人应按合同约定向承包人及时支付合同价款。</w:t>
      </w:r>
    </w:p>
    <w:p>
      <w:pPr>
        <w:adjustRightInd w:val="0"/>
        <w:spacing w:line="360" w:lineRule="auto"/>
        <w:ind w:firstLine="420" w:firstLineChars="200"/>
        <w:jc w:val="left"/>
        <w:textAlignment w:val="baseline"/>
        <w:rPr>
          <w:rFonts w:cs="宋体"/>
          <w:color w:val="auto"/>
          <w:sz w:val="21"/>
          <w:szCs w:val="21"/>
          <w:highlight w:val="none"/>
        </w:rPr>
      </w:pPr>
      <w:bookmarkStart w:id="964" w:name="_Toc351203516"/>
      <w:r>
        <w:rPr>
          <w:rFonts w:hint="eastAsia" w:cs="宋体"/>
          <w:color w:val="auto"/>
          <w:sz w:val="21"/>
          <w:szCs w:val="21"/>
          <w:highlight w:val="none"/>
        </w:rPr>
        <w:t>2.7 组织竣工验收</w:t>
      </w:r>
      <w:bookmarkEnd w:id="964"/>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发包人应按合同约定及时组织竣工验收。</w:t>
      </w:r>
    </w:p>
    <w:p>
      <w:pPr>
        <w:adjustRightInd w:val="0"/>
        <w:spacing w:line="360" w:lineRule="auto"/>
        <w:ind w:firstLine="420" w:firstLineChars="200"/>
        <w:jc w:val="left"/>
        <w:textAlignment w:val="baseline"/>
        <w:rPr>
          <w:rFonts w:cs="宋体"/>
          <w:color w:val="auto"/>
          <w:sz w:val="21"/>
          <w:szCs w:val="21"/>
          <w:highlight w:val="none"/>
        </w:rPr>
      </w:pPr>
      <w:bookmarkStart w:id="965" w:name="_Toc351203517"/>
      <w:r>
        <w:rPr>
          <w:rFonts w:hint="eastAsia" w:cs="宋体"/>
          <w:color w:val="auto"/>
          <w:sz w:val="21"/>
          <w:szCs w:val="21"/>
          <w:highlight w:val="none"/>
        </w:rPr>
        <w:t>2.8 现场统一管理协议</w:t>
      </w:r>
      <w:bookmarkEnd w:id="965"/>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发包人应与承包人、由发包人直接发包的专业工程的承包人签订施工现场统一管理协议，明确各方的权利义务。施工现场统一管理协议作为专用合同条款的附件。</w:t>
      </w:r>
    </w:p>
    <w:p>
      <w:pPr>
        <w:keepNext/>
        <w:keepLines/>
        <w:numPr>
          <w:ilvl w:val="0"/>
          <w:numId w:val="2"/>
        </w:numPr>
        <w:tabs>
          <w:tab w:val="left" w:pos="425"/>
        </w:tabs>
        <w:adjustRightInd w:val="0"/>
        <w:spacing w:before="280" w:after="290" w:line="360" w:lineRule="auto"/>
        <w:ind w:left="425" w:hanging="425"/>
        <w:textAlignment w:val="baseline"/>
        <w:outlineLvl w:val="4"/>
        <w:rPr>
          <w:rFonts w:cs="宋体"/>
          <w:b/>
          <w:bCs/>
          <w:color w:val="auto"/>
          <w:sz w:val="21"/>
          <w:szCs w:val="21"/>
          <w:highlight w:val="none"/>
        </w:rPr>
      </w:pPr>
      <w:bookmarkStart w:id="966" w:name="_Toc63471447"/>
      <w:bookmarkStart w:id="967" w:name="_Toc351203518"/>
      <w:bookmarkStart w:id="968" w:name="_Toc433901052"/>
      <w:bookmarkStart w:id="969" w:name="_Toc296503045"/>
      <w:bookmarkStart w:id="970" w:name="_Toc296346546"/>
      <w:bookmarkStart w:id="971" w:name="_Toc337558746"/>
      <w:r>
        <w:rPr>
          <w:rFonts w:hint="eastAsia" w:cs="宋体"/>
          <w:b/>
          <w:bCs/>
          <w:color w:val="auto"/>
          <w:sz w:val="21"/>
          <w:szCs w:val="21"/>
          <w:highlight w:val="none"/>
        </w:rPr>
        <w:t>承包人</w:t>
      </w:r>
      <w:bookmarkEnd w:id="966"/>
      <w:bookmarkEnd w:id="967"/>
      <w:bookmarkEnd w:id="968"/>
    </w:p>
    <w:bookmarkEnd w:id="969"/>
    <w:bookmarkEnd w:id="970"/>
    <w:bookmarkEnd w:id="971"/>
    <w:p>
      <w:pPr>
        <w:adjustRightInd w:val="0"/>
        <w:spacing w:line="360" w:lineRule="auto"/>
        <w:ind w:firstLine="420" w:firstLineChars="200"/>
        <w:jc w:val="left"/>
        <w:textAlignment w:val="baseline"/>
        <w:rPr>
          <w:rFonts w:cs="宋体"/>
          <w:color w:val="auto"/>
          <w:sz w:val="21"/>
          <w:szCs w:val="21"/>
          <w:highlight w:val="none"/>
        </w:rPr>
      </w:pPr>
      <w:bookmarkStart w:id="972" w:name="_Toc351203519"/>
      <w:r>
        <w:rPr>
          <w:rFonts w:hint="eastAsia" w:cs="宋体"/>
          <w:color w:val="auto"/>
          <w:sz w:val="21"/>
          <w:szCs w:val="21"/>
          <w:highlight w:val="none"/>
        </w:rPr>
        <w:t>3</w:t>
      </w:r>
      <w:bookmarkStart w:id="973" w:name="_Toc296503046"/>
      <w:bookmarkStart w:id="974" w:name="_Toc296346547"/>
      <w:bookmarkStart w:id="975" w:name="_Toc337558747"/>
      <w:r>
        <w:rPr>
          <w:rFonts w:hint="eastAsia" w:cs="宋体"/>
          <w:color w:val="auto"/>
          <w:sz w:val="21"/>
          <w:szCs w:val="21"/>
          <w:highlight w:val="none"/>
        </w:rPr>
        <w:t>.1 承包人的一般义务</w:t>
      </w:r>
      <w:bookmarkEnd w:id="972"/>
    </w:p>
    <w:bookmarkEnd w:id="973"/>
    <w:bookmarkEnd w:id="974"/>
    <w:bookmarkEnd w:id="975"/>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承包人在履行合同过程中应遵守法律和工程建设标准规范，并履行以下义务：</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（1）办理法律规定应由承包人办理的许可和批准，并将办理结果书面报送发包人留存；</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（2）按法律规定和合同约定完成工程，并在保修期内承担保修义务；</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（3）按法律规定和合同约定采取施工安全和环境保护措施，办理工伤保险，确保工程及人员、材料、设备和设施的安全；</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（4）按合同约定的工作内容和施工进度要求，编制施工组织设计和施工措施计划，并对所有施工作业和施工方法的完备性和安全可靠性负责；</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5）在进行合同约定的各项工作时，不得侵害发包人与他人使用公用道路、水源、市政管网等公共设施的权利，避免对邻近的公共设施产生干扰。承包人占用或使用他人的施工场地，影响他人作业或生活的，应承担相应责任；</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（6）按照第6.3款〔环境保护〕约定负责施工场地及其周边环境与生态的保护工作；</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（7）按第6.1款〔安全文明施工〕约定采取施工安全措施，确保工程及其人员、材料、设备和设施的安全，防止因工程施工造成的人身伤害和财产损失；</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（8）将发包人按合同约定支付的各项价款专用于合同工程，且应及时支付其雇用人员工资，并及时向分包人支付合同价款；</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（9）按照法律规定和合同约定编制竣工资料，完成竣工资料立卷及归档，并按专用合同条款约定的竣工资料的套数、内容、时间等要求移交发包人；</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（10）应履行的其他义务。</w:t>
      </w:r>
    </w:p>
    <w:p>
      <w:pPr>
        <w:adjustRightInd w:val="0"/>
        <w:spacing w:line="360" w:lineRule="auto"/>
        <w:ind w:firstLine="420" w:firstLineChars="200"/>
        <w:jc w:val="left"/>
        <w:textAlignment w:val="baseline"/>
        <w:rPr>
          <w:rFonts w:cs="宋体"/>
          <w:color w:val="auto"/>
          <w:sz w:val="21"/>
          <w:szCs w:val="21"/>
          <w:highlight w:val="none"/>
        </w:rPr>
      </w:pPr>
      <w:bookmarkStart w:id="976" w:name="_Toc351203520"/>
      <w:r>
        <w:rPr>
          <w:rFonts w:hint="eastAsia" w:cs="宋体"/>
          <w:color w:val="auto"/>
          <w:sz w:val="21"/>
          <w:szCs w:val="21"/>
          <w:highlight w:val="none"/>
        </w:rPr>
        <w:t>3</w:t>
      </w:r>
      <w:bookmarkStart w:id="977" w:name="_Toc296346548"/>
      <w:bookmarkStart w:id="978" w:name="_Toc337558748"/>
      <w:bookmarkStart w:id="979" w:name="_Toc296503047"/>
      <w:r>
        <w:rPr>
          <w:rFonts w:hint="eastAsia" w:cs="宋体"/>
          <w:color w:val="auto"/>
          <w:sz w:val="21"/>
          <w:szCs w:val="21"/>
          <w:highlight w:val="none"/>
        </w:rPr>
        <w:t xml:space="preserve">.2 </w:t>
      </w:r>
      <w:bookmarkEnd w:id="976"/>
      <w:r>
        <w:rPr>
          <w:rFonts w:hint="eastAsia" w:cs="宋体"/>
          <w:color w:val="auto"/>
          <w:sz w:val="21"/>
          <w:szCs w:val="21"/>
          <w:highlight w:val="none"/>
        </w:rPr>
        <w:t>项目负责人</w:t>
      </w:r>
    </w:p>
    <w:bookmarkEnd w:id="977"/>
    <w:bookmarkEnd w:id="978"/>
    <w:bookmarkEnd w:id="979"/>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3.2.1 项目负责人应为合同当事人所确认的人选，并在专用合同条款中明确项目负责人的姓名、职称、执业注册证书编号、联系方式及授权范围等事项，项目负责人经承包人授权后代表承包人负责履行合同。项目负责人应是承包人正式聘用的员工，承包人应向发包人提交项目负责人与承包人之间的劳动合同，以及承包人为项目负责人缴纳社会保险的有效证明。承包人不提交上述文件的，项目负责人无权履行职责，发包人有权要求更换项目负责人，由此增加的费用和（或）延误的工期由承包人承担。</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项目负责人应常驻施工现场，且每月在施工现场时间不得少于专用合同条款约定的天数。项目负责人不得同时担任其他项目的项目负责人。项目负责人确需离开施工现场时，应事先通知监理人，并取得发包人的书面同意。项目负责人的通知中应当载明临时代行其职责的人员的注册执业资格、管理经验等资料，该人员应具备履行相应职责的能力。</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承包人违反上述约定的，应按照专用合同条款的约定，承担违约责任。</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3.2.2 项目负责人按合同约定组织工程实施。在紧急情况下为确保施工安全和人员安全，在无法与发包人代表和总监理工程师及时取得联系时，项目负责人有权采取必要的措施保证与工程有关的人身、财产和工程的安全，但应在48小时内向发包人代表和总监理工程师提交书面报告。</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3.2.3 承包人需要更换项目负责人的，应提前14天书面通知发包人和监理人，并征得发包人书面同意。通知中应当载明继任项目负责人的注册执业资格、管理经验等资料，继任项目负责人继续履行第3.2.1项约定的职责。未经发包人书面同意，承包人不得擅自更换项目负责人。承包人擅自更换项目负责人的，应按照专用合同条款的约定承担违约责任。</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3.2.4 发包人有权书面通知承包人更换其认为不称职的项目负责人，通知中应当载明要求更换的理由。承包人应在接到更换通知后14天内向发包人提出书面的改进报告。发包人收到改进报告后仍要求更换的，承包人应在接到第二次更换通知的28天内进行更换，并将新任命的项目负责人的注册执业资格、管理经验等资料书面通知发包人。继任项目负责人继续履行第3.2.1项约定的职责。承包人无正当理由拒绝更换项目负责人的，应按照专用合同条款的约定承担违约责任。</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3.2.5 项目负责人因特殊情况授权其下属人员履行其某项工作职责的，该下属人员应具备履行相应职责的能力，并应提前7天将上述人员的姓名和授权范围书面通知监理人，并征得发包人书面同意。</w:t>
      </w:r>
    </w:p>
    <w:p>
      <w:pPr>
        <w:adjustRightInd w:val="0"/>
        <w:spacing w:line="360" w:lineRule="auto"/>
        <w:ind w:firstLine="420" w:firstLineChars="200"/>
        <w:jc w:val="left"/>
        <w:textAlignment w:val="baseline"/>
        <w:rPr>
          <w:rFonts w:cs="宋体"/>
          <w:color w:val="auto"/>
          <w:sz w:val="21"/>
          <w:szCs w:val="21"/>
          <w:highlight w:val="none"/>
        </w:rPr>
      </w:pPr>
      <w:bookmarkStart w:id="980" w:name="_Toc351203521"/>
      <w:r>
        <w:rPr>
          <w:rFonts w:hint="eastAsia" w:cs="宋体"/>
          <w:color w:val="auto"/>
          <w:sz w:val="21"/>
          <w:szCs w:val="21"/>
          <w:highlight w:val="none"/>
        </w:rPr>
        <w:t>3</w:t>
      </w:r>
      <w:bookmarkStart w:id="981" w:name="_Toc296346549"/>
      <w:bookmarkStart w:id="982" w:name="_Toc296503048"/>
      <w:bookmarkStart w:id="983" w:name="_Toc337558749"/>
      <w:r>
        <w:rPr>
          <w:rFonts w:hint="eastAsia" w:cs="宋体"/>
          <w:color w:val="auto"/>
          <w:sz w:val="21"/>
          <w:szCs w:val="21"/>
          <w:highlight w:val="none"/>
        </w:rPr>
        <w:t xml:space="preserve">.3 </w:t>
      </w:r>
      <w:bookmarkEnd w:id="981"/>
      <w:bookmarkEnd w:id="982"/>
      <w:r>
        <w:rPr>
          <w:rFonts w:hint="eastAsia" w:cs="宋体"/>
          <w:color w:val="auto"/>
          <w:sz w:val="21"/>
          <w:szCs w:val="21"/>
          <w:highlight w:val="none"/>
        </w:rPr>
        <w:t>承包人人员</w:t>
      </w:r>
      <w:bookmarkEnd w:id="980"/>
    </w:p>
    <w:bookmarkEnd w:id="983"/>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3.3.1 除专用合同条款另有约定外，承包人应在接到开工通知后7天内，向监理人提交承包人项目管理机构及施工现场人员安排的报告，其内容应包括合同管理、施工、技术、材料、质量、安全、财务等主要施工管理人员名单及其岗位、注册执业资格等，以及各工种技术工人的安排情况，并同时提交主要施工管理人员与承包人之间的劳动关系证明和缴纳社会保险的有效证明。</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3.3.2 承包人派驻到施工现场的主要施工管理人员应相对稳定。施工过程中如有变动，承包人应及时向监理人提交施工现场人员变动情况的报告。承包人更换主要施工管理人员时，应提前7天书面通知监理人，并征得发包人书面同意。通知中应当载明继任人员的注册执业资格、管理经验等资料。</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特殊工种作业人员均应持有相应的资格证明，监理人可以随时检查。</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3.3.3 发包人对于承包人主要施工管理人员的资格或能力有异议的，承包人应提供资料证明被质疑人员有能力完成其岗位工作或不存在发包人所质疑的情形。发包人要求撤换不能按照合同约定履行职责及义务的主要施工管理人员的，承包人应当撤换。承包人无正当理由拒绝撤换的，应按照专用合同条款的约定承担违约责任。</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3.3.4 除专用合同条款另有约定外，承包人的主要施工管理人员离开施工现场每月累计不超过5天的，应报监理人同意；离开施工现场每月累计超过5天的，应通知监理人，并征得发包人书面同意。主要施工管理人员离开施工现场前应指定一名有经验的人员临时代行其职责，该人员应具备履行相应职责的资格和能力，且应征得监理人或发包人的同意。</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3.3.5 承包人擅自更换主要施工管理人员，或前述人员未经监理人或发包人同意擅自离开施工现场的，应按照专用合同条款约定承担违约责任。</w:t>
      </w:r>
    </w:p>
    <w:p>
      <w:pPr>
        <w:adjustRightInd w:val="0"/>
        <w:spacing w:line="360" w:lineRule="auto"/>
        <w:ind w:firstLine="420" w:firstLineChars="200"/>
        <w:jc w:val="left"/>
        <w:textAlignment w:val="baseline"/>
        <w:rPr>
          <w:rFonts w:cs="宋体"/>
          <w:color w:val="auto"/>
          <w:sz w:val="21"/>
          <w:szCs w:val="21"/>
          <w:highlight w:val="none"/>
        </w:rPr>
      </w:pPr>
      <w:bookmarkStart w:id="984" w:name="_Toc351203522"/>
      <w:r>
        <w:rPr>
          <w:rFonts w:hint="eastAsia" w:cs="宋体"/>
          <w:color w:val="auto"/>
          <w:sz w:val="21"/>
          <w:szCs w:val="21"/>
          <w:highlight w:val="none"/>
        </w:rPr>
        <w:t>3</w:t>
      </w:r>
      <w:bookmarkStart w:id="985" w:name="_Toc296503050"/>
      <w:bookmarkStart w:id="986" w:name="_Toc337558750"/>
      <w:bookmarkStart w:id="987" w:name="_Toc296346551"/>
      <w:r>
        <w:rPr>
          <w:rFonts w:hint="eastAsia" w:cs="宋体"/>
          <w:color w:val="auto"/>
          <w:sz w:val="21"/>
          <w:szCs w:val="21"/>
          <w:highlight w:val="none"/>
        </w:rPr>
        <w:t>.4 承包人现场查勘</w:t>
      </w:r>
      <w:bookmarkEnd w:id="984"/>
    </w:p>
    <w:bookmarkEnd w:id="985"/>
    <w:bookmarkEnd w:id="986"/>
    <w:bookmarkEnd w:id="987"/>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承包人应对基于发包人按照第2.4.3项〔提供基础资料〕提交的基础资料所做出的解释和推断负责，但因基础资料存在错误、遗漏导致承包人解释或推断失实的，由发包人承担责任。</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应对施工现场和施工条件进行查勘，并充分了解工程所在地的气象条件、交通条件、风俗习惯以及其他与完成合同工作有关的其他资料。因承包人未能充分查勘、了解前述情况或未能充分估计前述情况所可能产生后果的，承包人承担由此增加的费用和（或）延误的工期。</w:t>
      </w:r>
    </w:p>
    <w:p>
      <w:pPr>
        <w:adjustRightInd w:val="0"/>
        <w:spacing w:line="360" w:lineRule="auto"/>
        <w:ind w:firstLine="420" w:firstLineChars="200"/>
        <w:jc w:val="left"/>
        <w:textAlignment w:val="baseline"/>
        <w:rPr>
          <w:rFonts w:cs="宋体"/>
          <w:color w:val="auto"/>
          <w:sz w:val="21"/>
          <w:szCs w:val="21"/>
          <w:highlight w:val="none"/>
        </w:rPr>
      </w:pPr>
      <w:bookmarkStart w:id="988" w:name="_Toc351203523"/>
      <w:r>
        <w:rPr>
          <w:rFonts w:hint="eastAsia" w:cs="宋体"/>
          <w:color w:val="auto"/>
          <w:sz w:val="21"/>
          <w:szCs w:val="21"/>
          <w:highlight w:val="none"/>
        </w:rPr>
        <w:t>3</w:t>
      </w:r>
      <w:bookmarkStart w:id="989" w:name="_Toc296503051"/>
      <w:bookmarkStart w:id="990" w:name="_Toc337558751"/>
      <w:bookmarkStart w:id="991" w:name="_Toc296346552"/>
      <w:r>
        <w:rPr>
          <w:rFonts w:hint="eastAsia" w:cs="宋体"/>
          <w:color w:val="auto"/>
          <w:sz w:val="21"/>
          <w:szCs w:val="21"/>
          <w:highlight w:val="none"/>
        </w:rPr>
        <w:t>.5 分包</w:t>
      </w:r>
      <w:bookmarkEnd w:id="988"/>
    </w:p>
    <w:bookmarkEnd w:id="989"/>
    <w:bookmarkEnd w:id="990"/>
    <w:bookmarkEnd w:id="991"/>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3.5.1 分包的一般约定</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不得将其承包的全部工程转包给第三人，或将其承包的全部工程肢解后以分包的名义转包给第三人。承包人不得将工程主体结构、关键性工作及专用合同条款中禁止分包的专业工程分包给第三人，主体结构、关键性工作的范围由合同当事人按照法律规定在专用合同条款中予以明确。</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承包人不得以劳务分包的名义转包或违法分包工程。</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3.5.2 分包的确定</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应按专用合同条款的约定进行分包，确定分包人。已标价工程量清单或预算书中给定暂估价的专业工程，按照第10.7款〔暂估价〕确定分包人。按照合同约定进行分包的，承包人应确保分包人具有相应的资质和能力。工程分包不减轻或免除承包人的责任和义务，承包人和分包人就分包工程向发包人承担连带责任。除合同另有约定外，承包人应在分包合同签订后7天内向发包人和监理人提交分包合同副本。</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3.5.3 分包管理</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承包人应向监理人提交分包人的主要施工管理人员表，并对分包人的施工人员进行实名制管理，包括但不限于进出场管理、登记造册以及各种证照的办理。</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3.5.4 分包合同价款</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（1）除本项第（2）目约定的情况或专用合同条款另有约定外，分包合同价款由承包人与分包人结算，未经承包人同意，发包人不得向分包人支付分包工程价款；</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（2）生效法律文书要求发包人向分包人支付分包合同价款的，发包人有权从应付承包人工程款中扣除该部分款项。</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3.5.5 分包合同权益的转让</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分包人在分包合同项下的义务持续到缺陷责任期届满以后的，发包人有权在缺陷责任期届满前，要求承包人将其在分包合同项下的权益转让给发包人，承包人应当转让。除转让合同另有约定外，转让合同生效后，由分包人向发包人履行义务。</w:t>
      </w:r>
      <w:bookmarkStart w:id="992" w:name="_Toc351203524"/>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3.6 工程照管与成品、半成品保护</w:t>
      </w:r>
      <w:bookmarkEnd w:id="992"/>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（1）除专用合同条款另有约定外，自发包人向承包人移交施工现场之日起，承包人应负责照管工程及工程相关的材料、工程设备，直到颁发工程接收证书之日止。</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（2）在承包人负责照管期间，因承包人原因造成工程、材料、工程设备损坏的，由承包人负责修复或更换，并承担由此增加的费用和（或）延误的工期。</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（3）对合同内分期完成的成品和半成品，在工程接收证书颁发前，由承包人承担保护责任。因承包人原因造成成品或半成品损坏的，由承包人负责修复或更换，并承担由此增加的费用和（或）延误的工期。</w:t>
      </w:r>
    </w:p>
    <w:p>
      <w:pPr>
        <w:adjustRightInd w:val="0"/>
        <w:spacing w:line="360" w:lineRule="auto"/>
        <w:ind w:firstLine="420" w:firstLineChars="200"/>
        <w:jc w:val="left"/>
        <w:textAlignment w:val="baseline"/>
        <w:rPr>
          <w:rFonts w:cs="宋体"/>
          <w:color w:val="auto"/>
          <w:sz w:val="21"/>
          <w:szCs w:val="21"/>
          <w:highlight w:val="none"/>
        </w:rPr>
      </w:pPr>
      <w:bookmarkStart w:id="993" w:name="_Toc351203525"/>
      <w:r>
        <w:rPr>
          <w:rFonts w:hint="eastAsia" w:cs="宋体"/>
          <w:color w:val="auto"/>
          <w:sz w:val="21"/>
          <w:szCs w:val="21"/>
          <w:highlight w:val="none"/>
        </w:rPr>
        <w:t>3</w:t>
      </w:r>
      <w:bookmarkStart w:id="994" w:name="_Toc296503052"/>
      <w:bookmarkStart w:id="995" w:name="_Toc296346553"/>
      <w:bookmarkStart w:id="996" w:name="_Toc337558752"/>
      <w:r>
        <w:rPr>
          <w:rFonts w:hint="eastAsia" w:cs="宋体"/>
          <w:color w:val="auto"/>
          <w:sz w:val="21"/>
          <w:szCs w:val="21"/>
          <w:highlight w:val="none"/>
        </w:rPr>
        <w:t xml:space="preserve">.7 </w:t>
      </w:r>
      <w:bookmarkEnd w:id="993"/>
      <w:r>
        <w:rPr>
          <w:rFonts w:hint="eastAsia" w:cs="宋体"/>
          <w:color w:val="auto"/>
          <w:sz w:val="21"/>
          <w:szCs w:val="21"/>
          <w:highlight w:val="none"/>
        </w:rPr>
        <w:t>履约担保</w:t>
      </w:r>
    </w:p>
    <w:bookmarkEnd w:id="994"/>
    <w:bookmarkEnd w:id="995"/>
    <w:bookmarkEnd w:id="996"/>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发包人需要承包人提供履约担保的，由合同当事人在专用合同条款中约定履约担保的方式、金额及期限等。履约担保可以采用银行保函或担保公司担保</w:t>
      </w:r>
      <w:r>
        <w:rPr>
          <w:rFonts w:hint="eastAsia" w:cs="宋体"/>
          <w:bCs/>
          <w:color w:val="auto"/>
          <w:sz w:val="21"/>
          <w:szCs w:val="21"/>
          <w:highlight w:val="none"/>
        </w:rPr>
        <w:t>或建设工程保证保险</w:t>
      </w:r>
      <w:r>
        <w:rPr>
          <w:rFonts w:hint="eastAsia" w:cs="宋体"/>
          <w:color w:val="auto"/>
          <w:sz w:val="21"/>
          <w:szCs w:val="21"/>
          <w:highlight w:val="none"/>
        </w:rPr>
        <w:t>等形式，具体由合同当事人在专用合同条款中约定。</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因承包人原因导致工期延长的，继续提供履约担保所增加的费用由承包人承担；非因承包人原因导致工期延长的，继续提供履约担保所增加的费用由发包人承担。</w:t>
      </w:r>
    </w:p>
    <w:p>
      <w:pPr>
        <w:adjustRightInd w:val="0"/>
        <w:spacing w:line="360" w:lineRule="auto"/>
        <w:ind w:firstLine="420" w:firstLineChars="200"/>
        <w:jc w:val="left"/>
        <w:textAlignment w:val="baseline"/>
        <w:rPr>
          <w:rFonts w:cs="宋体"/>
          <w:color w:val="auto"/>
          <w:sz w:val="21"/>
          <w:szCs w:val="21"/>
          <w:highlight w:val="none"/>
        </w:rPr>
      </w:pPr>
      <w:bookmarkStart w:id="997" w:name="_Toc351203526"/>
      <w:r>
        <w:rPr>
          <w:rFonts w:hint="eastAsia" w:cs="宋体"/>
          <w:color w:val="auto"/>
          <w:sz w:val="21"/>
          <w:szCs w:val="21"/>
          <w:highlight w:val="none"/>
        </w:rPr>
        <w:t>3.8 联合体</w:t>
      </w:r>
      <w:bookmarkEnd w:id="997"/>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3.8.1 联合体各方应共同与发包人签订合同协议书。联合体各方应为履行合同向发包人承担连带责任。</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3.8.2 联合体协议经发包人确认后作为合同附件。在履行合同过程中，未经发包人同意，不得修改联合体协议。</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3.8.3 联合体牵头人负责与发包人和监理人联系，并接受指示，负责组织联合体各成员全面履行合同。</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3.9 建筑工人管理</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3.9.1 承包人应当根据《保障农民工工资支付条例》《福建省工程建设领域农民工工资保证金管理实施办法》和工程所在地的设区市的有关规定到属地人社部门申报工资保证金存储比例和金额，并按规定在工程所在地的银行存储工资保证金，或向工程所在地银行、工程担保公司、保险公司申请开立保函、保证保险。</w:t>
      </w:r>
    </w:p>
    <w:p>
      <w:pPr>
        <w:adjustRightInd w:val="0"/>
        <w:spacing w:line="360" w:lineRule="auto"/>
        <w:ind w:firstLine="420" w:firstLineChars="200"/>
        <w:jc w:val="left"/>
        <w:textAlignment w:val="baseline"/>
        <w:rPr>
          <w:rFonts w:cs="宋体"/>
          <w:color w:val="auto"/>
          <w:sz w:val="21"/>
          <w:szCs w:val="21"/>
          <w:highlight w:val="none"/>
          <w:shd w:val="clear" w:color="auto" w:fill="FFFFFF"/>
        </w:rPr>
      </w:pPr>
      <w:r>
        <w:rPr>
          <w:rFonts w:hint="eastAsia" w:cs="宋体"/>
          <w:color w:val="auto"/>
          <w:sz w:val="21"/>
          <w:szCs w:val="21"/>
          <w:highlight w:val="none"/>
        </w:rPr>
        <w:t>3.9.2 承包人</w:t>
      </w:r>
      <w:r>
        <w:rPr>
          <w:rFonts w:hint="eastAsia" w:cs="宋体"/>
          <w:color w:val="auto"/>
          <w:sz w:val="21"/>
          <w:szCs w:val="21"/>
          <w:highlight w:val="none"/>
          <w:shd w:val="clear" w:color="auto" w:fill="FFFFFF"/>
        </w:rPr>
        <w:t>应承担施工现场建筑工人实名制管理职责，制定本企业建筑工人实名制管理制度，配备专（兼）职建筑工人实名制管理人员，通过信息化手段将相关数据实时、准确、完整上传至相关部门的建筑工人实名制管理平台。</w:t>
      </w:r>
    </w:p>
    <w:p>
      <w:pPr>
        <w:keepNext/>
        <w:keepLines/>
        <w:numPr>
          <w:ilvl w:val="0"/>
          <w:numId w:val="2"/>
        </w:numPr>
        <w:tabs>
          <w:tab w:val="left" w:pos="425"/>
        </w:tabs>
        <w:adjustRightInd w:val="0"/>
        <w:spacing w:before="280" w:after="290" w:line="360" w:lineRule="auto"/>
        <w:ind w:left="425" w:hanging="425"/>
        <w:textAlignment w:val="baseline"/>
        <w:outlineLvl w:val="4"/>
        <w:rPr>
          <w:rFonts w:cs="宋体"/>
          <w:b/>
          <w:bCs/>
          <w:color w:val="auto"/>
          <w:sz w:val="21"/>
          <w:szCs w:val="21"/>
          <w:highlight w:val="none"/>
        </w:rPr>
      </w:pPr>
      <w:bookmarkStart w:id="998" w:name="_Toc296503053"/>
      <w:bookmarkStart w:id="999" w:name="_Toc296346554"/>
      <w:bookmarkStart w:id="1000" w:name="_Toc351203527"/>
      <w:bookmarkStart w:id="1001" w:name="_Toc433901053"/>
      <w:bookmarkStart w:id="1002" w:name="_Toc63471448"/>
      <w:bookmarkStart w:id="1003" w:name="_Toc337558753"/>
      <w:r>
        <w:rPr>
          <w:rFonts w:hint="eastAsia" w:cs="宋体"/>
          <w:b/>
          <w:bCs/>
          <w:color w:val="auto"/>
          <w:sz w:val="21"/>
          <w:szCs w:val="21"/>
          <w:highlight w:val="none"/>
        </w:rPr>
        <w:t>监</w:t>
      </w:r>
      <w:bookmarkEnd w:id="998"/>
      <w:bookmarkEnd w:id="999"/>
      <w:r>
        <w:rPr>
          <w:rFonts w:hint="eastAsia" w:cs="宋体"/>
          <w:b/>
          <w:bCs/>
          <w:color w:val="auto"/>
          <w:sz w:val="21"/>
          <w:szCs w:val="21"/>
          <w:highlight w:val="none"/>
        </w:rPr>
        <w:t>理人</w:t>
      </w:r>
      <w:bookmarkEnd w:id="1000"/>
      <w:bookmarkEnd w:id="1001"/>
      <w:bookmarkEnd w:id="1002"/>
    </w:p>
    <w:bookmarkEnd w:id="1003"/>
    <w:p>
      <w:pPr>
        <w:adjustRightInd w:val="0"/>
        <w:spacing w:line="360" w:lineRule="auto"/>
        <w:ind w:firstLine="420" w:firstLineChars="200"/>
        <w:jc w:val="left"/>
        <w:textAlignment w:val="baseline"/>
        <w:rPr>
          <w:rFonts w:cs="宋体"/>
          <w:color w:val="auto"/>
          <w:sz w:val="21"/>
          <w:szCs w:val="21"/>
          <w:highlight w:val="none"/>
        </w:rPr>
      </w:pPr>
      <w:bookmarkStart w:id="1004" w:name="_Toc351203528"/>
      <w:r>
        <w:rPr>
          <w:rFonts w:hint="eastAsia" w:cs="宋体"/>
          <w:color w:val="auto"/>
          <w:sz w:val="21"/>
          <w:szCs w:val="21"/>
          <w:highlight w:val="none"/>
        </w:rPr>
        <w:t>4</w:t>
      </w:r>
      <w:bookmarkStart w:id="1005" w:name="_Toc337558754"/>
      <w:bookmarkStart w:id="1006" w:name="_Toc296346555"/>
      <w:bookmarkStart w:id="1007" w:name="_Toc296503054"/>
      <w:r>
        <w:rPr>
          <w:rFonts w:hint="eastAsia" w:cs="宋体"/>
          <w:color w:val="auto"/>
          <w:sz w:val="21"/>
          <w:szCs w:val="21"/>
          <w:highlight w:val="none"/>
        </w:rPr>
        <w:t>.1监理人的一般规定</w:t>
      </w:r>
      <w:bookmarkEnd w:id="1004"/>
    </w:p>
    <w:bookmarkEnd w:id="1005"/>
    <w:bookmarkEnd w:id="1006"/>
    <w:bookmarkEnd w:id="1007"/>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工程实行监理的，发包人和承包人应在专用合同条款中明确监理人的监理内容及监理权限等事项。监理人应当根据发包人授权及法律规定，代表发包人对工程施工相关事项进行检查、查验、审核、验收，并签发相关指示，但监理人无权修改合同，且无权减轻或免除合同约定的承包人的任何责任与义务。</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除专用合同条款另有约定外，监理人在施工现场的办公场所、生活场所由承包人提供，所发生的费用由发包人承担。</w:t>
      </w:r>
    </w:p>
    <w:p>
      <w:pPr>
        <w:adjustRightInd w:val="0"/>
        <w:spacing w:line="360" w:lineRule="auto"/>
        <w:ind w:firstLine="420" w:firstLineChars="200"/>
        <w:jc w:val="left"/>
        <w:textAlignment w:val="baseline"/>
        <w:rPr>
          <w:rFonts w:cs="宋体"/>
          <w:color w:val="auto"/>
          <w:sz w:val="21"/>
          <w:szCs w:val="21"/>
          <w:highlight w:val="none"/>
        </w:rPr>
      </w:pPr>
      <w:bookmarkStart w:id="1008" w:name="_Toc351203529"/>
      <w:r>
        <w:rPr>
          <w:rFonts w:hint="eastAsia" w:cs="宋体"/>
          <w:color w:val="auto"/>
          <w:sz w:val="21"/>
          <w:szCs w:val="21"/>
          <w:highlight w:val="none"/>
        </w:rPr>
        <w:t>4</w:t>
      </w:r>
      <w:bookmarkStart w:id="1009" w:name="_Toc337558755"/>
      <w:r>
        <w:rPr>
          <w:rFonts w:hint="eastAsia" w:cs="宋体"/>
          <w:color w:val="auto"/>
          <w:sz w:val="21"/>
          <w:szCs w:val="21"/>
          <w:highlight w:val="none"/>
        </w:rPr>
        <w:t>.2监理人员</w:t>
      </w:r>
      <w:bookmarkEnd w:id="1008"/>
    </w:p>
    <w:bookmarkEnd w:id="1009"/>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发包人授予监理人对工程实施监理的权利由监理人派驻施工现场的监理人员行使，监理人员包括总监理工程师及监理工程师。监理人应将授权的总监理工程师和监理工程师的姓名及授权范围以书面形式提前通知承包人。更换总监理工程师的，监理人应提前7天书面通知承包人；更换其他监理人员，监理人应提前48小时书面通知承包人。</w:t>
      </w:r>
    </w:p>
    <w:p>
      <w:pPr>
        <w:adjustRightInd w:val="0"/>
        <w:spacing w:line="360" w:lineRule="auto"/>
        <w:ind w:firstLine="420" w:firstLineChars="200"/>
        <w:jc w:val="left"/>
        <w:textAlignment w:val="baseline"/>
        <w:rPr>
          <w:rFonts w:cs="宋体"/>
          <w:color w:val="auto"/>
          <w:sz w:val="21"/>
          <w:szCs w:val="21"/>
          <w:highlight w:val="none"/>
        </w:rPr>
      </w:pPr>
      <w:bookmarkStart w:id="1010" w:name="_Toc351203530"/>
      <w:r>
        <w:rPr>
          <w:rFonts w:hint="eastAsia" w:cs="宋体"/>
          <w:color w:val="auto"/>
          <w:sz w:val="21"/>
          <w:szCs w:val="21"/>
          <w:highlight w:val="none"/>
        </w:rPr>
        <w:t>4</w:t>
      </w:r>
      <w:bookmarkStart w:id="1011" w:name="_Toc296503055"/>
      <w:bookmarkStart w:id="1012" w:name="_Toc296346556"/>
      <w:bookmarkStart w:id="1013" w:name="_Toc337558756"/>
      <w:r>
        <w:rPr>
          <w:rFonts w:hint="eastAsia" w:cs="宋体"/>
          <w:color w:val="auto"/>
          <w:sz w:val="21"/>
          <w:szCs w:val="21"/>
          <w:highlight w:val="none"/>
        </w:rPr>
        <w:t>.3</w:t>
      </w:r>
      <w:bookmarkEnd w:id="1011"/>
      <w:bookmarkEnd w:id="1012"/>
      <w:r>
        <w:rPr>
          <w:rFonts w:hint="eastAsia" w:cs="宋体"/>
          <w:color w:val="auto"/>
          <w:sz w:val="21"/>
          <w:szCs w:val="21"/>
          <w:highlight w:val="none"/>
        </w:rPr>
        <w:t>监理人的指</w:t>
      </w:r>
      <w:bookmarkEnd w:id="1013"/>
      <w:r>
        <w:rPr>
          <w:rFonts w:hint="eastAsia" w:cs="宋体"/>
          <w:color w:val="auto"/>
          <w:sz w:val="21"/>
          <w:szCs w:val="21"/>
          <w:highlight w:val="none"/>
        </w:rPr>
        <w:t>示</w:t>
      </w:r>
      <w:bookmarkEnd w:id="1010"/>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监理人应按照发包人的授权发出监理指示。监理人的指示应采用书面形式，并经其授权的监理人员签字。紧急情况下，为了保证施工人员的安全或避免工程受损，监理人员可以口头形式发出指示，该指示与书面形式的指示具有同等法律效力，但必须在发出口头指示后24小时内补发书面监理指示，补发的书面监理指示应与口头指示一致。</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监理人发出的指示应送达承包人项目负责人或经项目负责人授权接收的人员。因监理人未能按合同约定发出指示、指示延误或发出了错误指示而导致承包人费用增加和（或）工期延误的，由发包人承担相应责任。除专用合同条款另有约定外，总监理工程师不应将第4.4款〔商定或确定〕约定应由总监理工程师作出确定的权力授权或委托给其他监理人员。</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承包人对监理人发出的指示有疑问的，应向监理人提出书面异议，监理人应在48小时内对该指示予以确认、更改或撤销，监理人逾期未回复的，承包人有权拒绝执行上述指示。</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监理人对承包人的任何工作、工程或其采用的材料和工程设备未在约定的或合理期限内提出意见的，视为批准，但不免除或减轻承包人对该工作、工程、材料、工程设备等应承担的责任和义务。</w:t>
      </w:r>
    </w:p>
    <w:p>
      <w:pPr>
        <w:adjustRightInd w:val="0"/>
        <w:spacing w:line="360" w:lineRule="auto"/>
        <w:ind w:firstLine="420" w:firstLineChars="200"/>
        <w:jc w:val="left"/>
        <w:textAlignment w:val="baseline"/>
        <w:rPr>
          <w:rFonts w:cs="宋体"/>
          <w:color w:val="auto"/>
          <w:sz w:val="21"/>
          <w:szCs w:val="21"/>
          <w:highlight w:val="none"/>
        </w:rPr>
      </w:pPr>
      <w:bookmarkStart w:id="1014" w:name="_Toc351203531"/>
      <w:r>
        <w:rPr>
          <w:rFonts w:hint="eastAsia" w:cs="宋体"/>
          <w:color w:val="auto"/>
          <w:sz w:val="21"/>
          <w:szCs w:val="21"/>
          <w:highlight w:val="none"/>
        </w:rPr>
        <w:t>4</w:t>
      </w:r>
      <w:bookmarkStart w:id="1015" w:name="_Toc337558757"/>
      <w:bookmarkStart w:id="1016" w:name="_Toc296346558"/>
      <w:bookmarkStart w:id="1017" w:name="_Toc296503057"/>
      <w:r>
        <w:rPr>
          <w:rFonts w:hint="eastAsia" w:cs="宋体"/>
          <w:color w:val="auto"/>
          <w:sz w:val="21"/>
          <w:szCs w:val="21"/>
          <w:highlight w:val="none"/>
        </w:rPr>
        <w:t>.4 商定或确定</w:t>
      </w:r>
      <w:bookmarkEnd w:id="1014"/>
    </w:p>
    <w:bookmarkEnd w:id="1015"/>
    <w:bookmarkEnd w:id="1016"/>
    <w:bookmarkEnd w:id="1017"/>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4.4.1合同当事人进行商定或确定时，总监理工程师应当会同合同当事人尽量通过协商达成一致，不能达成一致的，由总监理工程师按照合同约定审慎做出公正的确定。</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总监理工程师应将确定以书面形式通知发包人和承包人，并附详细依据。合同当事人对总监理工程师的确定没有异议的，按照总监理工程师的确定执行。任何一方合同当事人有异议，按照第20条〔争议解决〕约定处理。争议解决前，合同当事人暂按总监理工程师的确定执行；争议解决后，争议解决的结果与总监理工程师的确定不一致的，按照争议解决的结果执行，由此造成的损失由责任人承担。</w:t>
      </w:r>
    </w:p>
    <w:p>
      <w:pPr>
        <w:keepNext/>
        <w:keepLines/>
        <w:numPr>
          <w:ilvl w:val="0"/>
          <w:numId w:val="2"/>
        </w:numPr>
        <w:tabs>
          <w:tab w:val="left" w:pos="425"/>
        </w:tabs>
        <w:adjustRightInd w:val="0"/>
        <w:spacing w:before="280" w:after="290" w:line="360" w:lineRule="auto"/>
        <w:ind w:left="425" w:hanging="425"/>
        <w:textAlignment w:val="baseline"/>
        <w:outlineLvl w:val="4"/>
        <w:rPr>
          <w:rFonts w:cs="宋体"/>
          <w:b/>
          <w:bCs/>
          <w:color w:val="auto"/>
          <w:sz w:val="21"/>
          <w:szCs w:val="21"/>
          <w:highlight w:val="none"/>
        </w:rPr>
      </w:pPr>
      <w:bookmarkStart w:id="1018" w:name="_Toc433901054"/>
      <w:bookmarkStart w:id="1019" w:name="_Toc351203532"/>
      <w:bookmarkStart w:id="1020" w:name="_Toc63471449"/>
      <w:bookmarkStart w:id="1021" w:name="_Toc337558758"/>
      <w:r>
        <w:rPr>
          <w:rFonts w:hint="eastAsia" w:cs="宋体"/>
          <w:b/>
          <w:bCs/>
          <w:color w:val="auto"/>
          <w:sz w:val="21"/>
          <w:szCs w:val="21"/>
          <w:highlight w:val="none"/>
        </w:rPr>
        <w:t>工程质量</w:t>
      </w:r>
      <w:bookmarkEnd w:id="1018"/>
      <w:bookmarkEnd w:id="1019"/>
      <w:bookmarkEnd w:id="1020"/>
    </w:p>
    <w:bookmarkEnd w:id="1021"/>
    <w:p>
      <w:pPr>
        <w:adjustRightInd w:val="0"/>
        <w:spacing w:line="360" w:lineRule="auto"/>
        <w:ind w:firstLine="420" w:firstLineChars="200"/>
        <w:jc w:val="left"/>
        <w:textAlignment w:val="baseline"/>
        <w:rPr>
          <w:rFonts w:cs="宋体"/>
          <w:color w:val="auto"/>
          <w:sz w:val="21"/>
          <w:szCs w:val="21"/>
          <w:highlight w:val="none"/>
        </w:rPr>
      </w:pPr>
      <w:bookmarkStart w:id="1022" w:name="_Toc351203533"/>
      <w:r>
        <w:rPr>
          <w:rFonts w:hint="eastAsia" w:cs="宋体"/>
          <w:color w:val="auto"/>
          <w:sz w:val="21"/>
          <w:szCs w:val="21"/>
          <w:highlight w:val="none"/>
        </w:rPr>
        <w:t>5</w:t>
      </w:r>
      <w:bookmarkStart w:id="1023" w:name="_Toc337558759"/>
      <w:r>
        <w:rPr>
          <w:rFonts w:hint="eastAsia" w:cs="宋体"/>
          <w:color w:val="auto"/>
          <w:sz w:val="21"/>
          <w:szCs w:val="21"/>
          <w:highlight w:val="none"/>
        </w:rPr>
        <w:t>.1质量要求</w:t>
      </w:r>
      <w:bookmarkEnd w:id="1022"/>
    </w:p>
    <w:bookmarkEnd w:id="1023"/>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5.1.1 工程质量标准必须符合现行国家有关工程施工质量验收规范和标准的要求。有关工程质量的特殊标准或要求由合同当事人在专用合同条款中约定。合同当事人可以在专用合同条款中约定建造要求的具体情形。</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5.1.2 因发包人原因造成工程质量未达到合同约定标准的，由发包人承担由此增加的费用和（或）延误的工期，并支付承包人合理的利润。</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5.1.3 因承包人原因造成工程质量未达到合同约定标准的，发包人有权要求承包人返工直至工程质量达到合同约定的标准为止，并由承包人承担由此增加的费用和（或）延误的工期。</w:t>
      </w:r>
    </w:p>
    <w:p>
      <w:pPr>
        <w:adjustRightInd w:val="0"/>
        <w:spacing w:line="360" w:lineRule="auto"/>
        <w:ind w:firstLine="420" w:firstLineChars="200"/>
        <w:jc w:val="left"/>
        <w:textAlignment w:val="baseline"/>
        <w:rPr>
          <w:rFonts w:cs="宋体"/>
          <w:color w:val="auto"/>
          <w:sz w:val="21"/>
          <w:szCs w:val="21"/>
          <w:highlight w:val="none"/>
        </w:rPr>
      </w:pPr>
      <w:bookmarkStart w:id="1024" w:name="_Toc351203534"/>
      <w:r>
        <w:rPr>
          <w:rFonts w:hint="eastAsia" w:cs="宋体"/>
          <w:color w:val="auto"/>
          <w:sz w:val="21"/>
          <w:szCs w:val="21"/>
          <w:highlight w:val="none"/>
        </w:rPr>
        <w:t>5</w:t>
      </w:r>
      <w:bookmarkStart w:id="1025" w:name="_Toc337558760"/>
      <w:r>
        <w:rPr>
          <w:rFonts w:hint="eastAsia" w:cs="宋体"/>
          <w:color w:val="auto"/>
          <w:sz w:val="21"/>
          <w:szCs w:val="21"/>
          <w:highlight w:val="none"/>
        </w:rPr>
        <w:t>.2质量保证措施</w:t>
      </w:r>
      <w:bookmarkEnd w:id="1024"/>
    </w:p>
    <w:bookmarkEnd w:id="1025"/>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5.2.1 发包人的质量管理</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发包人应按照法律规定及合同约定完成与工程质量有关的各项工作。</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5.2.2 承包人的质量管理</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按照第7.1款〔施工组织设计〕约定向发包人和监理人提交工程质量保证体系及措施文件，建立完善的质量检查制度，并提交相应的工程质量文件。对于发包人和监理人违反法律规定和合同约定的错误指示，承包人有权拒绝实施。</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承包人应对施工人员进行质量教育和技术培训，定期考核施工人员的劳动技能，严格执行施工规范和操作规程。</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应按照法律规定和发包人的要求，对材料、工程设备以及工程的所有部位及其施工工艺进行全过程的质量检查和检验，并作详细记录，编制工程质量报表，报送监理人审查。此外，承包人还应按照法律规定和发包人的要求，进行施工现场取样试验、工程复核测量和设备性能检测，提供试验样品、提交试验报告和测量成果以及其他工作。</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5.2.3 监理人的质量检查和检验</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监理人按照法律规定和发包人授权对工程的所有部位及其施工工艺、材料和工程设备进行检查和检验。承包人应为监理人的检查和检验提供方便，包括监理人到施工现场，或制造、加工地点，或合同约定的其他地方进行察看和查阅施工原始记录。监理人为此进行的检查和检验，不免除或减轻承包人按照合同约定应当承担的责任。</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监理人的检查和检验不应影响施工正常进行。监理人的检查和检验影响施工正常进行的，且经检查检验不合格的，影响正常施工的费用由承包人承担，工期不予顺延；经检查检验合格的，由此增加的费用和（或）延误的工期由发包人承担。</w:t>
      </w:r>
    </w:p>
    <w:p>
      <w:pPr>
        <w:adjustRightInd w:val="0"/>
        <w:spacing w:line="360" w:lineRule="auto"/>
        <w:ind w:firstLine="420" w:firstLineChars="200"/>
        <w:jc w:val="left"/>
        <w:textAlignment w:val="baseline"/>
        <w:rPr>
          <w:rFonts w:cs="宋体"/>
          <w:color w:val="auto"/>
          <w:sz w:val="21"/>
          <w:szCs w:val="21"/>
          <w:highlight w:val="none"/>
        </w:rPr>
      </w:pPr>
      <w:bookmarkStart w:id="1026" w:name="_Toc351203535"/>
      <w:r>
        <w:rPr>
          <w:rFonts w:hint="eastAsia" w:cs="宋体"/>
          <w:color w:val="auto"/>
          <w:sz w:val="21"/>
          <w:szCs w:val="21"/>
          <w:highlight w:val="none"/>
        </w:rPr>
        <w:t>5</w:t>
      </w:r>
      <w:bookmarkStart w:id="1027" w:name="_Toc337558761"/>
      <w:r>
        <w:rPr>
          <w:rFonts w:hint="eastAsia" w:cs="宋体"/>
          <w:color w:val="auto"/>
          <w:sz w:val="21"/>
          <w:szCs w:val="21"/>
          <w:highlight w:val="none"/>
        </w:rPr>
        <w:t>.3 隐蔽工程检查</w:t>
      </w:r>
      <w:bookmarkEnd w:id="1026"/>
    </w:p>
    <w:bookmarkEnd w:id="1027"/>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5.3.1承包人自检</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承包人应当对工程隐蔽部位进行自检，并经自检确认是否具备覆盖条件。</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5.3.2检查程序</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除专用合同条款另有约定外，工程隐蔽部位经承包人自检确认具备覆盖条件的，承包人应在共同检查前48小时书面通知监理人检查，通知中应载明隐蔽检查的内容、时间和地点，并应附有自检记录和必要的检查资料。</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监理人应按时到场并对隐蔽工程及其施工工艺、材料和工程设备进行检查。经监理人检查确认质量符合隐蔽要求，并在验收记录上签字后，承包人才能进行覆盖。经监理人检查质量不合格的，承包人应在监理人指示的时间内完成修复，并由监理人重新检查，由此增加的费用和（或）延误的工期由承包人承担。</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除专用合同条款另有约定外，监理人不能按时进行检查的，应在检查前24小时向承包人提交书面延期要求，但延期不能超过48小时，由此导致工期延误的，工期应予以顺延。监理人未按时进行检查，也未提出延期要求的，视为隐蔽工程检查合格，承包人可自行完成覆盖工作，并作相应记录报送监理人，监理人应签字确认。监理人事后对检查记录有疑问的，可按第5.3.3项〔重新检查〕的约定重新检查。</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5.3.3 重新检查</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覆盖工程隐蔽部位后，发包人或监理人对质量有疑问的，可要求承包人对已覆盖的部位进行钻孔探测或揭开重新检查，承包人应遵照执行，并在检查后重新覆盖恢复原状。经检查证明工程质量符合合同要求的，由发包人承担由此增加的费用和（或）延误的工期，并支付承包人合理的利润；经检查证明工程质量不符合合同要求的，由此增加的费用和（或）延误的工期由承包人承担。</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5.3.4 承包人私自覆盖</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承包人未通知监理人到场检查，私自将工程隐蔽部位覆盖的，监理人有权指示承包人钻孔探测或揭开检查，无论工程隐蔽部位质量是否合格，由此增加的费用和（或）延误的工期均由承包人承担。</w:t>
      </w:r>
    </w:p>
    <w:p>
      <w:pPr>
        <w:adjustRightInd w:val="0"/>
        <w:spacing w:line="360" w:lineRule="auto"/>
        <w:ind w:firstLine="420" w:firstLineChars="200"/>
        <w:jc w:val="left"/>
        <w:textAlignment w:val="baseline"/>
        <w:rPr>
          <w:rFonts w:cs="宋体"/>
          <w:color w:val="auto"/>
          <w:sz w:val="21"/>
          <w:szCs w:val="21"/>
          <w:highlight w:val="none"/>
        </w:rPr>
      </w:pPr>
      <w:bookmarkStart w:id="1028" w:name="_Toc351203536"/>
      <w:r>
        <w:rPr>
          <w:rFonts w:hint="eastAsia" w:cs="宋体"/>
          <w:color w:val="auto"/>
          <w:sz w:val="21"/>
          <w:szCs w:val="21"/>
          <w:highlight w:val="none"/>
        </w:rPr>
        <w:t>5</w:t>
      </w:r>
      <w:bookmarkStart w:id="1029" w:name="_Toc337558762"/>
      <w:r>
        <w:rPr>
          <w:rFonts w:hint="eastAsia" w:cs="宋体"/>
          <w:color w:val="auto"/>
          <w:sz w:val="21"/>
          <w:szCs w:val="21"/>
          <w:highlight w:val="none"/>
        </w:rPr>
        <w:t>.4不合格工程的处理</w:t>
      </w:r>
      <w:bookmarkEnd w:id="1028"/>
    </w:p>
    <w:bookmarkEnd w:id="1029"/>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 xml:space="preserve">5.4.1 因承包人原因造成工程不合格的，发包人有权随时要求承包人采取补救措施，直至达到合同要求的质量标准，由此增加的费用和（或）延误的工期由承包人承担。无法补救的，按照第13.2.4项〔拒绝接收全部或部分工程〕约定执行。 </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5.4.2 因发包人原因造成工程不合格的，由此增加的费用和（或）延误的工期由发包人承担，并支付承包人合理的利润。</w:t>
      </w:r>
    </w:p>
    <w:p>
      <w:pPr>
        <w:adjustRightInd w:val="0"/>
        <w:spacing w:line="360" w:lineRule="auto"/>
        <w:ind w:firstLine="420" w:firstLineChars="200"/>
        <w:jc w:val="left"/>
        <w:textAlignment w:val="baseline"/>
        <w:rPr>
          <w:rFonts w:cs="宋体"/>
          <w:color w:val="auto"/>
          <w:sz w:val="21"/>
          <w:szCs w:val="21"/>
          <w:highlight w:val="none"/>
        </w:rPr>
      </w:pPr>
      <w:bookmarkStart w:id="1030" w:name="_Toc351203537"/>
      <w:r>
        <w:rPr>
          <w:rFonts w:hint="eastAsia" w:cs="宋体"/>
          <w:color w:val="auto"/>
          <w:sz w:val="21"/>
          <w:szCs w:val="21"/>
          <w:highlight w:val="none"/>
        </w:rPr>
        <w:t>5.5 质量争议检测</w:t>
      </w:r>
      <w:bookmarkEnd w:id="1030"/>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合同当事人对工程质量有争议的，由双方协商确定的工程质量检测机构鉴定，由此产生的费用及因此造成的损失，由责任方承担。</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合同当事人均有责任的，由双方根据其责任分别承担。合同当事人无法达成一致的，按照第4.4款〔商定或确定〕执行。</w:t>
      </w:r>
    </w:p>
    <w:p>
      <w:pPr>
        <w:keepNext/>
        <w:keepLines/>
        <w:numPr>
          <w:ilvl w:val="0"/>
          <w:numId w:val="2"/>
        </w:numPr>
        <w:tabs>
          <w:tab w:val="left" w:pos="425"/>
        </w:tabs>
        <w:adjustRightInd w:val="0"/>
        <w:spacing w:before="280" w:after="290" w:line="360" w:lineRule="auto"/>
        <w:ind w:left="425" w:hanging="425"/>
        <w:textAlignment w:val="baseline"/>
        <w:outlineLvl w:val="4"/>
        <w:rPr>
          <w:rFonts w:cs="宋体"/>
          <w:b/>
          <w:bCs/>
          <w:color w:val="auto"/>
          <w:sz w:val="21"/>
          <w:szCs w:val="21"/>
          <w:highlight w:val="none"/>
        </w:rPr>
      </w:pPr>
      <w:bookmarkStart w:id="1031" w:name="_Toc433901055"/>
      <w:bookmarkStart w:id="1032" w:name="_Toc63471450"/>
      <w:bookmarkStart w:id="1033" w:name="_Toc351203538"/>
      <w:bookmarkStart w:id="1034" w:name="_Toc337558763"/>
      <w:r>
        <w:rPr>
          <w:rFonts w:hint="eastAsia" w:cs="宋体"/>
          <w:b/>
          <w:bCs/>
          <w:color w:val="auto"/>
          <w:sz w:val="21"/>
          <w:szCs w:val="21"/>
          <w:highlight w:val="none"/>
        </w:rPr>
        <w:t>安全文明施工与环境保护</w:t>
      </w:r>
      <w:bookmarkEnd w:id="1031"/>
      <w:bookmarkEnd w:id="1032"/>
      <w:bookmarkEnd w:id="1033"/>
    </w:p>
    <w:bookmarkEnd w:id="1034"/>
    <w:p>
      <w:pPr>
        <w:adjustRightInd w:val="0"/>
        <w:spacing w:line="360" w:lineRule="auto"/>
        <w:ind w:firstLine="420" w:firstLineChars="200"/>
        <w:jc w:val="left"/>
        <w:textAlignment w:val="baseline"/>
        <w:rPr>
          <w:rFonts w:cs="宋体"/>
          <w:color w:val="auto"/>
          <w:sz w:val="21"/>
          <w:szCs w:val="21"/>
          <w:highlight w:val="none"/>
        </w:rPr>
      </w:pPr>
      <w:bookmarkStart w:id="1035" w:name="_Toc351203539"/>
      <w:r>
        <w:rPr>
          <w:rFonts w:hint="eastAsia" w:cs="宋体"/>
          <w:color w:val="auto"/>
          <w:sz w:val="21"/>
          <w:szCs w:val="21"/>
          <w:highlight w:val="none"/>
        </w:rPr>
        <w:t>6</w:t>
      </w:r>
      <w:bookmarkStart w:id="1036" w:name="_Toc337558764"/>
      <w:r>
        <w:rPr>
          <w:rFonts w:hint="eastAsia" w:cs="宋体"/>
          <w:color w:val="auto"/>
          <w:sz w:val="21"/>
          <w:szCs w:val="21"/>
          <w:highlight w:val="none"/>
        </w:rPr>
        <w:t>.1安全文明施工</w:t>
      </w:r>
      <w:bookmarkEnd w:id="1035"/>
    </w:p>
    <w:bookmarkEnd w:id="1036"/>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6.1.1安全生产要求</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合同履行期间，合同当事人均应当遵守国家和工程所在地有关安全生产的要求，合同当事人有特别要求的，应在专用合同条款中明确施工项目安全生产标准化达标目标及相应事项。承包人有权拒绝发包人及监理人强令承包人违章作业、冒险施工的任何指示。</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在施工过程中，如遇到突发的地质变动、事先未知的地下施工障碍等影响施工安全的紧急情况，承包人应及时报告监理人和发包人，发包人应当及时下令停工并报政府有关行政管理部门采取应急措施。</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因安全生产需要暂停施工的，按照第7.8款〔暂停施工〕的约定执行。</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6.1.2 安全生产保证措施</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应当按照有关规定编制安全技术措施或者专项施工方案，建立安全生产责任制度、治安保卫制度及安全生产教育培训制度，并按安全生产法律规定及合同约定履行安全职责，如实编制工程安全生产的有关记录，接受发包人、监理人及政府安全监督部门的检查与监督。</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6.1.3特别安全生产事项</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承包人应按照法律规定进行施工，开工前做好安全技术交底工作，施工过程中做好各项安全防护措施。承包人为实施合同而雇用的特殊工种的人员应受过专门的培训并已取得政府有关管理机构颁发的上岗证书。</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 xml:space="preserve">承包人在动力设备、输电线路、地下管道、密封防震车间、易燃易爆地段以及临街交通要道附近施工时，施工开始前应向发包人和监理人提出安全防护措施，经发包人认可后实施。 </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实施爆破作业，在放射、毒害性环境中施工（含储存、运输、使用）及使用毒害性、腐蚀性物品施工时，承包人应在施工前7天以书面通知发包人和监理人，并报送相应的安全防护措施，经发包人认可后实施。</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需单独编制危险性较大分部分项专项工程施工方案的，及要求进行专家论证的超过一定规模的危险性较大的分部分项工程，承包人应及时编制和组织论证。</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6.1.4 治安保卫</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除专用合同条款另有约定外，发包人应与当地公安部门协商，在现场建立治安管理机构或联防组织，统一管理施工场地的治安保卫事项，履行合同工程的治安保卫职责。</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发包人和承包人除应协助现场治安管理机构或联防组织维护施工场地的社会治安外，还应做好包括生活区在内的各自管辖区的治安保卫工作。</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除专用合同条款另有约定外，发包人和承包人应在工程开工后7天内共同编制施工场地治安管理计划，并制定应对突发治安事件的紧急预案。在工程施工过程中，发生暴乱、爆炸等恐怖事件，以及群殴、械斗等群体性突发治安事件的，发包人和承包人应立即向当地政府报告。发包人和承包人应积极协助当地有关部门采取措施平息事态，防止事态扩大，尽量避免人员伤亡和财产损失。</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6.1.5 文明施工</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承包人在工程施工期间，应当采取措施保持施工现场平整，物料堆放整齐。工程所在地有关政府行政管理部门有特殊要求的，按照其要求执行。合同当事人对文明施工有其他要求的，可以在专用合同条款中明确。</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在工程移交之前，承包人应当从施工现场清除承包人的全部工程设备、多余材料、垃圾和各种临时工程，并保持施工现场清洁整齐。经发包人书面同意，承包人可在发包人指定的地点保留承包人履行保修期内的各项义务所需要的材料、施工设备和临时工程。</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6.1.6 安全文明施工费</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安全文明施工费由发包人承担，发包人不得以任何形式扣减该部分费用。因基准日期后合同所适用的法律或政府有关规定发生变化，增加的安全文明施工费由发包人承担。</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经发包人同意采取合同约定以外的安全措施所产生的费用，由发包人承担。未经发包人同意的，如果该措施避免了发包人的损失，则发包人在避免损失的额度内承担该措施费。如果该措施避免了承包人的损失，由承包人承担该措施费。</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除专用合同条款另有约定外，发包人应在开工后28天内预付安全文明施工费总额的50%，其余部分与进度款同期支付。发包人逾期支付安全文明施工费超过7天的，承包人有权向发包人发出要求预付的催告通知，发包人收到通知后7天内仍未支付的，承包人有权暂停施工，并按第16.1.1项〔发包人违约的情形〕执行。</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对安全文明施工费应专款专用，承包人应在财务账目中单独列项备查，不得挪作他用，否则发包人有权责令其限期改正；逾期未改正的，可以责令其暂停施工，由此增加的费用和（或）延误的工期由承包人承担。</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6.1.7 紧急情况处理</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在工程实施期间或缺陷责任期内发生危及工程安全的事件，监理人通知承包人进行抢救，承包人声明无能力或不愿立即执行的，发包人有权雇佣其他人员进行抢救。此类抢救按合同约定属于承包人义务的，由此增加的费用和（或）延误的工期由承包人承担。</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6.1.8 事故处理</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工程施工过程中发生事故的，承包人应立即通知监理人，监理人应立即通知发包人。发包人和承包人应立即组织人员和设备进行紧急抢救和抢修，减少人员伤亡和财产损失，防止事故扩大，并保护事故现场。需要移动现场物品时，应作出标记和书面记录，妥善保管有关证据。发包人和承包人应按国家有关规定，及时如实地向有关部门报告事故发生的情况，以及正在采取的紧急措施等。</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6.1.9 安全生产责任</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6.1.9.1 发包人的安全责任</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发包人应负责赔偿以下各种情况造成的损失：</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（1）工程或工程的任何部分对土地的占用所造成的第三者财产损失；</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（2）由于发包人原因在施工场地及其毗邻地带造成的第三者人身伤亡和财产损失；</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（3）由于发包人原因对承包人、监理人造成的人员人身伤亡和财产损失；</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（4）由于发包人原因造成的发包人自身人员的人身伤害以及财产损失。</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6.1.9.2 承包人的安全责任</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由于承包人原因在施工场地内及其毗邻地带造成的发包人、监理人以及第三者人员伤亡和财产损失，由承包人负责赔偿。</w:t>
      </w:r>
    </w:p>
    <w:p>
      <w:pPr>
        <w:adjustRightInd w:val="0"/>
        <w:spacing w:line="360" w:lineRule="auto"/>
        <w:ind w:firstLine="420" w:firstLineChars="200"/>
        <w:jc w:val="left"/>
        <w:textAlignment w:val="baseline"/>
        <w:rPr>
          <w:rFonts w:cs="宋体"/>
          <w:color w:val="auto"/>
          <w:sz w:val="21"/>
          <w:szCs w:val="21"/>
          <w:highlight w:val="none"/>
        </w:rPr>
      </w:pPr>
      <w:bookmarkStart w:id="1037" w:name="_Toc351203540"/>
      <w:r>
        <w:rPr>
          <w:rFonts w:hint="eastAsia" w:cs="宋体"/>
          <w:color w:val="auto"/>
          <w:sz w:val="21"/>
          <w:szCs w:val="21"/>
          <w:highlight w:val="none"/>
        </w:rPr>
        <w:t>6</w:t>
      </w:r>
      <w:bookmarkStart w:id="1038" w:name="_Toc337558765"/>
      <w:r>
        <w:rPr>
          <w:rFonts w:hint="eastAsia" w:cs="宋体"/>
          <w:color w:val="auto"/>
          <w:sz w:val="21"/>
          <w:szCs w:val="21"/>
          <w:highlight w:val="none"/>
        </w:rPr>
        <w:t>.2 职业健康</w:t>
      </w:r>
      <w:bookmarkEnd w:id="1037"/>
    </w:p>
    <w:bookmarkEnd w:id="1038"/>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6.2.1 劳动保护</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应按照法律规定安排现场施工人员的劳动和休息时间，保障劳动者的休息时间，并支付合理的报酬和费用。承包人应依法为其履行合同所雇用的人员办理必要的证件、许可、保险和注册等，承包人应督促其分包人为分包人所雇用的人员办理必要的证件、许可、保险和注册等。</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应按照法律规定保障现场施工人员的劳动安全，并提供劳动保护,并应按国家有关劳动保护的规定，采取有效的防止粉尘、降低噪声、控制有害气体和保障高温、高寒、高空作业安全等劳动保护措施。承包人雇佣人员在施工中受到伤害的，承包人应立即采取有效措施进行抢救和治疗。</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承包人应按法律规定安排工作时间，保证其雇佣人员享有休息和休假的权利。因工程施工的特殊需要占用休假日或延长工作时间的，应不超过法律规定的限度，并按法律规定给予补休或付酬。</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6.2.2 生活条件</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承包人应为其履行合同所雇用的人员提供必要的膳宿条件和生活环境；承包人应采取有效措施预防传染病，保证施工人员的健康，并定期对施工现场、施工人员生活基地和工程进行防疫和卫生的专业检查和处理, 在远离城镇的施工场地，还应配备必要的伤病防治和急救的医务人员与医疗设施。</w:t>
      </w:r>
    </w:p>
    <w:p>
      <w:pPr>
        <w:adjustRightInd w:val="0"/>
        <w:spacing w:line="360" w:lineRule="auto"/>
        <w:ind w:firstLine="420" w:firstLineChars="200"/>
        <w:jc w:val="left"/>
        <w:textAlignment w:val="baseline"/>
        <w:rPr>
          <w:rFonts w:cs="宋体"/>
          <w:color w:val="auto"/>
          <w:sz w:val="21"/>
          <w:szCs w:val="21"/>
          <w:highlight w:val="none"/>
        </w:rPr>
      </w:pPr>
      <w:bookmarkStart w:id="1039" w:name="_Toc351203541"/>
      <w:r>
        <w:rPr>
          <w:rFonts w:hint="eastAsia" w:cs="宋体"/>
          <w:color w:val="auto"/>
          <w:sz w:val="21"/>
          <w:szCs w:val="21"/>
          <w:highlight w:val="none"/>
        </w:rPr>
        <w:t>6</w:t>
      </w:r>
      <w:bookmarkStart w:id="1040" w:name="_Toc337558766"/>
      <w:r>
        <w:rPr>
          <w:rFonts w:hint="eastAsia" w:cs="宋体"/>
          <w:color w:val="auto"/>
          <w:sz w:val="21"/>
          <w:szCs w:val="21"/>
          <w:highlight w:val="none"/>
        </w:rPr>
        <w:t>.3 环境保护</w:t>
      </w:r>
      <w:bookmarkEnd w:id="1039"/>
    </w:p>
    <w:bookmarkEnd w:id="1040"/>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承包人应在施工组织设计中列明环境保护的具体措施。在合同履行期间，承包人应采取合理措施保护施工现场环境。对施工作业过程中可能引起的大气、水、噪音以及固体废物污染采取具体可行的防范措施。</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承包人应当承担因其原因引起的环境污染侵权损害赔偿责任，因上述环境污染引起纠纷而导致暂停施工的，由此增加的费用和（或）延误的工期由承包人承担。</w:t>
      </w:r>
    </w:p>
    <w:p>
      <w:pPr>
        <w:keepNext/>
        <w:keepLines/>
        <w:numPr>
          <w:ilvl w:val="0"/>
          <w:numId w:val="2"/>
        </w:numPr>
        <w:tabs>
          <w:tab w:val="left" w:pos="425"/>
        </w:tabs>
        <w:adjustRightInd w:val="0"/>
        <w:spacing w:before="280" w:after="290" w:line="360" w:lineRule="auto"/>
        <w:ind w:left="425" w:hanging="425"/>
        <w:textAlignment w:val="baseline"/>
        <w:outlineLvl w:val="4"/>
        <w:rPr>
          <w:rFonts w:cs="宋体"/>
          <w:b/>
          <w:bCs/>
          <w:color w:val="auto"/>
          <w:sz w:val="21"/>
          <w:szCs w:val="21"/>
          <w:highlight w:val="none"/>
        </w:rPr>
      </w:pPr>
      <w:bookmarkStart w:id="1041" w:name="_Toc433901056"/>
      <w:bookmarkStart w:id="1042" w:name="_Toc351203542"/>
      <w:bookmarkStart w:id="1043" w:name="_Toc63471451"/>
      <w:bookmarkStart w:id="1044" w:name="_Toc337558767"/>
      <w:r>
        <w:rPr>
          <w:rFonts w:hint="eastAsia" w:cs="宋体"/>
          <w:b/>
          <w:bCs/>
          <w:color w:val="auto"/>
          <w:sz w:val="21"/>
          <w:szCs w:val="21"/>
          <w:highlight w:val="none"/>
        </w:rPr>
        <w:t>工期和进度</w:t>
      </w:r>
      <w:bookmarkEnd w:id="1041"/>
      <w:bookmarkEnd w:id="1042"/>
      <w:bookmarkEnd w:id="1043"/>
    </w:p>
    <w:bookmarkEnd w:id="1044"/>
    <w:p>
      <w:pPr>
        <w:adjustRightInd w:val="0"/>
        <w:spacing w:line="360" w:lineRule="auto"/>
        <w:ind w:firstLine="420" w:firstLineChars="200"/>
        <w:jc w:val="left"/>
        <w:textAlignment w:val="baseline"/>
        <w:rPr>
          <w:rFonts w:cs="宋体"/>
          <w:color w:val="auto"/>
          <w:sz w:val="21"/>
          <w:szCs w:val="21"/>
          <w:highlight w:val="none"/>
        </w:rPr>
      </w:pPr>
      <w:bookmarkStart w:id="1045" w:name="_Toc351203543"/>
      <w:r>
        <w:rPr>
          <w:rFonts w:hint="eastAsia" w:cs="宋体"/>
          <w:color w:val="auto"/>
          <w:sz w:val="21"/>
          <w:szCs w:val="21"/>
          <w:highlight w:val="none"/>
        </w:rPr>
        <w:t>7</w:t>
      </w:r>
      <w:bookmarkStart w:id="1046" w:name="_Toc337558768"/>
      <w:bookmarkStart w:id="1047" w:name="_Toc296346567"/>
      <w:bookmarkStart w:id="1048" w:name="_Toc296503066"/>
      <w:r>
        <w:rPr>
          <w:rFonts w:hint="eastAsia" w:cs="宋体"/>
          <w:color w:val="auto"/>
          <w:sz w:val="21"/>
          <w:szCs w:val="21"/>
          <w:highlight w:val="none"/>
        </w:rPr>
        <w:t>.1施工组织设计</w:t>
      </w:r>
      <w:bookmarkEnd w:id="1045"/>
    </w:p>
    <w:bookmarkEnd w:id="1046"/>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7.1.1 施工组织设计的内容</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施工组织设计应包含以下内容：</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 xml:space="preserve">（1）施工方案； </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（2）施工现场平面布置图；</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 xml:space="preserve">（3）施工进度计划和保证措施； </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（4）劳动力及材料供应计划；</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（5）施工机械设备的选用；</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（6）质量保证体系及措施；</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（7）安全生产、文明施工措施；</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（8）环境保护、成本控制措施；</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（9）合同当事人约定的其他内容。</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7.1.2 施工组织设计的提交和修改</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除专用合同条款另有约定外，承包人应在合同签订后14天内，但至迟不得晚于第7.3.2项〔开工通知〕载明的开工日期前7天，向监理人提交详细的施工组织设计，并由监理人报送发包人。除专用合同条款另有约定外，发包人和监理人应在监理人收到施工组织设计后7天内确认或提出修改意见。对发包人和监理人提出的合理意见和要求，承包人应自费修改完善。根据工程实际情况需要修改施工组织设计的，承包人应向发包人和监理人提交修改后的施工组织设计。</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施工进度计划的编制和修改按照第7.2款〔施工进度计划〕执行。</w:t>
      </w:r>
    </w:p>
    <w:p>
      <w:pPr>
        <w:adjustRightInd w:val="0"/>
        <w:spacing w:line="360" w:lineRule="auto"/>
        <w:ind w:firstLine="420" w:firstLineChars="200"/>
        <w:jc w:val="left"/>
        <w:textAlignment w:val="baseline"/>
        <w:rPr>
          <w:rFonts w:cs="宋体"/>
          <w:color w:val="auto"/>
          <w:sz w:val="21"/>
          <w:szCs w:val="21"/>
          <w:highlight w:val="none"/>
        </w:rPr>
      </w:pPr>
      <w:bookmarkStart w:id="1049" w:name="_Toc351203544"/>
      <w:r>
        <w:rPr>
          <w:rFonts w:hint="eastAsia" w:cs="宋体"/>
          <w:color w:val="auto"/>
          <w:sz w:val="21"/>
          <w:szCs w:val="21"/>
          <w:highlight w:val="none"/>
        </w:rPr>
        <w:t>7</w:t>
      </w:r>
      <w:bookmarkStart w:id="1050" w:name="_Toc337558769"/>
      <w:r>
        <w:rPr>
          <w:rFonts w:hint="eastAsia" w:cs="宋体"/>
          <w:color w:val="auto"/>
          <w:sz w:val="21"/>
          <w:szCs w:val="21"/>
          <w:highlight w:val="none"/>
        </w:rPr>
        <w:t>.2 施工进度计划</w:t>
      </w:r>
      <w:bookmarkEnd w:id="1049"/>
    </w:p>
    <w:bookmarkEnd w:id="1050"/>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7.2.1 施工进度计划的编制</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应按照第7.1款〔施工组织设计〕约定提交详细的施工进度计划，施工进度计划的编制应当符合国家法律规定和一般工程实践惯例，施工进度计划经发包人批准后实施。施工进度计划是控制工程进度的依据，发包人和监理人有权按照施工进度计划检查工程进度情况。</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7.2.2 施工进度计划的修订</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施工进度计划不符合合同要求或与工程的实际进度不一致的，承包人应向监理人提交修订的施工进度计划，并附具有关措施和相关资料，由监理人报送发包人。除专用合同条款另有约定外，发包人和监理人应在收到修订的施工进度计划后7天内完成审核和批准或提出修改意见。发包人和监理人对承包人提交的施工进度计划的确认，不能减轻或免除承包人根据法律规定和合同约定应承担的任何责任或义务。</w:t>
      </w:r>
    </w:p>
    <w:p>
      <w:pPr>
        <w:adjustRightInd w:val="0"/>
        <w:spacing w:line="360" w:lineRule="auto"/>
        <w:ind w:firstLine="420" w:firstLineChars="200"/>
        <w:jc w:val="left"/>
        <w:textAlignment w:val="baseline"/>
        <w:rPr>
          <w:rFonts w:cs="宋体"/>
          <w:color w:val="auto"/>
          <w:sz w:val="21"/>
          <w:szCs w:val="21"/>
          <w:highlight w:val="none"/>
        </w:rPr>
      </w:pPr>
      <w:bookmarkStart w:id="1051" w:name="_Toc351203545"/>
      <w:r>
        <w:rPr>
          <w:rFonts w:hint="eastAsia" w:cs="宋体"/>
          <w:color w:val="auto"/>
          <w:sz w:val="21"/>
          <w:szCs w:val="21"/>
          <w:highlight w:val="none"/>
        </w:rPr>
        <w:t>7</w:t>
      </w:r>
      <w:bookmarkStart w:id="1052" w:name="_Toc337558770"/>
      <w:r>
        <w:rPr>
          <w:rFonts w:hint="eastAsia" w:cs="宋体"/>
          <w:color w:val="auto"/>
          <w:sz w:val="21"/>
          <w:szCs w:val="21"/>
          <w:highlight w:val="none"/>
        </w:rPr>
        <w:t>.3 开工</w:t>
      </w:r>
      <w:bookmarkEnd w:id="1051"/>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7.3.1 开工准备</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除专用合同条款另有约定外，承包人应按照第7.1款〔施工组织设计〕约定的期限，向监理人提交工程开工报审表，经监理人报发包人批准后执行。开工报审表应详细说明按施工进度计划正常施工所需的施工道路、临时设施、材料、工程设备、施工设备、施工人员等落实情况以及工程的进度安排。</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除专用合同条款另有约定外，合同当事人应按约定完成开工准备工作。</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7.3.2 开工通知</w:t>
      </w:r>
    </w:p>
    <w:bookmarkEnd w:id="1052"/>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发包人应按照法律规定获得工程施工所需的许可。经发包人同意后，监理人发出的开工通知应符合法律规定。监理人应在计划开工日期7天前向承包人发出开工通知，工期自开工通知中载明的开工日期起算。</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除专用合同条款另有约定外，因发包人原因造成监理人未能在计划开工日期之日起90天内发出开工通知的，承包人有权提出价格调整要求，或者解除合同。发包人应当承担由此增加的费用和（或）延误的工期，并向承包人支付合理利润。</w:t>
      </w:r>
    </w:p>
    <w:p>
      <w:pPr>
        <w:adjustRightInd w:val="0"/>
        <w:spacing w:line="360" w:lineRule="auto"/>
        <w:ind w:firstLine="420" w:firstLineChars="200"/>
        <w:jc w:val="left"/>
        <w:textAlignment w:val="baseline"/>
        <w:rPr>
          <w:rFonts w:cs="宋体"/>
          <w:color w:val="auto"/>
          <w:sz w:val="21"/>
          <w:szCs w:val="21"/>
          <w:highlight w:val="none"/>
        </w:rPr>
      </w:pPr>
      <w:bookmarkStart w:id="1053" w:name="_Toc351203546"/>
      <w:r>
        <w:rPr>
          <w:rFonts w:hint="eastAsia" w:cs="宋体"/>
          <w:color w:val="auto"/>
          <w:sz w:val="21"/>
          <w:szCs w:val="21"/>
          <w:highlight w:val="none"/>
        </w:rPr>
        <w:t>7.4测量放线</w:t>
      </w:r>
      <w:bookmarkEnd w:id="1053"/>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7.4.1 除专用合同条款另有约定外，发包人应在至迟不得晚于第7.3.2项〔开工通知〕载明的开工日期前7天通过监理人向承包人提供测量基准点、基准线和水准点及其书面资料。发包人应对其提供的测量基准点、基准线和水准点及其书面资料的真实性、准确性和完整性负责。</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发现发包人提供的测量基准点、基准线和水准点及其书面资料存在错误或疏漏的，应及时通知监理人。监理人应及时报告发包人，并会同发包人和承包人予以核实。发包人应就如何处理和是否继续施工作出决定，并通知监理人和承包人。</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7.4.2 承包人负责施工过程中的全部施工测量放线工作，并配置具有相应资质的人员、合格的仪器、设备和其他物品。承包人应矫正工程的位置、标高、尺寸或准线中出现的任何差错，并对工程各部分的定位负责。</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施工过程中对施工现场内水准点等测量标志物的保护工作由承包人负责。</w:t>
      </w:r>
      <w:bookmarkStart w:id="1054" w:name="_Toc351203547"/>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7</w:t>
      </w:r>
      <w:bookmarkEnd w:id="1047"/>
      <w:bookmarkEnd w:id="1048"/>
      <w:bookmarkStart w:id="1055" w:name="_Toc296346574"/>
      <w:bookmarkStart w:id="1056" w:name="_Toc337558772"/>
      <w:bookmarkStart w:id="1057" w:name="_Toc296503073"/>
      <w:r>
        <w:rPr>
          <w:rFonts w:hint="eastAsia" w:cs="宋体"/>
          <w:color w:val="auto"/>
          <w:sz w:val="21"/>
          <w:szCs w:val="21"/>
          <w:highlight w:val="none"/>
        </w:rPr>
        <w:t>.5 工期延误</w:t>
      </w:r>
      <w:bookmarkEnd w:id="1054"/>
    </w:p>
    <w:bookmarkEnd w:id="1055"/>
    <w:bookmarkEnd w:id="1056"/>
    <w:bookmarkEnd w:id="1057"/>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7.5.1 因发包人原因导致工期延误</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 xml:space="preserve">在合同履行过程中，因下列情况导致工期延误和（或）费用增加的，由发包人承担由此延误的工期和（或）增加的费用，且发包人应支付承包人合理的利润： </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（1）发包人未能按合同约定提供图纸或所提供图纸不符合合同约定的；</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（2）发包人未能按合同约定提供施工现场、施工条件、基础资料、许可、批准等开工条件的；</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（3）发包人提供的测量基准点、基准线和水准点及其书面资料存在错误或疏漏的；</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（4）发包人未能在计划开工日期之日起7天内同意下达开工通知的；</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（5）发包人未能按合同约定日期支付工程预付款、进度款或竣工结算款的；</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（6）监理人未按合同约定发出指示、批准等文件的；</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（7）专用合同条款中约定的其他情形。</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因发包人原因未按计划开工日期开工的，发包人应按实际开工日期顺延竣工日期，确保实际工期不低于合同约定的工期总日历天数。因发包人原因导致工期延误需要修订施工进度计划的，按照第7.2.2项〔施工进度计划的修订〕执行。</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7.5.2 因承包人原因导致工期延误</w:t>
      </w:r>
    </w:p>
    <w:p>
      <w:pPr>
        <w:adjustRightInd w:val="0"/>
        <w:spacing w:line="360" w:lineRule="auto"/>
        <w:ind w:firstLine="420" w:firstLineChars="200"/>
        <w:jc w:val="left"/>
        <w:textAlignment w:val="baseline"/>
        <w:rPr>
          <w:rFonts w:cs="宋体"/>
          <w:color w:val="auto"/>
          <w:sz w:val="21"/>
          <w:szCs w:val="21"/>
          <w:highlight w:val="none"/>
        </w:rPr>
      </w:pPr>
      <w:bookmarkStart w:id="1058" w:name="_Toc296503076"/>
      <w:bookmarkStart w:id="1059" w:name="_Toc296346577"/>
      <w:r>
        <w:rPr>
          <w:rFonts w:hint="eastAsia" w:cs="宋体"/>
          <w:color w:val="auto"/>
          <w:sz w:val="21"/>
          <w:szCs w:val="21"/>
          <w:highlight w:val="none"/>
        </w:rPr>
        <w:t>因</w:t>
      </w:r>
      <w:bookmarkEnd w:id="1058"/>
      <w:bookmarkEnd w:id="1059"/>
      <w:r>
        <w:rPr>
          <w:rFonts w:hint="eastAsia" w:cs="宋体"/>
          <w:color w:val="auto"/>
          <w:sz w:val="21"/>
          <w:szCs w:val="21"/>
          <w:highlight w:val="none"/>
        </w:rPr>
        <w:t>承包人原因造成工期延误的，可以在专用合同条款中约定逾期竣工违约金的计算方法和逾期竣工违约金的上限。承包人支付逾期竣工违约金后，不免除承包人继续完成工程及修补缺陷的义务。</w:t>
      </w:r>
    </w:p>
    <w:p>
      <w:pPr>
        <w:adjustRightInd w:val="0"/>
        <w:spacing w:line="360" w:lineRule="auto"/>
        <w:ind w:firstLine="420" w:firstLineChars="200"/>
        <w:jc w:val="left"/>
        <w:textAlignment w:val="baseline"/>
        <w:rPr>
          <w:rFonts w:cs="宋体"/>
          <w:color w:val="auto"/>
          <w:sz w:val="21"/>
          <w:szCs w:val="21"/>
          <w:highlight w:val="none"/>
        </w:rPr>
      </w:pPr>
      <w:bookmarkStart w:id="1060" w:name="_Toc351203548"/>
      <w:r>
        <w:rPr>
          <w:rFonts w:hint="eastAsia" w:cs="宋体"/>
          <w:color w:val="auto"/>
          <w:sz w:val="21"/>
          <w:szCs w:val="21"/>
          <w:highlight w:val="none"/>
        </w:rPr>
        <w:t>7</w:t>
      </w:r>
      <w:bookmarkStart w:id="1061" w:name="_Toc296503074"/>
      <w:bookmarkStart w:id="1062" w:name="_Toc296346575"/>
      <w:bookmarkStart w:id="1063" w:name="_Toc337558773"/>
      <w:bookmarkStart w:id="1064" w:name="_Toc296346578"/>
      <w:bookmarkStart w:id="1065" w:name="_Toc296503077"/>
      <w:r>
        <w:rPr>
          <w:rFonts w:hint="eastAsia" w:cs="宋体"/>
          <w:color w:val="auto"/>
          <w:sz w:val="21"/>
          <w:szCs w:val="21"/>
          <w:highlight w:val="none"/>
        </w:rPr>
        <w:t>.6 不利物质条件</w:t>
      </w:r>
      <w:bookmarkEnd w:id="1060"/>
    </w:p>
    <w:bookmarkEnd w:id="1061"/>
    <w:bookmarkEnd w:id="1062"/>
    <w:bookmarkEnd w:id="1063"/>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不利物质条件是指有经验的承包人在施工现场遇到的不可预见的自然物质条件、非自然的物质障碍和污染物，包括地表以下物质条件和水文条件以及专用合同条款约定的其他情形，但不包括气候条件。</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遇到不利物质条件时，应采取克服不利物质条件的合理措施继续施工，并及时通知发包人和监理人。通知应载明不利物质条件的内容以及承包人认为不可预见的理由。监理人经发包人同意后应当及时发出指示，指示构成变更的，按第10条〔变更〕约定执行。承包人因采取合理措施而增加的费用和（或）延误的工期由发包人承担。</w:t>
      </w:r>
    </w:p>
    <w:p>
      <w:pPr>
        <w:adjustRightInd w:val="0"/>
        <w:spacing w:line="360" w:lineRule="auto"/>
        <w:ind w:firstLine="420" w:firstLineChars="200"/>
        <w:jc w:val="left"/>
        <w:textAlignment w:val="baseline"/>
        <w:rPr>
          <w:rFonts w:cs="宋体"/>
          <w:color w:val="auto"/>
          <w:sz w:val="21"/>
          <w:szCs w:val="21"/>
          <w:highlight w:val="none"/>
        </w:rPr>
      </w:pPr>
      <w:bookmarkStart w:id="1066" w:name="_Toc351203549"/>
      <w:r>
        <w:rPr>
          <w:rFonts w:hint="eastAsia" w:cs="宋体"/>
          <w:color w:val="auto"/>
          <w:sz w:val="21"/>
          <w:szCs w:val="21"/>
          <w:highlight w:val="none"/>
        </w:rPr>
        <w:t>7</w:t>
      </w:r>
      <w:bookmarkStart w:id="1067" w:name="_Toc337558774"/>
      <w:bookmarkStart w:id="1068" w:name="_Toc296346576"/>
      <w:bookmarkStart w:id="1069" w:name="_Toc296503075"/>
      <w:r>
        <w:rPr>
          <w:rFonts w:hint="eastAsia" w:cs="宋体"/>
          <w:color w:val="auto"/>
          <w:sz w:val="21"/>
          <w:szCs w:val="21"/>
          <w:highlight w:val="none"/>
        </w:rPr>
        <w:t>.7 异常恶劣的气候条件</w:t>
      </w:r>
      <w:bookmarkEnd w:id="1066"/>
    </w:p>
    <w:bookmarkEnd w:id="1067"/>
    <w:bookmarkEnd w:id="1068"/>
    <w:bookmarkEnd w:id="1069"/>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异常恶劣的气候条件是指在施工过程中遇到的，有经验的承包人在签订合同时不可预见的，对合同履行造成实质性影响的，但尚未构成不可抗力事件的恶劣气候条件。合同当事人可以在专用合同条款中约定异常恶劣的气候条件的具体情形。</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应采取克服异常恶劣的气候条件的合理措施继续施工，并及时通知发包人和监理人。监理人经发包人同意后应当及时发出指示，指示构成变更的，按第10条〔变更〕约定办理。承包人因采取合理措施而增加的费用和（或）延误的工期由发包人承担。</w:t>
      </w:r>
      <w:bookmarkStart w:id="1070" w:name="_Toc351203550"/>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7</w:t>
      </w:r>
      <w:bookmarkStart w:id="1071" w:name="_Toc337558775"/>
      <w:r>
        <w:rPr>
          <w:rFonts w:hint="eastAsia" w:cs="宋体"/>
          <w:color w:val="auto"/>
          <w:sz w:val="21"/>
          <w:szCs w:val="21"/>
          <w:highlight w:val="none"/>
        </w:rPr>
        <w:t>.8 暂停施工</w:t>
      </w:r>
      <w:bookmarkEnd w:id="1070"/>
    </w:p>
    <w:bookmarkEnd w:id="1064"/>
    <w:bookmarkEnd w:id="1065"/>
    <w:bookmarkEnd w:id="1071"/>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7.8.1发包人原因引起的暂停施工</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因发包人原因引起暂停施工的，监理人经发包人同意后，应及时下达暂停施工指示。情况紧急且监理人未及时下达暂停施工指示的，按照第7.8.4项〔紧急情况下的暂停施工〕执行。</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因发包人原因引起的暂停施工，发包人应承担由此增加的费用和（或）延误的工期，并支付承包人合理的利润。</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7.8.2 承包人原因引起的暂停施工</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因承包人原因引起的暂停施工，承包人应承担由此增加的费用和（或）延误的工期，且承包人在收到监理人复工指示后84天内仍未复工的，视为第16.2.1项〔承包人违约的情形〕第（7）目约定的承包人无法继续履行合同的情形。</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7.8.3 指示暂停施工</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监理人认为有必要时，并经发包人批准后，可向承包人作出暂停施工的指示，承包人应按监理人指示暂停施工。</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7.8.4 紧急情况下的暂停施工</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因紧急情况需暂停施工，且监理人未及时下达暂停施工指示的，承包人可先暂停施工，并及时通知监理人。监理人应在接到通知后24小时内发出指示，逾期未发出指示，视为同意承包人暂停施工。监理人不同意承包人暂停施工的，应说明理由，承包人对监理人的答复有异议，按照第20条〔争议解决〕约定处理。</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7.8.5 暂停施工后的复工</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暂停施工后，发包人和承包人应采取有效措施积极消除暂停施工的影响。在工程复工前，监理人会同发包人和承包人确定因暂停施工造成的损失，并确定工程复工条件。当工程具备复工条件时，监理人应经发包人批准后向承包人发出复工通知，承包人应按照复工通知要求复工。</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承包人无故拖延和拒绝复工的，承包人承担由此增加的费用和（或）延误的工期；因发包人原因无法按时复工的，按照第7.5.1项〔因发包人原因导致工期延误〕约定办理。</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7.8.6 暂停施工持续56天以上</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监理人发出暂停施工指示后56天内未向承包人发出复工通知，除该项停工属于第7.8.2项〔承包人原因引起的暂停施工〕及第17条〔不可抗力〕约定的情形外，承包人可向发包人提交书面通知，要求发包人在收到书面通知后28天内准许已暂停施工的部分或全部工程继续施工。发包人逾期不予批准的，则承包人可以通知发包人，将工程受影响的部分视为按第10.1款〔变更的范围〕第（2）项的可取消工作。</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暂停施工持续84天以上不复工的，且不属于第7.8.2项〔承包人原因引起的暂停施工〕及第17条〔不可抗力〕约定的情形，并影响到整个工程以及合同目的实现的，承包人有权提出价格调整要求，或者解除合同。解除合同的，按照第16.1.3项〔因发包人违约解除合同〕执行。</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7.8.7 暂停施工期间的工程照管</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暂停施工期间，承包人应负责妥善照管工程并提供安全保障，由此增加的费用由责任方承担。</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7.8.8 暂停施工的措施</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暂停施工期间，发包人和承包人均应采取必要的措施确保工程质量及安全，防止因暂停施工扩大损失。</w:t>
      </w:r>
    </w:p>
    <w:p>
      <w:pPr>
        <w:adjustRightInd w:val="0"/>
        <w:spacing w:line="360" w:lineRule="auto"/>
        <w:ind w:firstLine="420" w:firstLineChars="200"/>
        <w:jc w:val="left"/>
        <w:textAlignment w:val="baseline"/>
        <w:rPr>
          <w:rFonts w:cs="宋体"/>
          <w:color w:val="auto"/>
          <w:sz w:val="21"/>
          <w:szCs w:val="21"/>
          <w:highlight w:val="none"/>
        </w:rPr>
      </w:pPr>
      <w:bookmarkStart w:id="1072" w:name="_Toc351203551"/>
      <w:r>
        <w:rPr>
          <w:rFonts w:hint="eastAsia" w:cs="宋体"/>
          <w:color w:val="auto"/>
          <w:sz w:val="21"/>
          <w:szCs w:val="21"/>
          <w:highlight w:val="none"/>
        </w:rPr>
        <w:t>7.9提前竣工</w:t>
      </w:r>
      <w:bookmarkEnd w:id="1072"/>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7.9.1 发包人要求承包人提前竣工的，发包人应通过监理人向承包人下达提前竣工指示，承包人应向发包人和监理人提交提前竣工建议书，提前竣工建议书应包括实施的方案、缩短的时间、增加的合同价格等内容。发包人接受该提前竣工建议书的，监理人应与发包人和承包人协商采取加快工程进度的措施，并修订施工进度计划，由此增加的费用由发包人承担。承包人认为提前竣工指示无法执行的，应向监理人和发包人提出书面异议，发包人和监理人应在收到异议后7天内予以答复。任何情况下，发包人不得压缩合理工期。</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7.9.2 发包人要求承包人提前竣工，或承包人提出提前竣工的建议能够给发包人带来效益的，合同当事人可以在专用合同条款中约定提前竣工的奖励。</w:t>
      </w:r>
    </w:p>
    <w:p>
      <w:pPr>
        <w:keepNext/>
        <w:keepLines/>
        <w:numPr>
          <w:ilvl w:val="0"/>
          <w:numId w:val="2"/>
        </w:numPr>
        <w:tabs>
          <w:tab w:val="left" w:pos="425"/>
        </w:tabs>
        <w:adjustRightInd w:val="0"/>
        <w:spacing w:before="280" w:after="290" w:line="360" w:lineRule="auto"/>
        <w:ind w:left="425" w:hanging="425"/>
        <w:textAlignment w:val="baseline"/>
        <w:outlineLvl w:val="4"/>
        <w:rPr>
          <w:rFonts w:cs="宋体"/>
          <w:b/>
          <w:bCs/>
          <w:color w:val="auto"/>
          <w:sz w:val="21"/>
          <w:szCs w:val="21"/>
          <w:highlight w:val="none"/>
        </w:rPr>
      </w:pPr>
      <w:bookmarkStart w:id="1073" w:name="_Toc351203552"/>
      <w:bookmarkStart w:id="1074" w:name="_Toc63471452"/>
      <w:bookmarkStart w:id="1075" w:name="_Toc433901057"/>
      <w:bookmarkStart w:id="1076" w:name="_Toc296346559"/>
      <w:bookmarkStart w:id="1077" w:name="_Toc337558776"/>
      <w:bookmarkStart w:id="1078" w:name="_Toc296503058"/>
      <w:r>
        <w:rPr>
          <w:rFonts w:hint="eastAsia" w:cs="宋体"/>
          <w:b/>
          <w:bCs/>
          <w:color w:val="auto"/>
          <w:sz w:val="21"/>
          <w:szCs w:val="21"/>
          <w:highlight w:val="none"/>
        </w:rPr>
        <w:t>材料与设备</w:t>
      </w:r>
      <w:bookmarkEnd w:id="1073"/>
      <w:bookmarkEnd w:id="1074"/>
      <w:bookmarkEnd w:id="1075"/>
    </w:p>
    <w:bookmarkEnd w:id="1076"/>
    <w:bookmarkEnd w:id="1077"/>
    <w:bookmarkEnd w:id="1078"/>
    <w:p>
      <w:pPr>
        <w:adjustRightInd w:val="0"/>
        <w:spacing w:line="360" w:lineRule="auto"/>
        <w:ind w:firstLine="420" w:firstLineChars="200"/>
        <w:jc w:val="left"/>
        <w:textAlignment w:val="baseline"/>
        <w:rPr>
          <w:rFonts w:cs="宋体"/>
          <w:color w:val="auto"/>
          <w:sz w:val="21"/>
          <w:szCs w:val="21"/>
          <w:highlight w:val="none"/>
        </w:rPr>
      </w:pPr>
      <w:bookmarkStart w:id="1079" w:name="_Toc351203553"/>
      <w:r>
        <w:rPr>
          <w:rFonts w:hint="eastAsia" w:cs="宋体"/>
          <w:color w:val="auto"/>
          <w:sz w:val="21"/>
          <w:szCs w:val="21"/>
          <w:highlight w:val="none"/>
        </w:rPr>
        <w:t>8</w:t>
      </w:r>
      <w:bookmarkStart w:id="1080" w:name="_Toc296346560"/>
      <w:bookmarkStart w:id="1081" w:name="_Toc337558777"/>
      <w:bookmarkStart w:id="1082" w:name="_Toc296503059"/>
      <w:bookmarkStart w:id="1083" w:name="_Toc468936960"/>
      <w:r>
        <w:rPr>
          <w:rFonts w:hint="eastAsia" w:cs="宋体"/>
          <w:color w:val="auto"/>
          <w:sz w:val="21"/>
          <w:szCs w:val="21"/>
          <w:highlight w:val="none"/>
        </w:rPr>
        <w:t>.1发包人供应材料与工程设备</w:t>
      </w:r>
      <w:bookmarkEnd w:id="1079"/>
    </w:p>
    <w:bookmarkEnd w:id="1080"/>
    <w:bookmarkEnd w:id="1081"/>
    <w:bookmarkEnd w:id="1082"/>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发包人自行供应材料、工程设备的，应在签订合同时在专用合同条款的附件《发包人供应材料设备一览表》中明确材料、工程设备的品种、规格、型号、数量、单价、质量等级和送达地点。</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应提前30天通过监理人以书面形式通知发包人供应材料与工程设备进场。承包人按照第7.2.2项〔施工进度计划的修订〕约定修订施工进度计划时，需同时提交经修订后的发包人供应材料与工程设备的进场计划。</w:t>
      </w:r>
    </w:p>
    <w:p>
      <w:pPr>
        <w:adjustRightInd w:val="0"/>
        <w:spacing w:line="360" w:lineRule="auto"/>
        <w:ind w:firstLine="420" w:firstLineChars="200"/>
        <w:jc w:val="left"/>
        <w:textAlignment w:val="baseline"/>
        <w:rPr>
          <w:rFonts w:cs="宋体"/>
          <w:color w:val="auto"/>
          <w:sz w:val="21"/>
          <w:szCs w:val="21"/>
          <w:highlight w:val="none"/>
        </w:rPr>
      </w:pPr>
      <w:bookmarkStart w:id="1084" w:name="_Toc351203554"/>
      <w:r>
        <w:rPr>
          <w:rFonts w:hint="eastAsia" w:cs="宋体"/>
          <w:color w:val="auto"/>
          <w:sz w:val="21"/>
          <w:szCs w:val="21"/>
          <w:highlight w:val="none"/>
        </w:rPr>
        <w:t>8</w:t>
      </w:r>
      <w:bookmarkStart w:id="1085" w:name="_Toc296503060"/>
      <w:bookmarkStart w:id="1086" w:name="_Toc337558778"/>
      <w:bookmarkStart w:id="1087" w:name="_Toc296346561"/>
      <w:r>
        <w:rPr>
          <w:rFonts w:hint="eastAsia" w:cs="宋体"/>
          <w:color w:val="auto"/>
          <w:sz w:val="21"/>
          <w:szCs w:val="21"/>
          <w:highlight w:val="none"/>
        </w:rPr>
        <w:t>.2承包人采购材料与工程设备</w:t>
      </w:r>
      <w:bookmarkEnd w:id="1084"/>
    </w:p>
    <w:bookmarkEnd w:id="1085"/>
    <w:bookmarkEnd w:id="1086"/>
    <w:bookmarkEnd w:id="1087"/>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负责采购材料、工程设备的，应按照设计和有关标准要求采购，并提供产品合格证明及出厂证明，对材料、工程设备质量负责。合同约定由承包人采购的材料、工程设备，发包人不得指定生产厂家或供应商，发包人违反本款约定指定生产厂家或供应商的，承包人有权拒绝，并由发包人承担相应责任。</w:t>
      </w:r>
    </w:p>
    <w:p>
      <w:pPr>
        <w:adjustRightInd w:val="0"/>
        <w:spacing w:line="360" w:lineRule="auto"/>
        <w:ind w:firstLine="420" w:firstLineChars="200"/>
        <w:jc w:val="left"/>
        <w:textAlignment w:val="baseline"/>
        <w:rPr>
          <w:rFonts w:cs="宋体"/>
          <w:color w:val="auto"/>
          <w:sz w:val="21"/>
          <w:szCs w:val="21"/>
          <w:highlight w:val="none"/>
        </w:rPr>
      </w:pPr>
      <w:bookmarkStart w:id="1088" w:name="_Toc351203555"/>
      <w:r>
        <w:rPr>
          <w:rFonts w:hint="eastAsia" w:cs="宋体"/>
          <w:color w:val="auto"/>
          <w:sz w:val="21"/>
          <w:szCs w:val="21"/>
          <w:highlight w:val="none"/>
        </w:rPr>
        <w:t>8</w:t>
      </w:r>
      <w:bookmarkStart w:id="1089" w:name="_Toc296503061"/>
      <w:bookmarkStart w:id="1090" w:name="_Toc337558779"/>
      <w:bookmarkStart w:id="1091" w:name="_Toc296346562"/>
      <w:r>
        <w:rPr>
          <w:rFonts w:hint="eastAsia" w:cs="宋体"/>
          <w:color w:val="auto"/>
          <w:sz w:val="21"/>
          <w:szCs w:val="21"/>
          <w:highlight w:val="none"/>
        </w:rPr>
        <w:t>.3材料与工程设备的接收与拒收</w:t>
      </w:r>
      <w:bookmarkEnd w:id="1088"/>
    </w:p>
    <w:bookmarkEnd w:id="1089"/>
    <w:bookmarkEnd w:id="1090"/>
    <w:bookmarkEnd w:id="1091"/>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8.3.1 发包人应按《发包人供应材料设备一览表》约定的内容提供材料和工程设备，并向承包人提供产品合格证明及出厂证明，对其质量负责。发包人应提前24小时以书面形式通知承包人、监理人材料和工程设备到货时间，承包人负责材料和工程设备的清点、检验和接收。</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发包人提供的材料和工程设备的规格、数量或质量不符合合同约定的，或因发包人原因导致交货日期延误或交货地点变更等情况的，按照第16.1款〔发包人违约〕约定办理。</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8.3.2 承包人采购的材料和工程设备，应保证产品质量合格，承包人应在材料和工程设备到货前24小时通知监理人检验。承</w:t>
      </w:r>
      <w:bookmarkStart w:id="1092" w:name="_Toc250655469"/>
      <w:r>
        <w:rPr>
          <w:rFonts w:hint="eastAsia" w:cs="宋体"/>
          <w:color w:val="auto"/>
          <w:sz w:val="21"/>
          <w:szCs w:val="21"/>
          <w:highlight w:val="none"/>
        </w:rPr>
        <w:t>包人进行永久设备、材料的制造和生产的，应符合相关质量标准，并向监理人提交材料的样本以及有关资料，并应在使用该材料或工程设备之前获得监理人同意。</w:t>
      </w:r>
    </w:p>
    <w:bookmarkEnd w:id="1092"/>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 xml:space="preserve"> 承包人采购的材料和工程设备不符合设计或有关标准要求时，承包人应在监理人要求的合理期限内将不符合设计或有关标准要求的材料、工程设备运出施工现场，并重新采购符合要求的材料、工程设备，由此增加的费用和（或）延误的工期，由承包人承担。</w:t>
      </w:r>
    </w:p>
    <w:p>
      <w:pPr>
        <w:adjustRightInd w:val="0"/>
        <w:spacing w:line="360" w:lineRule="auto"/>
        <w:ind w:firstLine="420" w:firstLineChars="200"/>
        <w:jc w:val="left"/>
        <w:textAlignment w:val="baseline"/>
        <w:rPr>
          <w:rFonts w:cs="宋体"/>
          <w:color w:val="auto"/>
          <w:sz w:val="21"/>
          <w:szCs w:val="21"/>
          <w:highlight w:val="none"/>
        </w:rPr>
      </w:pPr>
      <w:bookmarkStart w:id="1093" w:name="_Toc351203556"/>
      <w:r>
        <w:rPr>
          <w:rFonts w:hint="eastAsia" w:cs="宋体"/>
          <w:color w:val="auto"/>
          <w:sz w:val="21"/>
          <w:szCs w:val="21"/>
          <w:highlight w:val="none"/>
        </w:rPr>
        <w:t>8</w:t>
      </w:r>
      <w:bookmarkStart w:id="1094" w:name="_Toc296503062"/>
      <w:bookmarkStart w:id="1095" w:name="_Toc337558780"/>
      <w:bookmarkStart w:id="1096" w:name="_Toc296346563"/>
      <w:r>
        <w:rPr>
          <w:rFonts w:hint="eastAsia" w:cs="宋体"/>
          <w:color w:val="auto"/>
          <w:sz w:val="21"/>
          <w:szCs w:val="21"/>
          <w:highlight w:val="none"/>
        </w:rPr>
        <w:t>.4材料与工程设备的保管与使用</w:t>
      </w:r>
      <w:bookmarkEnd w:id="1093"/>
    </w:p>
    <w:bookmarkEnd w:id="1094"/>
    <w:bookmarkEnd w:id="1095"/>
    <w:bookmarkEnd w:id="1096"/>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8.4.1 发包人供应材料与工程设备的保管与使用</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发包人供应的材料和工程设备，承包人清点后由承包人妥善保管，保管费用由承包人承担。因承包人原因发生丢失毁损的，由承包人负责赔偿；监理人未通知承包人清点的，承包人不负责材料和工程设备的保管，由此导致丢失毁损的由发包人负责。</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发包人供应的材料和工程设备使用前，由承包人负责检验，检验费用由发包人承担，不合格的不得使用。</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“发包人供应材料设备一览表”的甲供材料数量与发包人实际提供数量、承包人用于施工的实际需求量，三者之间的数量存在差异的，由此引起的损益，按照4.4〔 商定或确定〕办理。</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由设计变更导致的甲供材料数量、型号规格变动，所引起的相关价款结算问题，按照4.4〔 商定或确定〕办理。</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由于发包人甲供材料、工程设备，造成承包人税负加重的，应给予承包人相应补偿，具体金额按照4.4〔 商定或确定〕办理。</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8.4.2 承包人采购材料与工程设备的保管与使用</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采购的材料和工程设备由承包人妥善保管，保管费用由承包人承担。法律规定材料和工程设备使用前必须进行检验或试验的，承包人应按监理人的要求进行检验或试验，检验或试验费用由承包人承担，不合格的不得使用。</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发包人或监理人发现承包人使用不符合设计或有关标准要求的材料和工程设备时，有权要求承包人进行修复、拆除或重新采购，由此增加的费用和（或）延误的工期，由承包人承担。</w:t>
      </w:r>
    </w:p>
    <w:p>
      <w:pPr>
        <w:adjustRightInd w:val="0"/>
        <w:spacing w:line="360" w:lineRule="auto"/>
        <w:ind w:firstLine="420" w:firstLineChars="200"/>
        <w:jc w:val="left"/>
        <w:textAlignment w:val="baseline"/>
        <w:rPr>
          <w:rFonts w:cs="宋体"/>
          <w:color w:val="auto"/>
          <w:sz w:val="21"/>
          <w:szCs w:val="21"/>
          <w:highlight w:val="none"/>
        </w:rPr>
      </w:pPr>
      <w:bookmarkStart w:id="1097" w:name="_Toc351203557"/>
      <w:r>
        <w:rPr>
          <w:rFonts w:hint="eastAsia" w:cs="宋体"/>
          <w:color w:val="auto"/>
          <w:sz w:val="21"/>
          <w:szCs w:val="21"/>
          <w:highlight w:val="none"/>
        </w:rPr>
        <w:t>8.5禁止使用不合格的材料和工程设备</w:t>
      </w:r>
      <w:bookmarkEnd w:id="1097"/>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8.5.1 监理人有权拒绝承包人提供的不合格材料或工程设备，并要求承包人立即进行更换。监理人应在更换后再次进行检查和检验，由此增加的费用和（或）延误的工期由承包人承担。</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8.5.2 监理人发现承包人使用了不合格的材料和工程设备，承包人应按照监理人的指示立即改正，并禁止在工程中继续使用不合格的材料和工程设备。</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8.5.3 发包人提供的材料或工程设备不符合合同要求的，承包人有权拒绝，并可要求发包人更换，由此增加的费用和（或）延误的工期由发包人承担，并支付承包人合理的利润。</w:t>
      </w:r>
    </w:p>
    <w:p>
      <w:pPr>
        <w:adjustRightInd w:val="0"/>
        <w:spacing w:line="360" w:lineRule="auto"/>
        <w:ind w:firstLine="420" w:firstLineChars="200"/>
        <w:jc w:val="left"/>
        <w:textAlignment w:val="baseline"/>
        <w:rPr>
          <w:rFonts w:cs="宋体"/>
          <w:color w:val="auto"/>
          <w:sz w:val="21"/>
          <w:szCs w:val="21"/>
          <w:highlight w:val="none"/>
        </w:rPr>
      </w:pPr>
      <w:bookmarkStart w:id="1098" w:name="_Toc351203558"/>
      <w:r>
        <w:rPr>
          <w:rFonts w:hint="eastAsia" w:cs="宋体"/>
          <w:color w:val="auto"/>
          <w:sz w:val="21"/>
          <w:szCs w:val="21"/>
          <w:highlight w:val="none"/>
        </w:rPr>
        <w:t>8.6 样品</w:t>
      </w:r>
      <w:bookmarkEnd w:id="1098"/>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8.6.1</w:t>
      </w:r>
      <w:r>
        <w:rPr>
          <w:rFonts w:hint="eastAsia" w:cs="宋体"/>
          <w:color w:val="auto"/>
          <w:sz w:val="21"/>
          <w:szCs w:val="21"/>
          <w:highlight w:val="none"/>
        </w:rPr>
        <w:tab/>
      </w:r>
      <w:r>
        <w:rPr>
          <w:rFonts w:hint="eastAsia" w:cs="宋体"/>
          <w:color w:val="auto"/>
          <w:sz w:val="21"/>
          <w:szCs w:val="21"/>
          <w:highlight w:val="none"/>
        </w:rPr>
        <w:t>样品的报送与封存</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需要承包人报送样品的材料或工程设备，样品的种类、名称、规格、数量等要求均应在专用合同条款中约定。样品的报送程序如下：</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承包人应在计划采购前28天向监理人报送样品。承包人报送的样品均应来自供应材料的实际生产地，且提供的样品的规格、数量足以表明材料或工程设备的质量、型号、颜色、表面处理、质地、误差和其他要求的特征。</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承包人每次报送样品时应随附申报单，申报单应载明报送样品的相关数据和资料，并标明每件样品对应的图纸号，预留监理人批复意见栏。监理人应在收到承包人报送的样品后7天向承包人回复经发包人签认的样品审批意见。</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（3）经发包人和监理人审批确认的样品应按约定的方法封样，封存的样品作为检验工程相关部分的标准之一。承包人在施工过程中不得使用与样品不符的材料或工程设备。</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4）发包人和监理人对样品的审批确认仅为确认相关材料或工程设备的特征或用途，不得被理解为对合同的修改或改变，也并不减轻或免除承包人任何的责任和义务。如果封存的样品修改或改变了合同约定，合同当事人应当以书面协议予以确认。</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8.6.2 样品的保管</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经批准的样品应由监理人负责封存于现场，承包人应在现场为保存样品提供适当和固定的场所并保持适当和良好的存储环境条件。</w:t>
      </w:r>
    </w:p>
    <w:p>
      <w:pPr>
        <w:adjustRightInd w:val="0"/>
        <w:spacing w:line="360" w:lineRule="auto"/>
        <w:ind w:firstLine="420" w:firstLineChars="200"/>
        <w:jc w:val="left"/>
        <w:textAlignment w:val="baseline"/>
        <w:rPr>
          <w:rFonts w:cs="宋体"/>
          <w:color w:val="auto"/>
          <w:sz w:val="21"/>
          <w:szCs w:val="21"/>
          <w:highlight w:val="none"/>
        </w:rPr>
      </w:pPr>
      <w:bookmarkStart w:id="1099" w:name="_Toc351203559"/>
      <w:r>
        <w:rPr>
          <w:rFonts w:hint="eastAsia" w:cs="宋体"/>
          <w:color w:val="auto"/>
          <w:sz w:val="21"/>
          <w:szCs w:val="21"/>
          <w:highlight w:val="none"/>
        </w:rPr>
        <w:t>8.7材料与工程设备的替代</w:t>
      </w:r>
      <w:bookmarkEnd w:id="1099"/>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8.7.1 出现下列情况需要使用替代材料和工程设备的，承包人应按照第8.7.2项约定的程序执行：</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（1）基准日期后生效的法律规定禁止使用的；</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（2）发包人要求使用替代品的；</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（3）因其他原因必须使用替代品的。</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8.7.2 承包人应在使用替代材料和工程设备28天前书面通知监理人，并附下列文件：</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（1）被替代的材料和工程设备的名称、数量、规格、型号、品牌、性能、价格及其他相关资料；</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（2）替代品的名称、数量、规格、型号、品牌、性能、价格及其他相关资料；</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（3）替代品与被替代产品之间的差异以及使用替代品可能对工程产生的影响；</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（4）替代品与被替代产品的价格差异；</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（5）使用替代品的理由和原因说明；</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（6）监理人要求的其他文件。</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监理人应在收到通知后14天内向承包人发出经发包人签认的书面指示；监理人逾期发出书面指示的，视为发包人和监理人同意使用替代品。</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8.7.3 发包人认可使用替代材料和工程设备的，替代材料和工程设备的价格，按照已标价工程量清单或预算书相同项目的价格认定；无相同项目的，参考相似项目价格认定；既无相同项目也无相似项目的，按照合理的成本与利润构成的原则，由合同当事人按照第4.4款〔商定或确定〕确定价格。</w:t>
      </w:r>
    </w:p>
    <w:p>
      <w:pPr>
        <w:adjustRightInd w:val="0"/>
        <w:spacing w:line="360" w:lineRule="auto"/>
        <w:ind w:firstLine="420" w:firstLineChars="200"/>
        <w:jc w:val="left"/>
        <w:textAlignment w:val="baseline"/>
        <w:rPr>
          <w:rFonts w:cs="宋体"/>
          <w:color w:val="auto"/>
          <w:sz w:val="21"/>
          <w:szCs w:val="21"/>
          <w:highlight w:val="none"/>
        </w:rPr>
      </w:pPr>
      <w:bookmarkStart w:id="1100" w:name="_Toc351203560"/>
      <w:r>
        <w:rPr>
          <w:rFonts w:hint="eastAsia" w:cs="宋体"/>
          <w:color w:val="auto"/>
          <w:sz w:val="21"/>
          <w:szCs w:val="21"/>
          <w:highlight w:val="none"/>
        </w:rPr>
        <w:t>8.8施工设备和临时设施</w:t>
      </w:r>
      <w:bookmarkEnd w:id="1100"/>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8.8.1 承包人提供的施工设备和临时设施</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承包人应按合同进度计划的要求，及时配置施工设备和修建临时设施。进入施工场地的承包人设备需经监理人核查后才能投入使用。承包人更换合同约定的承包人设备的，应报监理人批准。</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除专用合同条款另有约定外，承包人应自行承担修建临时设施的费用，需要临时占地的，应由发包人办理申请手续并承担相应费用。</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8.8.2发包人提供的施工设备和临时设施</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发包人提供的施工设备或临时设施在专用合同条款中约定。</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8.8.3要求承包人增加或更换施工设备</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承包人使用的施工设备不能满足合同进度计划和（或）质量要求时，监理人有权要求承包人增加或更换施工设备，承包人应及时增加或更换，由此增加的费用和（或）延误的工期由承包人承担。</w:t>
      </w:r>
    </w:p>
    <w:p>
      <w:pPr>
        <w:adjustRightInd w:val="0"/>
        <w:spacing w:line="360" w:lineRule="auto"/>
        <w:ind w:firstLine="420" w:firstLineChars="200"/>
        <w:jc w:val="left"/>
        <w:textAlignment w:val="baseline"/>
        <w:rPr>
          <w:rFonts w:cs="宋体"/>
          <w:color w:val="auto"/>
          <w:sz w:val="21"/>
          <w:szCs w:val="21"/>
          <w:highlight w:val="none"/>
        </w:rPr>
      </w:pPr>
      <w:bookmarkStart w:id="1101" w:name="_Toc351203561"/>
      <w:r>
        <w:rPr>
          <w:rFonts w:hint="eastAsia" w:cs="宋体"/>
          <w:color w:val="auto"/>
          <w:sz w:val="21"/>
          <w:szCs w:val="21"/>
          <w:highlight w:val="none"/>
        </w:rPr>
        <w:t>8</w:t>
      </w:r>
      <w:bookmarkStart w:id="1102" w:name="_Toc337558781"/>
      <w:bookmarkStart w:id="1103" w:name="_Toc296346564"/>
      <w:bookmarkStart w:id="1104" w:name="_Toc296503063"/>
      <w:r>
        <w:rPr>
          <w:rFonts w:hint="eastAsia" w:cs="宋体"/>
          <w:color w:val="auto"/>
          <w:sz w:val="21"/>
          <w:szCs w:val="21"/>
          <w:highlight w:val="none"/>
        </w:rPr>
        <w:t>.9材料与设备专用</w:t>
      </w:r>
      <w:bookmarkEnd w:id="1101"/>
      <w:r>
        <w:rPr>
          <w:rFonts w:hint="eastAsia" w:cs="宋体"/>
          <w:color w:val="auto"/>
          <w:sz w:val="21"/>
          <w:szCs w:val="21"/>
          <w:highlight w:val="none"/>
        </w:rPr>
        <w:t>要求</w:t>
      </w:r>
    </w:p>
    <w:bookmarkEnd w:id="1102"/>
    <w:bookmarkEnd w:id="1103"/>
    <w:bookmarkEnd w:id="1104"/>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承包人运入施工现场的材料、工程设备、施工设备以及在施工场地建设的临时设施，包括备品备件、安装工具与资料，必须专用于工程。未经发包人批准，承包人不得运出施工现场或挪作他用；</w:t>
      </w:r>
      <w:bookmarkEnd w:id="1083"/>
      <w:r>
        <w:rPr>
          <w:rFonts w:hint="eastAsia" w:cs="宋体"/>
          <w:color w:val="auto"/>
          <w:sz w:val="21"/>
          <w:szCs w:val="21"/>
          <w:highlight w:val="none"/>
        </w:rPr>
        <w:t>经发包人批准，承包人可以根据施工进度计划撤走闲置的施工设备和其他物品。</w:t>
      </w:r>
    </w:p>
    <w:p>
      <w:pPr>
        <w:keepNext/>
        <w:keepLines/>
        <w:numPr>
          <w:ilvl w:val="0"/>
          <w:numId w:val="2"/>
        </w:numPr>
        <w:tabs>
          <w:tab w:val="left" w:pos="425"/>
        </w:tabs>
        <w:adjustRightInd w:val="0"/>
        <w:spacing w:before="280" w:after="290" w:line="360" w:lineRule="auto"/>
        <w:ind w:left="425" w:hanging="425"/>
        <w:textAlignment w:val="baseline"/>
        <w:outlineLvl w:val="4"/>
        <w:rPr>
          <w:rFonts w:cs="宋体"/>
          <w:b/>
          <w:bCs/>
          <w:color w:val="auto"/>
          <w:sz w:val="21"/>
          <w:szCs w:val="21"/>
          <w:highlight w:val="none"/>
        </w:rPr>
      </w:pPr>
      <w:bookmarkStart w:id="1105" w:name="_Toc351203562"/>
      <w:bookmarkStart w:id="1106" w:name="_Toc63471453"/>
      <w:bookmarkStart w:id="1107" w:name="_Toc433901058"/>
      <w:bookmarkStart w:id="1108" w:name="_Toc337558782"/>
      <w:bookmarkStart w:id="1109" w:name="_Toc296503083"/>
      <w:bookmarkStart w:id="1110" w:name="_Toc296346584"/>
      <w:r>
        <w:rPr>
          <w:rFonts w:hint="eastAsia" w:cs="宋体"/>
          <w:b/>
          <w:bCs/>
          <w:color w:val="auto"/>
          <w:sz w:val="21"/>
          <w:szCs w:val="21"/>
          <w:highlight w:val="none"/>
        </w:rPr>
        <w:t>试验与检验</w:t>
      </w:r>
      <w:bookmarkEnd w:id="1105"/>
      <w:bookmarkEnd w:id="1106"/>
      <w:bookmarkEnd w:id="1107"/>
    </w:p>
    <w:bookmarkEnd w:id="1108"/>
    <w:p>
      <w:pPr>
        <w:adjustRightInd w:val="0"/>
        <w:spacing w:line="360" w:lineRule="auto"/>
        <w:ind w:firstLine="420" w:firstLineChars="200"/>
        <w:jc w:val="left"/>
        <w:textAlignment w:val="baseline"/>
        <w:rPr>
          <w:rFonts w:cs="宋体"/>
          <w:color w:val="auto"/>
          <w:sz w:val="21"/>
          <w:szCs w:val="21"/>
          <w:highlight w:val="none"/>
        </w:rPr>
      </w:pPr>
      <w:bookmarkStart w:id="1111" w:name="_Toc351203563"/>
      <w:r>
        <w:rPr>
          <w:rFonts w:hint="eastAsia" w:cs="宋体"/>
          <w:color w:val="auto"/>
          <w:sz w:val="21"/>
          <w:szCs w:val="21"/>
          <w:highlight w:val="none"/>
        </w:rPr>
        <w:t>9</w:t>
      </w:r>
      <w:bookmarkStart w:id="1112" w:name="_Toc337558783"/>
      <w:r>
        <w:rPr>
          <w:rFonts w:hint="eastAsia" w:cs="宋体"/>
          <w:color w:val="auto"/>
          <w:sz w:val="21"/>
          <w:szCs w:val="21"/>
          <w:highlight w:val="none"/>
        </w:rPr>
        <w:t>.1试验设备与试验人员</w:t>
      </w:r>
      <w:bookmarkEnd w:id="1111"/>
    </w:p>
    <w:bookmarkEnd w:id="1112"/>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9.1.1 承包人根据合同约定或监理人指示进行的现场材料试验，应由承包人提供试验场所、试验人员、试验设备以及其他必要的试验条件。监理人在必要时可以使用承包人提供的试验场所、试验设备以及其他试验条件，进行以工程质量检查为目的的材料复核试验，承包人应予以协助。</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9.1.2 承包人应按专用合同条款的约定提供试验设备、取样装置、试验场所和试验条件，并向监理人提交相应进场计划表。</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承包人配置的试验设备要符合相应试验规程的要求并经过具有资质的检测单位检测，且在正式使用该试验设备前，需要经过监理人与承包人共同校定。</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9.1.3 承包人应向监理人提交试验人员的名单及其岗位、资格等证明资料，试验人员必须能够熟练进行相应的检测试验，承包人对试验人员的试验程序和试验结果的正确性负责。</w:t>
      </w:r>
    </w:p>
    <w:p>
      <w:pPr>
        <w:adjustRightInd w:val="0"/>
        <w:spacing w:line="360" w:lineRule="auto"/>
        <w:ind w:firstLine="420" w:firstLineChars="200"/>
        <w:jc w:val="left"/>
        <w:textAlignment w:val="baseline"/>
        <w:rPr>
          <w:rFonts w:cs="宋体"/>
          <w:color w:val="auto"/>
          <w:sz w:val="21"/>
          <w:szCs w:val="21"/>
          <w:highlight w:val="none"/>
        </w:rPr>
      </w:pPr>
      <w:bookmarkStart w:id="1113" w:name="_Toc351203564"/>
      <w:r>
        <w:rPr>
          <w:rFonts w:hint="eastAsia" w:cs="宋体"/>
          <w:color w:val="auto"/>
          <w:sz w:val="21"/>
          <w:szCs w:val="21"/>
          <w:highlight w:val="none"/>
        </w:rPr>
        <w:t>9</w:t>
      </w:r>
      <w:bookmarkStart w:id="1114" w:name="_Toc337558784"/>
      <w:r>
        <w:rPr>
          <w:rFonts w:hint="eastAsia" w:cs="宋体"/>
          <w:color w:val="auto"/>
          <w:sz w:val="21"/>
          <w:szCs w:val="21"/>
          <w:highlight w:val="none"/>
        </w:rPr>
        <w:t>.2取样</w:t>
      </w:r>
      <w:bookmarkEnd w:id="1113"/>
    </w:p>
    <w:bookmarkEnd w:id="1114"/>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试验属于自检性质的，承包人可以单独取样。试验属于监理人抽检性质的，可由监理人取样，也可由承包人的试验人员在监理人的监督下取样。</w:t>
      </w:r>
    </w:p>
    <w:p>
      <w:pPr>
        <w:adjustRightInd w:val="0"/>
        <w:spacing w:line="360" w:lineRule="auto"/>
        <w:ind w:firstLine="420" w:firstLineChars="200"/>
        <w:jc w:val="left"/>
        <w:textAlignment w:val="baseline"/>
        <w:rPr>
          <w:rFonts w:cs="宋体"/>
          <w:color w:val="auto"/>
          <w:sz w:val="21"/>
          <w:szCs w:val="21"/>
          <w:highlight w:val="none"/>
        </w:rPr>
      </w:pPr>
      <w:bookmarkStart w:id="1115" w:name="_Toc351203565"/>
      <w:r>
        <w:rPr>
          <w:rFonts w:hint="eastAsia" w:cs="宋体"/>
          <w:color w:val="auto"/>
          <w:sz w:val="21"/>
          <w:szCs w:val="21"/>
          <w:highlight w:val="none"/>
        </w:rPr>
        <w:t>9</w:t>
      </w:r>
      <w:bookmarkStart w:id="1116" w:name="_Toc337558785"/>
      <w:r>
        <w:rPr>
          <w:rFonts w:hint="eastAsia" w:cs="宋体"/>
          <w:color w:val="auto"/>
          <w:sz w:val="21"/>
          <w:szCs w:val="21"/>
          <w:highlight w:val="none"/>
        </w:rPr>
        <w:t>.3材料、工程设备和工程的试验和检验</w:t>
      </w:r>
      <w:bookmarkEnd w:id="1115"/>
    </w:p>
    <w:bookmarkEnd w:id="1116"/>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9.3.1承包人应按合同约定进行材料、工程设备和工程的试验和检验，并为监理人对上述材料、工程设备和工程的质量检查提供必要的试验资料和原始记录。按合同约定应由监理人与承包人共同进行试验和检验的，由承包人负责提供必要的试验资料和原始记录。</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9.3.2试验属于自检性质的，承包人可以单独进行试验。试验属于监理人抽检性质的，监理人可以单独进行试验，也可由承包人与监理人共同进行。承包人对由监理人单独进行的试验结果有异议的，可以申请重新共同进行试验。约定共同进行试验的，监理人未按照约定参加试验的，承包人可自行试验，并将试验结果报送监理人，监理人应承认该试验结果。</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9.3.3监理人对承包人的试验和检验结果有异议的，或为查清承包人试验和检验成果的可靠性要求承包人重新试验和检验的，可由监理人与承包人共同进行。重新试验和检验的结果证明该项材料、工程设备或工程的质量不符合合同要求的，由此增加的费用和（或）延误的工期由承包人承担；重新试验和检验结果证明该项材料、工程设备和工程符合合同要求的，由此增加的费用和（或）延误的工期由发包人承担。</w:t>
      </w:r>
    </w:p>
    <w:p>
      <w:pPr>
        <w:adjustRightInd w:val="0"/>
        <w:spacing w:line="360" w:lineRule="auto"/>
        <w:ind w:firstLine="420" w:firstLineChars="200"/>
        <w:jc w:val="left"/>
        <w:textAlignment w:val="baseline"/>
        <w:rPr>
          <w:rFonts w:cs="宋体"/>
          <w:color w:val="auto"/>
          <w:sz w:val="21"/>
          <w:szCs w:val="21"/>
          <w:highlight w:val="none"/>
        </w:rPr>
      </w:pPr>
      <w:bookmarkStart w:id="1117" w:name="_Toc351203566"/>
      <w:r>
        <w:rPr>
          <w:rFonts w:hint="eastAsia" w:cs="宋体"/>
          <w:color w:val="auto"/>
          <w:sz w:val="21"/>
          <w:szCs w:val="21"/>
          <w:highlight w:val="none"/>
        </w:rPr>
        <w:t>9</w:t>
      </w:r>
      <w:bookmarkStart w:id="1118" w:name="_Toc337558786"/>
      <w:r>
        <w:rPr>
          <w:rFonts w:hint="eastAsia" w:cs="宋体"/>
          <w:color w:val="auto"/>
          <w:sz w:val="21"/>
          <w:szCs w:val="21"/>
          <w:highlight w:val="none"/>
        </w:rPr>
        <w:t>.4现场工艺试验</w:t>
      </w:r>
      <w:bookmarkEnd w:id="1117"/>
    </w:p>
    <w:bookmarkEnd w:id="1118"/>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承包人应按合同约定或监理人指示进行现场工艺试验。对大型的现场工艺试验，监理人认为必要时，承包人应根据监理人提出的工艺试验要求，编制工艺试验措施计划，报送监理人审查。</w:t>
      </w:r>
    </w:p>
    <w:p>
      <w:pPr>
        <w:keepNext/>
        <w:keepLines/>
        <w:numPr>
          <w:ilvl w:val="0"/>
          <w:numId w:val="2"/>
        </w:numPr>
        <w:tabs>
          <w:tab w:val="left" w:pos="425"/>
        </w:tabs>
        <w:adjustRightInd w:val="0"/>
        <w:spacing w:before="280" w:after="290" w:line="360" w:lineRule="auto"/>
        <w:ind w:left="425" w:hanging="425"/>
        <w:textAlignment w:val="baseline"/>
        <w:outlineLvl w:val="4"/>
        <w:rPr>
          <w:rFonts w:cs="宋体"/>
          <w:b/>
          <w:bCs/>
          <w:color w:val="auto"/>
          <w:sz w:val="21"/>
          <w:szCs w:val="21"/>
          <w:highlight w:val="none"/>
        </w:rPr>
      </w:pPr>
      <w:bookmarkStart w:id="1119" w:name="_Toc351203567"/>
      <w:bookmarkStart w:id="1120" w:name="_Toc433901059"/>
      <w:bookmarkStart w:id="1121" w:name="_Toc63471454"/>
      <w:bookmarkStart w:id="1122" w:name="_Toc337558787"/>
      <w:r>
        <w:rPr>
          <w:rFonts w:hint="eastAsia" w:cs="宋体"/>
          <w:b/>
          <w:bCs/>
          <w:color w:val="auto"/>
          <w:sz w:val="21"/>
          <w:szCs w:val="21"/>
          <w:highlight w:val="none"/>
        </w:rPr>
        <w:t>变更</w:t>
      </w:r>
      <w:bookmarkEnd w:id="1109"/>
      <w:bookmarkEnd w:id="1110"/>
      <w:bookmarkEnd w:id="1119"/>
      <w:bookmarkEnd w:id="1120"/>
      <w:bookmarkEnd w:id="1121"/>
    </w:p>
    <w:bookmarkEnd w:id="1122"/>
    <w:p>
      <w:pPr>
        <w:adjustRightInd w:val="0"/>
        <w:spacing w:line="360" w:lineRule="auto"/>
        <w:ind w:firstLine="420" w:firstLineChars="200"/>
        <w:jc w:val="left"/>
        <w:textAlignment w:val="baseline"/>
        <w:rPr>
          <w:rFonts w:cs="宋体"/>
          <w:color w:val="auto"/>
          <w:sz w:val="21"/>
          <w:szCs w:val="21"/>
          <w:highlight w:val="none"/>
        </w:rPr>
      </w:pPr>
      <w:bookmarkStart w:id="1123" w:name="_Toc351203568"/>
      <w:r>
        <w:rPr>
          <w:rFonts w:hint="eastAsia" w:cs="宋体"/>
          <w:color w:val="auto"/>
          <w:sz w:val="21"/>
          <w:szCs w:val="21"/>
          <w:highlight w:val="none"/>
        </w:rPr>
        <w:t>1</w:t>
      </w:r>
      <w:bookmarkStart w:id="1124" w:name="_Toc296503084"/>
      <w:bookmarkStart w:id="1125" w:name="_Toc296346585"/>
      <w:bookmarkStart w:id="1126" w:name="_Toc337558788"/>
      <w:r>
        <w:rPr>
          <w:rFonts w:hint="eastAsia" w:cs="宋体"/>
          <w:color w:val="auto"/>
          <w:sz w:val="21"/>
          <w:szCs w:val="21"/>
          <w:highlight w:val="none"/>
        </w:rPr>
        <w:t>0.1变更的范围</w:t>
      </w:r>
      <w:bookmarkEnd w:id="1123"/>
    </w:p>
    <w:bookmarkEnd w:id="1124"/>
    <w:bookmarkEnd w:id="1125"/>
    <w:bookmarkEnd w:id="1126"/>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除专用合同条款另有约定外，合同履行过程中发生以下情形的，应按照本条约定进行变更：</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（1）增加或减少合同中任何工作，或追加额外的工作；</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（2）取消合同中任何工作，但转由他人实施的工作除外；</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（3）改变合同中任何工作的质量标准或其他特性；</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（4）改变工程的基线、标高、位置和尺寸；</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（5）改变工程的时间安排或实施顺序。</w:t>
      </w:r>
    </w:p>
    <w:p>
      <w:pPr>
        <w:adjustRightInd w:val="0"/>
        <w:spacing w:line="360" w:lineRule="auto"/>
        <w:ind w:firstLine="420" w:firstLineChars="200"/>
        <w:jc w:val="left"/>
        <w:textAlignment w:val="baseline"/>
        <w:rPr>
          <w:rFonts w:cs="宋体"/>
          <w:color w:val="auto"/>
          <w:sz w:val="21"/>
          <w:szCs w:val="21"/>
          <w:highlight w:val="none"/>
        </w:rPr>
      </w:pPr>
      <w:bookmarkStart w:id="1127" w:name="_Toc351203569"/>
      <w:r>
        <w:rPr>
          <w:rFonts w:hint="eastAsia" w:cs="宋体"/>
          <w:color w:val="auto"/>
          <w:sz w:val="21"/>
          <w:szCs w:val="21"/>
          <w:highlight w:val="none"/>
        </w:rPr>
        <w:t>1</w:t>
      </w:r>
      <w:bookmarkStart w:id="1128" w:name="_Toc337558789"/>
      <w:bookmarkStart w:id="1129" w:name="_Toc296346586"/>
      <w:bookmarkStart w:id="1130" w:name="_Toc296503085"/>
      <w:r>
        <w:rPr>
          <w:rFonts w:hint="eastAsia" w:cs="宋体"/>
          <w:color w:val="auto"/>
          <w:sz w:val="21"/>
          <w:szCs w:val="21"/>
          <w:highlight w:val="none"/>
        </w:rPr>
        <w:t>0.2变更权</w:t>
      </w:r>
      <w:bookmarkEnd w:id="1127"/>
    </w:p>
    <w:bookmarkEnd w:id="1128"/>
    <w:bookmarkEnd w:id="1129"/>
    <w:bookmarkEnd w:id="1130"/>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发包人和监理人均可以提出变更。变更指示均通过监理人发出，监理人发出变更指示前应征得发包人同意。承包人收到经发包人签认的变更指示后，方可实施变更。未经许可，承包人不得擅自对工程的任何部分进行变更。</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涉及设计变更的，应由设计人提供变更后的图纸和说明。如变更超过原设计标准或批准的建设规模时，发包人应及时办理规划、设计变更等审批手续。</w:t>
      </w:r>
    </w:p>
    <w:p>
      <w:pPr>
        <w:adjustRightInd w:val="0"/>
        <w:spacing w:line="360" w:lineRule="auto"/>
        <w:ind w:firstLine="420" w:firstLineChars="200"/>
        <w:jc w:val="left"/>
        <w:textAlignment w:val="baseline"/>
        <w:rPr>
          <w:rFonts w:cs="宋体"/>
          <w:color w:val="auto"/>
          <w:sz w:val="21"/>
          <w:szCs w:val="21"/>
          <w:highlight w:val="none"/>
        </w:rPr>
      </w:pPr>
      <w:bookmarkStart w:id="1131" w:name="_Toc351203570"/>
      <w:r>
        <w:rPr>
          <w:rFonts w:hint="eastAsia" w:cs="宋体"/>
          <w:color w:val="auto"/>
          <w:sz w:val="21"/>
          <w:szCs w:val="21"/>
          <w:highlight w:val="none"/>
        </w:rPr>
        <w:t>1</w:t>
      </w:r>
      <w:bookmarkStart w:id="1132" w:name="_Toc296346587"/>
      <w:bookmarkStart w:id="1133" w:name="_Toc337558790"/>
      <w:bookmarkStart w:id="1134" w:name="_Toc296503086"/>
      <w:r>
        <w:rPr>
          <w:rFonts w:hint="eastAsia" w:cs="宋体"/>
          <w:color w:val="auto"/>
          <w:sz w:val="21"/>
          <w:szCs w:val="21"/>
          <w:highlight w:val="none"/>
        </w:rPr>
        <w:t>0.3变更程序</w:t>
      </w:r>
      <w:bookmarkEnd w:id="1131"/>
    </w:p>
    <w:bookmarkEnd w:id="1132"/>
    <w:bookmarkEnd w:id="1133"/>
    <w:bookmarkEnd w:id="1134"/>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10.3.1 发包人提出变更</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发包人提出变更的，应通过监理人向承包人发出变更指示，变更指示应说明计划变更的工程范围和变更的内容。</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10.3.2 监理人提出变更建议</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监理人提出变更建议的，需要向发包人以书面形式提出变更计划，说明计划变更工程范围和变更的内容、理由，以及实施该变更对合同价格和工期的影响。发包人同意变更的，由监理人向承包人发出变更指示。发包人不同意变更的，监理人无权擅自发出变更指示。</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10.3.3 变更执行</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收到监理人下达的变更指示后，认为不能执行，应立即提出不能执行该变更指示的理由。承包人认为可以执行变更的，应当书面说明实施该变更指示对合同价格和工期的影响，且合同当事人应当按照第10.4款〔变更估价〕约定确定变更估价。</w:t>
      </w:r>
    </w:p>
    <w:p>
      <w:pPr>
        <w:adjustRightInd w:val="0"/>
        <w:spacing w:line="360" w:lineRule="auto"/>
        <w:ind w:firstLine="420" w:firstLineChars="200"/>
        <w:jc w:val="left"/>
        <w:textAlignment w:val="baseline"/>
        <w:rPr>
          <w:rFonts w:cs="宋体"/>
          <w:color w:val="auto"/>
          <w:sz w:val="21"/>
          <w:szCs w:val="21"/>
          <w:highlight w:val="none"/>
        </w:rPr>
      </w:pPr>
      <w:bookmarkStart w:id="1135" w:name="_Toc351203571"/>
      <w:r>
        <w:rPr>
          <w:rFonts w:hint="eastAsia" w:cs="宋体"/>
          <w:color w:val="auto"/>
          <w:sz w:val="21"/>
          <w:szCs w:val="21"/>
          <w:highlight w:val="none"/>
        </w:rPr>
        <w:t>1</w:t>
      </w:r>
      <w:bookmarkStart w:id="1136" w:name="_Toc296503087"/>
      <w:bookmarkStart w:id="1137" w:name="_Toc337558791"/>
      <w:bookmarkStart w:id="1138" w:name="_Toc296346588"/>
      <w:r>
        <w:rPr>
          <w:rFonts w:hint="eastAsia" w:cs="宋体"/>
          <w:color w:val="auto"/>
          <w:sz w:val="21"/>
          <w:szCs w:val="21"/>
          <w:highlight w:val="none"/>
        </w:rPr>
        <w:t>0.4变更估价</w:t>
      </w:r>
      <w:bookmarkEnd w:id="1135"/>
    </w:p>
    <w:bookmarkEnd w:id="1136"/>
    <w:bookmarkEnd w:id="1137"/>
    <w:bookmarkEnd w:id="1138"/>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10.4.1 变更估价原则</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因变更引起工程量变化或项目特征变化的，其工程量按照12.3.1〔计量原则〕确定，除专用合同条款另有约定外，综合单价按照下列方式确定：</w:t>
      </w:r>
    </w:p>
    <w:p>
      <w:pPr>
        <w:adjustRightInd w:val="0"/>
        <w:spacing w:line="360" w:lineRule="auto"/>
        <w:ind w:left="400"/>
        <w:jc w:val="left"/>
        <w:textAlignment w:val="baseline"/>
        <w:rPr>
          <w:rFonts w:cs="宋体"/>
          <w:color w:val="auto"/>
          <w:sz w:val="21"/>
          <w:szCs w:val="21"/>
          <w:highlight w:val="none"/>
        </w:rPr>
      </w:pPr>
      <w:r>
        <w:rPr>
          <w:rFonts w:hint="eastAsia" w:cs="宋体"/>
          <w:color w:val="auto"/>
          <w:sz w:val="21"/>
          <w:szCs w:val="21"/>
          <w:highlight w:val="none"/>
        </w:rPr>
        <w:t>10.4.1.1已标价工程量清单或预算书有相同项目的:</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（1）承包人的综合单价与招标控制价中相应综合单价的偏差高于10%或低于20%的，比较承包人的综合单价与发包人的相应综合单价，增加的工程量执行较低单价，减少的工程量执行较高单价。</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（2）承包人的综合单价与招标控制价中相应综合单价的偏差不高于10%且不低于20%的，执行承包人的相同项目综合单价。</w:t>
      </w:r>
    </w:p>
    <w:p>
      <w:pPr>
        <w:adjustRightInd w:val="0"/>
        <w:spacing w:line="360" w:lineRule="auto"/>
        <w:ind w:firstLine="420" w:firstLineChars="200"/>
        <w:jc w:val="left"/>
        <w:textAlignment w:val="baseline"/>
        <w:rPr>
          <w:rFonts w:cs="宋体"/>
          <w:color w:val="auto"/>
          <w:sz w:val="21"/>
          <w:szCs w:val="21"/>
          <w:highlight w:val="none"/>
        </w:rPr>
      </w:pPr>
      <w:r>
        <w:rPr>
          <w:rFonts w:cs="宋体"/>
          <w:color w:val="auto"/>
          <w:sz w:val="21"/>
          <w:szCs w:val="21"/>
          <w:highlight w:val="none"/>
        </w:rPr>
        <w:t>（</w:t>
      </w:r>
      <w:r>
        <w:rPr>
          <w:rFonts w:hint="eastAsia" w:cs="宋体"/>
          <w:color w:val="auto"/>
          <w:sz w:val="21"/>
          <w:szCs w:val="21"/>
          <w:highlight w:val="none"/>
        </w:rPr>
        <w:t>3</w:t>
      </w:r>
      <w:r>
        <w:rPr>
          <w:rFonts w:cs="宋体"/>
          <w:color w:val="auto"/>
          <w:sz w:val="21"/>
          <w:szCs w:val="21"/>
          <w:highlight w:val="none"/>
        </w:rPr>
        <w:t>）变更导致实际完成的工程量与已标价工程量清单或预算书中列明的该项目工程量变化幅度超过15%的，且合同中任何一方提出执行合同单价不合理，增加或减少后剩余部分的工程量，按照</w:t>
      </w:r>
      <w:r>
        <w:rPr>
          <w:rFonts w:hint="eastAsia" w:cs="宋体"/>
          <w:color w:val="auto"/>
          <w:sz w:val="21"/>
          <w:szCs w:val="21"/>
          <w:highlight w:val="none"/>
        </w:rPr>
        <w:t>10.4.1.2</w:t>
      </w:r>
      <w:r>
        <w:rPr>
          <w:rFonts w:cs="宋体"/>
          <w:color w:val="auto"/>
          <w:sz w:val="21"/>
          <w:szCs w:val="21"/>
          <w:highlight w:val="none"/>
        </w:rPr>
        <w:t>重新确定综合单价。其中增加部分的工程量的综合单价应予调低，减少后剩余部分的工程量的综合单价应予调高，否则执行合同单价。</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前述综合单价的偏差值，因发包人原因导致变化的，按照有利于承包人的原则调整工程价款。</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10.4.1.2已标价工程量清单或预算书无相同项目的:</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（1）现行计价定额能够满足计价要求的，按照专用合同条款约定的现行计价定额规定计价，参与下浮。</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（2）现行计价定额缺项的，按照市场询价方式协商定价，不参与下浮。</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10.4.2变更估价程序</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应在收到变更指示后14天内，向监理人提交变更估价申请。监理人应在收到承包人提交的变更估价申请后7天内审查完毕并报送发包人，监理人对变更估价申请有异议，通知承包人修改后重新提交。发包人应在承包人提交变更估价申请后14天内审批完毕。发包人逾期未完成审批或未提出异议的，视为认可承包人提交的变更估价申请。</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因变更引起的价格调整应计入最近一期的进度款中支付。</w:t>
      </w:r>
    </w:p>
    <w:p>
      <w:pPr>
        <w:adjustRightInd w:val="0"/>
        <w:spacing w:line="360" w:lineRule="auto"/>
        <w:ind w:firstLine="420" w:firstLineChars="200"/>
        <w:jc w:val="left"/>
        <w:textAlignment w:val="baseline"/>
        <w:rPr>
          <w:rFonts w:cs="宋体"/>
          <w:color w:val="auto"/>
          <w:sz w:val="21"/>
          <w:szCs w:val="21"/>
          <w:highlight w:val="none"/>
        </w:rPr>
      </w:pPr>
      <w:bookmarkStart w:id="1139" w:name="_Toc351203572"/>
      <w:r>
        <w:rPr>
          <w:rFonts w:hint="eastAsia" w:cs="宋体"/>
          <w:color w:val="auto"/>
          <w:sz w:val="21"/>
          <w:szCs w:val="21"/>
          <w:highlight w:val="none"/>
        </w:rPr>
        <w:t>1</w:t>
      </w:r>
      <w:bookmarkStart w:id="1140" w:name="_Toc296503094"/>
      <w:bookmarkStart w:id="1141" w:name="_Toc296346595"/>
      <w:bookmarkStart w:id="1142" w:name="_Toc337558792"/>
      <w:r>
        <w:rPr>
          <w:rFonts w:hint="eastAsia" w:cs="宋体"/>
          <w:color w:val="auto"/>
          <w:sz w:val="21"/>
          <w:szCs w:val="21"/>
          <w:highlight w:val="none"/>
        </w:rPr>
        <w:t>0.5承包人的合理化建议</w:t>
      </w:r>
      <w:bookmarkEnd w:id="1139"/>
    </w:p>
    <w:bookmarkEnd w:id="1140"/>
    <w:bookmarkEnd w:id="1141"/>
    <w:bookmarkEnd w:id="1142"/>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承包人提出合理化建议的，应向监理人提交合理化建议说明，说明建议的内容和理由，以及实施该建议对合同价格和工期的影响。</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除专用合同条款另有约定外，监理人应在收到承包人提交的合理化建议后7天内审查完毕并报送发包人，发现其中存在技术上的缺陷，应通知承包人修改。发包人应在收到监理人报送的合理化建议后7天内审批完毕。合理化建议经发包人批准的，监理人应及时发出变更指示，由此引起的合同价格调整按照第10.4款〔变更估价〕约定执行。发包人不同意变更的，监理人应书面通知承包人。</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合理化建议降低了合同价格或者提高了工程经济效益的，发包人可对承包人给予奖励，奖励的方法和金额在专用合同条款中约定。</w:t>
      </w:r>
    </w:p>
    <w:p>
      <w:pPr>
        <w:adjustRightInd w:val="0"/>
        <w:spacing w:line="360" w:lineRule="auto"/>
        <w:ind w:firstLine="420" w:firstLineChars="200"/>
        <w:jc w:val="left"/>
        <w:textAlignment w:val="baseline"/>
        <w:rPr>
          <w:rFonts w:cs="宋体"/>
          <w:color w:val="auto"/>
          <w:sz w:val="21"/>
          <w:szCs w:val="21"/>
          <w:highlight w:val="none"/>
        </w:rPr>
      </w:pPr>
      <w:bookmarkStart w:id="1143" w:name="_Toc351203573"/>
      <w:r>
        <w:rPr>
          <w:rFonts w:hint="eastAsia" w:cs="宋体"/>
          <w:color w:val="auto"/>
          <w:sz w:val="21"/>
          <w:szCs w:val="21"/>
          <w:highlight w:val="none"/>
        </w:rPr>
        <w:t>1</w:t>
      </w:r>
      <w:bookmarkStart w:id="1144" w:name="_Toc337558793"/>
      <w:r>
        <w:rPr>
          <w:rFonts w:hint="eastAsia" w:cs="宋体"/>
          <w:color w:val="auto"/>
          <w:sz w:val="21"/>
          <w:szCs w:val="21"/>
          <w:highlight w:val="none"/>
        </w:rPr>
        <w:t>0.6变更引起的工期调整</w:t>
      </w:r>
      <w:bookmarkEnd w:id="1143"/>
      <w:r>
        <w:rPr>
          <w:rFonts w:hint="eastAsia" w:cs="宋体"/>
          <w:color w:val="auto"/>
          <w:sz w:val="21"/>
          <w:szCs w:val="21"/>
          <w:highlight w:val="none"/>
        </w:rPr>
        <w:t xml:space="preserve"> </w:t>
      </w:r>
      <w:bookmarkEnd w:id="1144"/>
      <w:r>
        <w:rPr>
          <w:rFonts w:hint="eastAsia" w:cs="宋体"/>
          <w:color w:val="auto"/>
          <w:sz w:val="21"/>
          <w:szCs w:val="21"/>
          <w:highlight w:val="none"/>
        </w:rPr>
        <w:t xml:space="preserve">  </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因变更引起工期变化的，合同当事人均可要求调整合同工期，由合同当事人按照第4.4款〔商定或确定〕并参考工程所在地的工期定额标准确定增减工期天数。</w:t>
      </w:r>
    </w:p>
    <w:p>
      <w:pPr>
        <w:adjustRightInd w:val="0"/>
        <w:spacing w:line="360" w:lineRule="auto"/>
        <w:ind w:firstLine="420" w:firstLineChars="200"/>
        <w:jc w:val="left"/>
        <w:textAlignment w:val="baseline"/>
        <w:rPr>
          <w:rFonts w:cs="宋体"/>
          <w:color w:val="auto"/>
          <w:sz w:val="21"/>
          <w:szCs w:val="21"/>
          <w:highlight w:val="none"/>
        </w:rPr>
      </w:pPr>
      <w:bookmarkStart w:id="1145" w:name="_Toc351203574"/>
      <w:r>
        <w:rPr>
          <w:rFonts w:hint="eastAsia" w:cs="宋体"/>
          <w:color w:val="auto"/>
          <w:sz w:val="21"/>
          <w:szCs w:val="21"/>
          <w:highlight w:val="none"/>
        </w:rPr>
        <w:t>10.7暂估价</w:t>
      </w:r>
      <w:bookmarkEnd w:id="1145"/>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暂估价专业分包工程、服务的明细由合同当事人在专用合同条款中约定。</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10.7.1 依法必须招标的暂估价项目</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（1）依法必须招标的暂估价项目，除专用合同另有约定外，按照下列方式确定分包人：</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第1种方式：对于依法必须招标的暂估价项目，由承包人招标，对该暂估价项目的确认和批准按照以下约定执行：</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a）承包人应当根据施工进度计划，在招标工作启动前14天将招标方案通过监理人报送发包人审查，发包人应当在收到承包人报送的招标方案后7天内批准或提出修改意见。承包人应当按照经过发包人批准的招标方案开展招标工作；</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b）承包人应当根据施工进度计划，提前14天将招标文件通过监理人报送发包人审批，发包人应当在收到承包人报送的相关文件后7天内完成审批或提出修改意见；发包人有权确定招标控制价并按照法律规定参加评标；</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c）承包人与分包人在签订暂估价合同前，应当提前7天将确定的中标候选分包人的资料报送发包人，发包人应在收到资料后3天内与承包人共同确定中标人；承包人应当在签订合同后7天内，将暂估价合同副本报送发包人留存。</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第2种方式：对于依法必须招标的暂估价项目，由发包人和承包人共同招标确定暂估价分包人的，承包人应按照施工进度计划，在招标工作启动前14天通知发包人，并提交暂估价招标方案和工作分工。发包人应在收到后7天内确认。确定中标人后，由发包人、承包人与中标人共同签订暂估价合同。</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依法必须招标的专业工程暂估价的结算价，按分包人不含税中标价，并计取企业管理费、利润、总价措施项目费以及税金计算。其中，企业管理费、利润、总价措施项目费合计费率在6%-10%之间由专用合同条款约定。分包人中标价中包含工程设备的，工程设备不参与计取企业管理费、利润、总价措施项目费。</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10.7.2不属于依法必须招标的暂估价项目</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 xml:space="preserve">除专用合同条款另有约定外，对于不属于依法必须招标的暂估价项目，采取以下第1种方式确定，其结算价按10.4.1 变更估价原则进行结算： </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第1种方式：对于不属于依法必须招标的暂估价项目，按本项约定确认和批准：</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承包人应根据施工进度计划，在签订暂估价项目的采购合同、分包合同前28天向监理人提出书面申请。监理人应当在收到申请后3天内报送发包人，发包人应当在收到申请后14天内给予批准或提出修改意见，发包人逾期未予批准或提出修改意见的，视为该书面申请已获得同意；</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（2）发包人认为承包人确定的供应商、分包人无法满足工程质量或合同要求的，发包人可以要求承包人重新确定暂估价项目的分包人;</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（3）承包人应当在签订暂估价合同后7天内，将暂估价合同副本报送发包人留存。</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第2种方式：承包人按照第10.7.1项〔依法必须招标的暂估价项目〕约定的第1种方式确定暂估价项目。</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第3种方式：承包人直接实施的暂估价项目</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承包人具备实施暂估价项目的资格和条件的，经发包人和承包人协商一致后，可由承包人自行实施暂估价项目，合同当事人可以在专用合同条款约定具体事项。</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10.7.3 因发包人原因导致暂估价合同订立和履行迟延的，由此增加的费用和（或）延误的工期由发包人承担，并支付承包人合理的利润。因承包人原因导致暂估价合同订立和履行迟延的，由此增加的费用和（或）延误的工期由承包人承担。</w:t>
      </w:r>
    </w:p>
    <w:p>
      <w:pPr>
        <w:adjustRightInd w:val="0"/>
        <w:spacing w:line="360" w:lineRule="auto"/>
        <w:ind w:firstLine="420" w:firstLineChars="200"/>
        <w:jc w:val="left"/>
        <w:textAlignment w:val="baseline"/>
        <w:rPr>
          <w:rFonts w:cs="宋体"/>
          <w:color w:val="auto"/>
          <w:sz w:val="21"/>
          <w:szCs w:val="21"/>
          <w:highlight w:val="none"/>
        </w:rPr>
      </w:pPr>
      <w:bookmarkStart w:id="1146" w:name="_Toc351203575"/>
      <w:r>
        <w:rPr>
          <w:rFonts w:hint="eastAsia" w:cs="宋体"/>
          <w:color w:val="auto"/>
          <w:sz w:val="21"/>
          <w:szCs w:val="21"/>
          <w:highlight w:val="none"/>
        </w:rPr>
        <w:t>1</w:t>
      </w:r>
      <w:bookmarkStart w:id="1147" w:name="_Toc337558794"/>
      <w:bookmarkStart w:id="1148" w:name="_Toc322522561"/>
      <w:bookmarkStart w:id="1149" w:name="_Toc296503090"/>
      <w:bookmarkStart w:id="1150" w:name="_Toc296346591"/>
      <w:r>
        <w:rPr>
          <w:rFonts w:hint="eastAsia" w:cs="宋体"/>
          <w:color w:val="auto"/>
          <w:sz w:val="21"/>
          <w:szCs w:val="21"/>
          <w:highlight w:val="none"/>
        </w:rPr>
        <w:t>0.8暂列金额</w:t>
      </w:r>
      <w:bookmarkEnd w:id="1146"/>
    </w:p>
    <w:bookmarkEnd w:id="1147"/>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暂列金额应按照发包人的要求使用，发包人的要求应通过监理人发出。合同当事人可以在专用合同条款中协商确定有关事项。</w:t>
      </w:r>
    </w:p>
    <w:bookmarkEnd w:id="1148"/>
    <w:bookmarkEnd w:id="1149"/>
    <w:bookmarkEnd w:id="1150"/>
    <w:p>
      <w:pPr>
        <w:keepNext/>
        <w:keepLines/>
        <w:numPr>
          <w:ilvl w:val="0"/>
          <w:numId w:val="2"/>
        </w:numPr>
        <w:tabs>
          <w:tab w:val="left" w:pos="425"/>
        </w:tabs>
        <w:adjustRightInd w:val="0"/>
        <w:spacing w:before="280" w:after="290" w:line="360" w:lineRule="auto"/>
        <w:ind w:left="425" w:hanging="425"/>
        <w:textAlignment w:val="baseline"/>
        <w:outlineLvl w:val="4"/>
        <w:rPr>
          <w:rFonts w:cs="宋体"/>
          <w:b/>
          <w:bCs/>
          <w:color w:val="auto"/>
          <w:sz w:val="21"/>
          <w:szCs w:val="21"/>
          <w:highlight w:val="none"/>
        </w:rPr>
      </w:pPr>
      <w:bookmarkStart w:id="1151" w:name="_Toc351203577"/>
      <w:bookmarkStart w:id="1152" w:name="_Toc63471455"/>
      <w:bookmarkStart w:id="1153" w:name="_Toc433901060"/>
      <w:r>
        <w:rPr>
          <w:rFonts w:hint="eastAsia" w:cs="宋体"/>
          <w:b/>
          <w:bCs/>
          <w:color w:val="auto"/>
          <w:sz w:val="21"/>
          <w:szCs w:val="21"/>
          <w:highlight w:val="none"/>
        </w:rPr>
        <w:t>价格调整</w:t>
      </w:r>
      <w:bookmarkEnd w:id="1151"/>
      <w:bookmarkEnd w:id="1152"/>
      <w:bookmarkEnd w:id="1153"/>
    </w:p>
    <w:p>
      <w:pPr>
        <w:adjustRightInd w:val="0"/>
        <w:spacing w:line="360" w:lineRule="auto"/>
        <w:ind w:firstLine="420" w:firstLineChars="200"/>
        <w:jc w:val="left"/>
        <w:textAlignment w:val="baseline"/>
        <w:rPr>
          <w:rFonts w:cs="宋体"/>
          <w:color w:val="auto"/>
          <w:sz w:val="21"/>
          <w:szCs w:val="21"/>
          <w:highlight w:val="none"/>
        </w:rPr>
      </w:pPr>
      <w:bookmarkStart w:id="1154" w:name="_Toc351203578"/>
      <w:bookmarkStart w:id="1155" w:name="_Toc296346593"/>
      <w:bookmarkStart w:id="1156" w:name="_Toc337558797"/>
      <w:bookmarkStart w:id="1157" w:name="_Toc296503092"/>
      <w:r>
        <w:rPr>
          <w:rFonts w:hint="eastAsia" w:cs="宋体"/>
          <w:color w:val="auto"/>
          <w:sz w:val="21"/>
          <w:szCs w:val="21"/>
          <w:highlight w:val="none"/>
        </w:rPr>
        <w:t>11.1市场价格波动引起的调整</w:t>
      </w:r>
      <w:bookmarkEnd w:id="1154"/>
    </w:p>
    <w:bookmarkEnd w:id="1155"/>
    <w:bookmarkEnd w:id="1156"/>
    <w:bookmarkEnd w:id="1157"/>
    <w:p>
      <w:pPr>
        <w:adjustRightInd w:val="0"/>
        <w:spacing w:line="360" w:lineRule="auto"/>
        <w:ind w:firstLine="420" w:firstLineChars="200"/>
        <w:jc w:val="left"/>
        <w:textAlignment w:val="baseline"/>
        <w:rPr>
          <w:rFonts w:cs="宋体"/>
          <w:bCs/>
          <w:color w:val="auto"/>
          <w:sz w:val="21"/>
          <w:szCs w:val="21"/>
          <w:highlight w:val="none"/>
        </w:rPr>
      </w:pPr>
      <w:r>
        <w:rPr>
          <w:rFonts w:hint="eastAsia" w:cs="宋体"/>
          <w:bCs/>
          <w:color w:val="auto"/>
          <w:sz w:val="21"/>
          <w:szCs w:val="21"/>
          <w:highlight w:val="none"/>
        </w:rPr>
        <w:t>11.1.1人工费价差调整</w:t>
      </w:r>
    </w:p>
    <w:p>
      <w:pPr>
        <w:adjustRightInd w:val="0"/>
        <w:spacing w:line="360" w:lineRule="auto"/>
        <w:ind w:firstLine="420" w:firstLineChars="200"/>
        <w:jc w:val="left"/>
        <w:textAlignment w:val="baseline"/>
        <w:rPr>
          <w:rFonts w:cs="宋体"/>
          <w:bCs/>
          <w:color w:val="auto"/>
          <w:sz w:val="21"/>
          <w:szCs w:val="21"/>
          <w:highlight w:val="none"/>
        </w:rPr>
      </w:pPr>
      <w:r>
        <w:rPr>
          <w:rFonts w:hint="eastAsia" w:cs="宋体"/>
          <w:bCs/>
          <w:color w:val="auto"/>
          <w:sz w:val="21"/>
          <w:szCs w:val="21"/>
          <w:highlight w:val="none"/>
        </w:rPr>
        <w:t>（1）人工费不纳入风险承包范围。合同履行期间，按照建设行政主管部门发布的人工费指数和塔机人工费综合信息价格调整人工费价差，但中标价中的人工费总额与发包人提供的招标控制价（最高投标限价）中的人工费总额的比值大于1.05或小于0.95的除外，因发包人原因导致人工费总额比值产生误差的，按照有利于承包人的方式确定比值。</w:t>
      </w:r>
    </w:p>
    <w:p>
      <w:pPr>
        <w:adjustRightInd w:val="0"/>
        <w:spacing w:line="360" w:lineRule="auto"/>
        <w:ind w:firstLine="420" w:firstLineChars="200"/>
        <w:jc w:val="left"/>
        <w:textAlignment w:val="baseline"/>
        <w:rPr>
          <w:rFonts w:cs="宋体"/>
          <w:bCs/>
          <w:color w:val="auto"/>
          <w:sz w:val="21"/>
          <w:szCs w:val="21"/>
          <w:highlight w:val="none"/>
        </w:rPr>
      </w:pPr>
      <w:r>
        <w:rPr>
          <w:rFonts w:hint="eastAsia" w:cs="宋体"/>
          <w:bCs/>
          <w:color w:val="auto"/>
          <w:sz w:val="21"/>
          <w:szCs w:val="21"/>
          <w:highlight w:val="none"/>
        </w:rPr>
        <w:t>（2）人工费价差不参与下浮，不计取总价措施项目费，但应计取企业管理费、利润、规费和税金。</w:t>
      </w:r>
    </w:p>
    <w:p>
      <w:pPr>
        <w:adjustRightInd w:val="0"/>
        <w:spacing w:line="360" w:lineRule="auto"/>
        <w:ind w:firstLine="420" w:firstLineChars="200"/>
        <w:jc w:val="left"/>
        <w:textAlignment w:val="baseline"/>
        <w:rPr>
          <w:rFonts w:cs="宋体"/>
          <w:bCs/>
          <w:strike/>
          <w:color w:val="auto"/>
          <w:sz w:val="21"/>
          <w:szCs w:val="21"/>
          <w:highlight w:val="none"/>
        </w:rPr>
      </w:pPr>
      <w:r>
        <w:rPr>
          <w:rFonts w:hint="eastAsia" w:cs="宋体"/>
          <w:bCs/>
          <w:color w:val="auto"/>
          <w:sz w:val="21"/>
          <w:szCs w:val="21"/>
          <w:highlight w:val="none"/>
        </w:rPr>
        <w:t>（3）合同履行期间，出现多个人工费指数时，按照人工费指数对应的已完工程量分别调整人工费价差。</w:t>
      </w:r>
    </w:p>
    <w:p>
      <w:pPr>
        <w:adjustRightInd w:val="0"/>
        <w:spacing w:line="360" w:lineRule="auto"/>
        <w:ind w:firstLine="420" w:firstLineChars="200"/>
        <w:jc w:val="left"/>
        <w:textAlignment w:val="baseline"/>
        <w:rPr>
          <w:rFonts w:cs="宋体"/>
          <w:bCs/>
          <w:color w:val="auto"/>
          <w:sz w:val="21"/>
          <w:szCs w:val="21"/>
          <w:highlight w:val="none"/>
        </w:rPr>
      </w:pPr>
      <w:r>
        <w:rPr>
          <w:rFonts w:hint="eastAsia" w:cs="宋体"/>
          <w:bCs/>
          <w:color w:val="auto"/>
          <w:sz w:val="21"/>
          <w:szCs w:val="21"/>
          <w:highlight w:val="none"/>
        </w:rPr>
        <w:t>11.1.2主要材料和设备价差调整</w:t>
      </w:r>
    </w:p>
    <w:p>
      <w:pPr>
        <w:adjustRightInd w:val="0"/>
        <w:spacing w:line="360" w:lineRule="auto"/>
        <w:ind w:firstLine="420" w:firstLineChars="200"/>
        <w:jc w:val="left"/>
        <w:textAlignment w:val="baseline"/>
        <w:rPr>
          <w:rFonts w:cs="宋体"/>
          <w:bCs/>
          <w:color w:val="auto"/>
          <w:sz w:val="21"/>
          <w:szCs w:val="21"/>
          <w:highlight w:val="none"/>
        </w:rPr>
      </w:pPr>
      <w:r>
        <w:rPr>
          <w:rFonts w:hint="eastAsia" w:cs="宋体"/>
          <w:bCs/>
          <w:color w:val="auto"/>
          <w:sz w:val="21"/>
          <w:szCs w:val="21"/>
          <w:highlight w:val="none"/>
        </w:rPr>
        <w:t>（1）主要材料和设备的调差范围（品种）和基准价格见招标控制价中《主要材料和设备项目与价格表》。</w:t>
      </w:r>
    </w:p>
    <w:p>
      <w:pPr>
        <w:adjustRightInd w:val="0"/>
        <w:spacing w:line="360" w:lineRule="auto"/>
        <w:ind w:firstLine="420" w:firstLineChars="200"/>
        <w:jc w:val="left"/>
        <w:textAlignment w:val="baseline"/>
        <w:rPr>
          <w:rFonts w:cs="宋体"/>
          <w:bCs/>
          <w:color w:val="auto"/>
          <w:sz w:val="21"/>
          <w:szCs w:val="21"/>
          <w:highlight w:val="none"/>
        </w:rPr>
      </w:pPr>
      <w:r>
        <w:rPr>
          <w:rFonts w:hint="eastAsia" w:cs="宋体"/>
          <w:bCs/>
          <w:color w:val="auto"/>
          <w:sz w:val="21"/>
          <w:szCs w:val="21"/>
          <w:highlight w:val="none"/>
        </w:rPr>
        <w:t>（2）主要材料和设备单价的风险承包幅度为±5%以内（具体在专用合同条款约定）。合同履行期间，除专用合同条款另有约定外，价格波动超过风险承包幅度的，其价差按下列方式调整：</w:t>
      </w:r>
    </w:p>
    <w:p>
      <w:pPr>
        <w:adjustRightInd w:val="0"/>
        <w:spacing w:line="360" w:lineRule="auto"/>
        <w:ind w:firstLine="420" w:firstLineChars="200"/>
        <w:jc w:val="left"/>
        <w:textAlignment w:val="baseline"/>
        <w:rPr>
          <w:rFonts w:cs="宋体"/>
          <w:bCs/>
          <w:color w:val="auto"/>
          <w:sz w:val="21"/>
          <w:szCs w:val="21"/>
          <w:highlight w:val="none"/>
        </w:rPr>
      </w:pPr>
      <w:r>
        <w:rPr>
          <w:rFonts w:hint="eastAsia" w:cs="宋体"/>
          <w:bCs/>
          <w:color w:val="auto"/>
          <w:sz w:val="21"/>
          <w:szCs w:val="21"/>
          <w:highlight w:val="none"/>
        </w:rPr>
        <w:t>（a）当主要材料和设备的基准价格与基期综合信息价格一致时，风险承包幅度按照报告期综合信息价格除以基期综合信息价格计算，幅度超过专用合同条款约定的，超过风险承包幅度以外的价差据实调整。</w:t>
      </w:r>
    </w:p>
    <w:p>
      <w:pPr>
        <w:adjustRightInd w:val="0"/>
        <w:spacing w:line="360" w:lineRule="auto"/>
        <w:ind w:firstLine="420" w:firstLineChars="200"/>
        <w:jc w:val="left"/>
        <w:textAlignment w:val="baseline"/>
        <w:rPr>
          <w:rFonts w:cs="宋体"/>
          <w:bCs/>
          <w:color w:val="auto"/>
          <w:sz w:val="21"/>
          <w:szCs w:val="21"/>
          <w:highlight w:val="none"/>
        </w:rPr>
      </w:pPr>
      <w:r>
        <w:rPr>
          <w:rFonts w:hint="eastAsia" w:cs="宋体"/>
          <w:bCs/>
          <w:color w:val="auto"/>
          <w:sz w:val="21"/>
          <w:szCs w:val="21"/>
          <w:highlight w:val="none"/>
        </w:rPr>
        <w:t>（b）当主要材料和设备的基准价格与基期综合信息价格不一致时，风险承包幅度按照报告期市场价格除以基准价格计算，幅度超过专用合同条款约定的，超过风险承包幅度以外的价差据实调整。</w:t>
      </w:r>
    </w:p>
    <w:p>
      <w:pPr>
        <w:adjustRightInd w:val="0"/>
        <w:spacing w:line="360" w:lineRule="auto"/>
        <w:ind w:firstLine="420" w:firstLineChars="200"/>
        <w:jc w:val="left"/>
        <w:textAlignment w:val="baseline"/>
        <w:rPr>
          <w:rFonts w:cs="宋体"/>
          <w:bCs/>
          <w:color w:val="auto"/>
          <w:sz w:val="21"/>
          <w:szCs w:val="21"/>
          <w:highlight w:val="none"/>
        </w:rPr>
      </w:pPr>
      <w:r>
        <w:rPr>
          <w:rFonts w:hint="eastAsia" w:cs="宋体"/>
          <w:bCs/>
          <w:color w:val="auto"/>
          <w:sz w:val="21"/>
          <w:szCs w:val="21"/>
          <w:highlight w:val="none"/>
        </w:rPr>
        <w:t>前述基准价格是指由发包人在合同条款中给定的材料、工程设备的价格，该价格原则上按照综合信息价格编制。前述基期综合信息价格指招标控制价编制期综合信息价格。前述报告期综合信息价格指合同履行期间综合信息价格。</w:t>
      </w:r>
    </w:p>
    <w:p>
      <w:pPr>
        <w:adjustRightInd w:val="0"/>
        <w:spacing w:line="360" w:lineRule="auto"/>
        <w:ind w:firstLine="420" w:firstLineChars="200"/>
        <w:jc w:val="left"/>
        <w:textAlignment w:val="baseline"/>
        <w:rPr>
          <w:rFonts w:cs="宋体"/>
          <w:bCs/>
          <w:color w:val="auto"/>
          <w:sz w:val="21"/>
          <w:szCs w:val="21"/>
          <w:highlight w:val="none"/>
        </w:rPr>
      </w:pPr>
      <w:r>
        <w:rPr>
          <w:rFonts w:hint="eastAsia" w:cs="宋体"/>
          <w:bCs/>
          <w:color w:val="auto"/>
          <w:sz w:val="21"/>
          <w:szCs w:val="21"/>
          <w:highlight w:val="none"/>
        </w:rPr>
        <w:t>综合信息价格是指建设行政主管部门或其造价管理机构发布的综合信息价格。</w:t>
      </w:r>
    </w:p>
    <w:p>
      <w:pPr>
        <w:adjustRightInd w:val="0"/>
        <w:spacing w:line="360" w:lineRule="auto"/>
        <w:ind w:firstLine="420" w:firstLineChars="200"/>
        <w:jc w:val="left"/>
        <w:textAlignment w:val="baseline"/>
        <w:rPr>
          <w:rFonts w:cs="宋体"/>
          <w:bCs/>
          <w:color w:val="auto"/>
          <w:sz w:val="21"/>
          <w:szCs w:val="21"/>
          <w:highlight w:val="none"/>
        </w:rPr>
      </w:pPr>
      <w:r>
        <w:rPr>
          <w:rFonts w:hint="eastAsia" w:cs="宋体"/>
          <w:bCs/>
          <w:color w:val="auto"/>
          <w:sz w:val="21"/>
          <w:szCs w:val="21"/>
          <w:highlight w:val="none"/>
        </w:rPr>
        <w:t>（3）主要材料和设备价差不参与下浮，不计取企业管理费、利润、规费，不计取总价措施项目费，只计取税金。</w:t>
      </w:r>
    </w:p>
    <w:p>
      <w:pPr>
        <w:adjustRightInd w:val="0"/>
        <w:spacing w:line="360" w:lineRule="auto"/>
        <w:ind w:firstLine="420" w:firstLineChars="200"/>
        <w:jc w:val="left"/>
        <w:textAlignment w:val="baseline"/>
        <w:rPr>
          <w:rFonts w:cs="宋体"/>
          <w:bCs/>
          <w:color w:val="auto"/>
          <w:sz w:val="21"/>
          <w:szCs w:val="21"/>
          <w:highlight w:val="none"/>
        </w:rPr>
      </w:pPr>
      <w:r>
        <w:rPr>
          <w:rFonts w:hint="eastAsia" w:cs="宋体"/>
          <w:bCs/>
          <w:color w:val="auto"/>
          <w:sz w:val="21"/>
          <w:szCs w:val="21"/>
          <w:highlight w:val="none"/>
        </w:rPr>
        <w:t>（4）主要材料和设备价差调整的数量以及本款第（2）项中的报告期市场价格，承包人在采购前需向发包人申请确认，经发包人确认后作为价差调整依据。发包人在收到承包人申请资料后5天内予以确认，不予确认的视为发包人认可，并作为价差调整依据。承包人未向发包人申请确认，发包人有权不予调整价差，发包人同意的，可以调整价差。</w:t>
      </w:r>
    </w:p>
    <w:p>
      <w:pPr>
        <w:adjustRightInd w:val="0"/>
        <w:spacing w:line="360" w:lineRule="auto"/>
        <w:ind w:firstLine="420" w:firstLineChars="200"/>
        <w:jc w:val="left"/>
        <w:textAlignment w:val="baseline"/>
        <w:rPr>
          <w:rFonts w:cs="宋体"/>
          <w:bCs/>
          <w:color w:val="auto"/>
          <w:sz w:val="21"/>
          <w:szCs w:val="21"/>
          <w:highlight w:val="none"/>
        </w:rPr>
      </w:pPr>
      <w:r>
        <w:rPr>
          <w:rFonts w:hint="eastAsia" w:cs="宋体"/>
          <w:bCs/>
          <w:color w:val="auto"/>
          <w:sz w:val="21"/>
          <w:szCs w:val="21"/>
          <w:highlight w:val="none"/>
        </w:rPr>
        <w:t>11.1.3施工机械使用费价差调整</w:t>
      </w:r>
    </w:p>
    <w:p>
      <w:pPr>
        <w:adjustRightInd w:val="0"/>
        <w:spacing w:line="360" w:lineRule="auto"/>
        <w:ind w:firstLine="420" w:firstLineChars="200"/>
        <w:jc w:val="left"/>
        <w:textAlignment w:val="baseline"/>
        <w:rPr>
          <w:rFonts w:cs="宋体"/>
          <w:bCs/>
          <w:color w:val="auto"/>
          <w:sz w:val="21"/>
          <w:szCs w:val="21"/>
          <w:highlight w:val="none"/>
        </w:rPr>
      </w:pPr>
      <w:r>
        <w:rPr>
          <w:rFonts w:hint="eastAsia" w:cs="宋体"/>
          <w:bCs/>
          <w:color w:val="auto"/>
          <w:sz w:val="21"/>
          <w:szCs w:val="21"/>
          <w:highlight w:val="none"/>
        </w:rPr>
        <w:t>（1）发包人提供的招标控制价中的施工机械台班单价按照现行施工机械台班费用定额计算的，风险承包幅度为±5%以内（具体在专用合同条款约定）。合同履行期间，除专用合同条款另有约定外，价格波动超过风险承包幅度的，超过风险承包幅度以外的价差据实调整。施工机械台班中的人工费用并入施工机械台班单价计算。</w:t>
      </w:r>
    </w:p>
    <w:p>
      <w:pPr>
        <w:adjustRightInd w:val="0"/>
        <w:spacing w:line="360" w:lineRule="auto"/>
        <w:ind w:firstLine="420" w:firstLineChars="200"/>
        <w:jc w:val="left"/>
        <w:textAlignment w:val="baseline"/>
        <w:rPr>
          <w:rFonts w:cs="宋体"/>
          <w:bCs/>
          <w:color w:val="auto"/>
          <w:sz w:val="21"/>
          <w:szCs w:val="21"/>
          <w:highlight w:val="none"/>
        </w:rPr>
      </w:pPr>
      <w:r>
        <w:rPr>
          <w:rFonts w:hint="eastAsia" w:cs="宋体"/>
          <w:bCs/>
          <w:color w:val="auto"/>
          <w:sz w:val="21"/>
          <w:szCs w:val="21"/>
          <w:highlight w:val="none"/>
        </w:rPr>
        <w:t>（2）施工机械使用费价差不参与下浮，不计取企业管理费、利润、规费，不计取总价措施项目费，只计取税金。</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11.2法律变化引起的调整</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基准日期后，法律变化导致承包人在合同履行过程中所需要的费用发生除第11.1款〔市场价格波动引起的调整〕约定以外的增加时，由发包人承担由此增加的费用；减少时，应从合同价格中予以扣减。基准日期后，因法律变化造成工期延误时，工期应予以顺延。</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因法律变化引起的合同价格和工期调整，合同当事人无法达成一致的，由总监理工程师按第4.4款〔商定或确定〕的约定处理。</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因承包人原因造成工期延误，在工期延误期间出现法律变化的，由此增加的费用和（或）延误的工期由承包人承担。</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11.3计价政策变化引起的调整</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（1）合同履行期间发生计价规范、费用定额、预算定额等版本变化的，合同价格不作调整。</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（2）合同履行期间，建设行政主管部门发布的相关费用调整，发承包双方按照建设行政主管部门的文件规定，调整合同价格。</w:t>
      </w:r>
    </w:p>
    <w:p>
      <w:pPr>
        <w:keepNext/>
        <w:keepLines/>
        <w:numPr>
          <w:ilvl w:val="0"/>
          <w:numId w:val="2"/>
        </w:numPr>
        <w:tabs>
          <w:tab w:val="left" w:pos="425"/>
        </w:tabs>
        <w:adjustRightInd w:val="0"/>
        <w:spacing w:before="280" w:after="290" w:line="360" w:lineRule="auto"/>
        <w:ind w:left="425" w:hanging="425"/>
        <w:textAlignment w:val="baseline"/>
        <w:outlineLvl w:val="4"/>
        <w:rPr>
          <w:rFonts w:cs="宋体"/>
          <w:b/>
          <w:bCs/>
          <w:color w:val="auto"/>
          <w:sz w:val="21"/>
          <w:szCs w:val="21"/>
          <w:highlight w:val="none"/>
        </w:rPr>
      </w:pPr>
      <w:bookmarkStart w:id="1158" w:name="_Toc351203580"/>
      <w:bookmarkStart w:id="1159" w:name="_Toc433901061"/>
      <w:bookmarkStart w:id="1160" w:name="_Toc63471456"/>
      <w:bookmarkStart w:id="1161" w:name="_Toc337558799"/>
      <w:bookmarkStart w:id="1162" w:name="_Toc296503096"/>
      <w:bookmarkStart w:id="1163" w:name="_Toc296346597"/>
      <w:r>
        <w:rPr>
          <w:rFonts w:hint="eastAsia" w:cs="宋体"/>
          <w:b/>
          <w:bCs/>
          <w:color w:val="auto"/>
          <w:sz w:val="21"/>
          <w:szCs w:val="21"/>
          <w:highlight w:val="none"/>
        </w:rPr>
        <w:t>合同价格、计量与支付</w:t>
      </w:r>
      <w:bookmarkEnd w:id="1158"/>
      <w:bookmarkEnd w:id="1159"/>
      <w:bookmarkEnd w:id="1160"/>
    </w:p>
    <w:bookmarkEnd w:id="1161"/>
    <w:p>
      <w:pPr>
        <w:adjustRightInd w:val="0"/>
        <w:spacing w:line="360" w:lineRule="auto"/>
        <w:ind w:firstLine="420" w:firstLineChars="200"/>
        <w:jc w:val="left"/>
        <w:textAlignment w:val="baseline"/>
        <w:rPr>
          <w:rFonts w:cs="宋体"/>
          <w:color w:val="auto"/>
          <w:sz w:val="21"/>
          <w:szCs w:val="21"/>
          <w:highlight w:val="none"/>
        </w:rPr>
      </w:pPr>
      <w:bookmarkStart w:id="1164" w:name="_Toc351203581"/>
      <w:bookmarkStart w:id="1165" w:name="_Toc337558800"/>
      <w:r>
        <w:rPr>
          <w:rFonts w:hint="eastAsia" w:cs="宋体"/>
          <w:color w:val="auto"/>
          <w:sz w:val="21"/>
          <w:szCs w:val="21"/>
          <w:highlight w:val="none"/>
        </w:rPr>
        <w:t>12.1 合同价</w:t>
      </w:r>
      <w:bookmarkEnd w:id="1162"/>
      <w:bookmarkEnd w:id="1163"/>
      <w:r>
        <w:rPr>
          <w:rFonts w:hint="eastAsia" w:cs="宋体"/>
          <w:color w:val="auto"/>
          <w:sz w:val="21"/>
          <w:szCs w:val="21"/>
          <w:highlight w:val="none"/>
        </w:rPr>
        <w:t>格形式</w:t>
      </w:r>
      <w:bookmarkEnd w:id="1164"/>
    </w:p>
    <w:bookmarkEnd w:id="1165"/>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 xml:space="preserve">发包人和承包人应在合同协议书中选择下列一种合同价格形式： </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12.1.1单价合同</w:t>
      </w:r>
    </w:p>
    <w:p>
      <w:pPr>
        <w:adjustRightInd w:val="0"/>
        <w:spacing w:line="360" w:lineRule="auto"/>
        <w:ind w:firstLine="420" w:firstLineChars="200"/>
        <w:jc w:val="left"/>
        <w:textAlignment w:val="baseline"/>
        <w:rPr>
          <w:rFonts w:eastAsia="仿宋_GB2312" w:cs="宋体"/>
          <w:color w:val="auto"/>
          <w:sz w:val="21"/>
          <w:szCs w:val="21"/>
          <w:highlight w:val="none"/>
        </w:rPr>
      </w:pPr>
      <w:r>
        <w:rPr>
          <w:rFonts w:hint="eastAsia" w:hAnsi="Times New Roman"/>
          <w:color w:val="auto"/>
          <w:sz w:val="21"/>
          <w:szCs w:val="21"/>
          <w:highlight w:val="none"/>
        </w:rPr>
        <w:t>单价合同是指合同当事人约定以工程量清单及其综合单价进行合同价格计算、调整和确认的建设工程施工合同，在约定的范围内合同单价不作调整。原则上综合单价的风险内容以及超过风险范围以外的调整方式如下，如有</w:t>
      </w:r>
      <w:r>
        <w:rPr>
          <w:rFonts w:hint="eastAsia" w:cs="宋体"/>
          <w:color w:val="auto"/>
          <w:sz w:val="21"/>
          <w:szCs w:val="21"/>
          <w:highlight w:val="none"/>
        </w:rPr>
        <w:t>其他风险内容及超过风险范围以外的调整方式在专用条款中约定</w:t>
      </w:r>
      <w:r>
        <w:rPr>
          <w:rFonts w:hint="eastAsia" w:hAnsi="Times New Roman"/>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（1）市场价格波动风险，执行第11.1款〔市场价格波动引起的调整〕。</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（2）法律变化风险，执行第11.2款〔法律变化引起的调整〕。</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（3）计价政策变化风险，执行第11.3款〔计价政策变化引起的调整〕。</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12.1.2总价合同</w:t>
      </w:r>
    </w:p>
    <w:p>
      <w:pPr>
        <w:adjustRightInd w:val="0"/>
        <w:spacing w:line="360" w:lineRule="auto"/>
        <w:ind w:firstLine="420" w:firstLineChars="200"/>
        <w:jc w:val="left"/>
        <w:textAlignment w:val="baseline"/>
        <w:rPr>
          <w:rFonts w:hAnsi="Times New Roman"/>
          <w:color w:val="auto"/>
          <w:sz w:val="21"/>
          <w:szCs w:val="21"/>
          <w:highlight w:val="none"/>
        </w:rPr>
      </w:pPr>
      <w:r>
        <w:rPr>
          <w:rFonts w:hint="eastAsia" w:hAnsi="Times New Roman"/>
          <w:color w:val="auto"/>
          <w:sz w:val="21"/>
          <w:szCs w:val="21"/>
          <w:highlight w:val="none"/>
        </w:rPr>
        <w:t>总价合同是指合同当事人约定以施工图、已标价工程量清单或预算书及有关条件进行合同价格计算、调整和确认的建设工程施工合同，在约定的范围内合同总价不作调整。原则上综合单价的风险内容以及超过风险范围以外的调整方式如下，如有</w:t>
      </w:r>
      <w:r>
        <w:rPr>
          <w:rFonts w:hint="eastAsia" w:cs="宋体"/>
          <w:color w:val="auto"/>
          <w:sz w:val="21"/>
          <w:szCs w:val="21"/>
          <w:highlight w:val="none"/>
        </w:rPr>
        <w:t>其他风险内容及超过风险范围以外的调整方式在专用条款中约定</w:t>
      </w:r>
      <w:r>
        <w:rPr>
          <w:rFonts w:hint="eastAsia" w:hAnsi="Times New Roman"/>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（1）市场价格波动风险，执行第11.1款〔市场价格波动引起的调整〕。</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（2）法律变化风险，执行第11.2款〔法律变化引起的调整〕。</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（3）计价政策变化风险，执行第11.3款〔计价政策变化引起的调整〕。</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12.1.3其它价格形式</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专用合同条款中约定的其他合同价格形式。</w:t>
      </w:r>
    </w:p>
    <w:p>
      <w:pPr>
        <w:adjustRightInd w:val="0"/>
        <w:spacing w:line="360" w:lineRule="auto"/>
        <w:ind w:firstLine="420" w:firstLineChars="200"/>
        <w:jc w:val="left"/>
        <w:textAlignment w:val="baseline"/>
        <w:rPr>
          <w:rFonts w:cs="宋体"/>
          <w:color w:val="auto"/>
          <w:sz w:val="21"/>
          <w:szCs w:val="21"/>
          <w:highlight w:val="none"/>
        </w:rPr>
      </w:pPr>
      <w:bookmarkStart w:id="1166" w:name="_Toc296503097"/>
      <w:bookmarkStart w:id="1167" w:name="_Toc296346598"/>
      <w:bookmarkStart w:id="1168" w:name="_Toc351203582"/>
      <w:bookmarkStart w:id="1169" w:name="_Toc337558801"/>
      <w:r>
        <w:rPr>
          <w:rFonts w:hint="eastAsia" w:cs="宋体"/>
          <w:color w:val="auto"/>
          <w:sz w:val="21"/>
          <w:szCs w:val="21"/>
          <w:highlight w:val="none"/>
        </w:rPr>
        <w:t>12.2预</w:t>
      </w:r>
      <w:bookmarkEnd w:id="1166"/>
      <w:bookmarkEnd w:id="1167"/>
      <w:bookmarkStart w:id="1170" w:name="_Toc296503100"/>
      <w:bookmarkStart w:id="1171" w:name="_Toc296346601"/>
      <w:r>
        <w:rPr>
          <w:rFonts w:hint="eastAsia" w:cs="宋体"/>
          <w:color w:val="auto"/>
          <w:sz w:val="21"/>
          <w:szCs w:val="21"/>
          <w:highlight w:val="none"/>
        </w:rPr>
        <w:t>付款</w:t>
      </w:r>
      <w:bookmarkEnd w:id="1168"/>
    </w:p>
    <w:bookmarkEnd w:id="1169"/>
    <w:bookmarkEnd w:id="1170"/>
    <w:bookmarkEnd w:id="1171"/>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12.2.1预付款的支付</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预付款的支付按照专用合同条款约定执行，但至迟应在开工通知载明的开工日期7天前支付。预付款应当用于材料、工程设备、施工设备的采购及修建临时工程、组织施工队伍进场等。</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除专用合同条款另有约定外，预付款在进度付款中同比例扣回。在颁发工程接收证书前，提前解除合同的，尚未扣完的预付款应与合同价款一并结算。</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发包人逾期支付预付款超过7天的，承包人有权向发包人发出要求预付的催告通知，发包人收到通知后7天内仍未支付的，承包人有权暂停施工，并按第16.1.1项〔发包人违约的情形〕执行。</w:t>
      </w:r>
    </w:p>
    <w:p>
      <w:pPr>
        <w:adjustRightInd w:val="0"/>
        <w:spacing w:line="360" w:lineRule="auto"/>
        <w:ind w:firstLine="420" w:firstLineChars="200"/>
        <w:jc w:val="left"/>
        <w:textAlignment w:val="baseline"/>
        <w:rPr>
          <w:rFonts w:cs="宋体"/>
          <w:color w:val="auto"/>
          <w:sz w:val="21"/>
          <w:szCs w:val="21"/>
          <w:highlight w:val="none"/>
        </w:rPr>
      </w:pPr>
      <w:bookmarkStart w:id="1172" w:name="_Toc351203583"/>
      <w:bookmarkStart w:id="1173" w:name="_Toc337558802"/>
      <w:r>
        <w:rPr>
          <w:rFonts w:hint="eastAsia" w:cs="宋体"/>
          <w:color w:val="auto"/>
          <w:sz w:val="21"/>
          <w:szCs w:val="21"/>
          <w:highlight w:val="none"/>
        </w:rPr>
        <w:t>12.3计量</w:t>
      </w:r>
      <w:bookmarkEnd w:id="1172"/>
    </w:p>
    <w:bookmarkEnd w:id="1173"/>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12.3.1 计量原则</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工程量计量按照合同约定的工程量计算规则、图纸及变更指示等进行计量。工程量计算规则应以相关的国家标准、行业标准等为依据，由合同当事人在专用合同条款中约定。</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12.3.2 计量周期</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除专用合同条款另有约定外，工程量的计量按月进行。</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12.3.3 单价合同的计量</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除专用合同条款另有约定外，单价合同的计量按照本项约定执行：</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（1）承包人应于每月25日向监理人报送上月20日至当月19日已完成的工程量报告，并附具进度付款申请单、已完成工程量报表和有关资料。</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监理人应在收到承包人提交的工程量报告后7天内完成对承包人提交的工程量报表的审核并报送发包人，以确定当月实际完成的工程量。监理人对工程量有异议的，有权要求承包人进行共同复核或抽样复测。承包人应协助监理人进行复核或抽样复测，并按监理人要求提供补充计量资料。承包人未按监理人要求参加复核或抽样复测的，监理人复核或修正的工程量视为承包人实际完成的工程量。</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（3）监理人未在收到承包人提交的工程量报表后的7天内完成审核的，承包人报送的工程量报告中的工程量视为承包人实际完成的工程量，据此计算工程价款。</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12.3.4 总价合同的计量</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除专用合同条款另有约定外，按月计量支付的总价合同，按照本项约定执行：</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（1）承包人应于每月25日向监理人报送上月20日至当月19日已完成的工程量报告，并附具进度付款申请单、已完成工程量报表和有关资料。</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监理人应在收到承包人提交的工程量报告后7天内完成对承包人提交的工程量报表的审核并报送发包人，以确定当月实际完成的工程量。监理人对工程量有异议的，有权要求承包人进行共同复核或抽样复测。承包人应协助监理人进行复核或抽样复测并按监理人要求提供补充计量资料。承包人未按监理人要求参加复核或抽样复测的，监理人审核或修正的工程量视为承包人实际完成的工程量。</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（3）监理人未在收到承包人提交的工程量报表后的7天内完成复核的，承包人提交的工程量报告中的工程量视为承包人实际完成的工程量。</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12.3.5 总价合同采用支付分解表计量支付的，可以按照第12.3.4项〔总价合同的计量〕约定进行计量，但合同价款按照支付分解表进行支付。</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12.3.6 其他价格形式合同的计量</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合同当事人可在专用合同条款中约定其他价格形式合同的计量方式和程序。</w:t>
      </w:r>
    </w:p>
    <w:p>
      <w:pPr>
        <w:adjustRightInd w:val="0"/>
        <w:spacing w:line="360" w:lineRule="auto"/>
        <w:ind w:firstLine="420" w:firstLineChars="200"/>
        <w:jc w:val="left"/>
        <w:textAlignment w:val="baseline"/>
        <w:rPr>
          <w:rFonts w:cs="宋体"/>
          <w:color w:val="auto"/>
          <w:sz w:val="21"/>
          <w:szCs w:val="21"/>
          <w:highlight w:val="none"/>
        </w:rPr>
      </w:pPr>
      <w:bookmarkStart w:id="1174" w:name="_Toc296503101"/>
      <w:bookmarkStart w:id="1175" w:name="_Toc296346602"/>
      <w:bookmarkStart w:id="1176" w:name="_Toc351203584"/>
      <w:bookmarkStart w:id="1177" w:name="_Toc337558803"/>
      <w:r>
        <w:rPr>
          <w:rFonts w:hint="eastAsia" w:cs="宋体"/>
          <w:color w:val="auto"/>
          <w:sz w:val="21"/>
          <w:szCs w:val="21"/>
          <w:highlight w:val="none"/>
        </w:rPr>
        <w:t>12.4工程进度款支</w:t>
      </w:r>
      <w:bookmarkEnd w:id="1174"/>
      <w:bookmarkEnd w:id="1175"/>
      <w:r>
        <w:rPr>
          <w:rFonts w:hint="eastAsia" w:cs="宋体"/>
          <w:color w:val="auto"/>
          <w:sz w:val="21"/>
          <w:szCs w:val="21"/>
          <w:highlight w:val="none"/>
        </w:rPr>
        <w:t>付</w:t>
      </w:r>
      <w:bookmarkEnd w:id="1176"/>
    </w:p>
    <w:bookmarkEnd w:id="1177"/>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12.4.1 付款周期</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除专用合同条款另有约定外，付款周期应按照第12.3.2项〔计量周期〕的约定与计量周期保持一致。</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12.4.2 进度付款申请单的编制</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除专用合同条款另有约定外，进度付款申请单应包括下列内容：</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（1）截至本次付款周期已完成工作对应的金额；</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（2）根据第10条〔变更〕应增加和扣减的变更金额；</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（3）根据第12.2款〔预付款〕约定应支付的预付款和扣减的返还预付款；</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（4）根据第15.3款〔质量保证金〕约定应扣减的质量保证金；</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（5）根据第19条〔索赔〕应增加和扣减的索赔金额；</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（6）对已签发的进度款支付证书中出现错误的修正，应在本次进度付款中支付或扣除的金额；</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（7）根据合同约定应增加和扣减的其他金额。</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12.4.3 进度付款申请单的提交</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（1）单价合同进度付款申请单的提交</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单价合同的进度付款申请单，按照第12.3.3项〔单价合同的计量〕约定的时间按月向监理人提交，并附上已完成工程量报表和有关资料。单价合同中的总价项目按月进行支付分解，并汇总列入当期进度付款申请单。</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（2）总价合同进度付款申请单的提交</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总价合同按月计量支付的，承包人按照第12.3.4项〔总价合同的计量〕约定的时间按月向监理人提交进度付款申请单，并附上已完成工程量报表和有关资料。</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总价合同按支付分解表支付的，承包人应按照第12.4.6项〔支付分解表〕及第12.4.2项〔进度付款申请单的编制〕的约定向监理人提交进度付款申请单。</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（3）其他价格形式合同的进度付款申请单的提交</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合同当事人可在专用合同条款中约定其他价格形式合同的进度付款申请单的编制和提交程序。</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12.4.4 进度款审核和支付</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除专用合同条款另有约定外，监理人应在收到承包人进度付款申请单以及相关资料后7天内完成审查并报送发包人，发包人应在收到后7天内完成审批并签发进度款支付证书。发包人逾期未完成审批且未提出异议的，视为已签发进度款支付证书。</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发包人和监理人对承包人的进度付款申请单有异议的，有权要求承包人修正和提供补充资料，承包人应提交修正后的进度付款申请单。监理人应在收到承包人修正后的进度付款申请单及相关资料后7天内完成审查并报送发包人，发包人应在收到监理人报送的进度付款申请单及相关资料后7天内，向承包人签发无异议部分的临时进度款支付证书。存在争议的部分，按照第20条〔争议解决〕的约定处理。</w:t>
      </w:r>
    </w:p>
    <w:p>
      <w:pPr>
        <w:numPr>
          <w:ilvl w:val="0"/>
          <w:numId w:val="19"/>
        </w:num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除专用合同条款另有约定外，发包人应在进度款支付证书或临时进度款支付证书签发后14天内完成支付，发包人逾期支付进度款的，承包人应及时向发包人发出要求付款的通知，发包人收到承包人通知后仍不能按要求付款，发包人在应付期限逾期之日起应按照同期全国银行间同行业拆借中心公布的贷款市场报价利率（LPR）支付违约金。</w:t>
      </w:r>
      <w:r>
        <w:rPr>
          <w:rFonts w:hint="eastAsia" w:cs="宋体"/>
          <w:color w:val="auto"/>
          <w:sz w:val="21"/>
          <w:szCs w:val="21"/>
          <w:highlight w:val="none"/>
          <w:shd w:val="clear" w:color="auto" w:fill="FFFFFF"/>
        </w:rPr>
        <w:t>未经承包人同意，发包人不得以商业汇票等非货币形式支付进度款。</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（3）发包人签发进度款支付证书或临时进度款支付证书，不表明发包人已同意、批准或接受了承包人完成的相应部分的工作。</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12.4.5 进度付款的修正</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在对已签发的进度款支付证书进行阶段汇总和复核中发现错误、遗漏或重复的，发包人和承包人均有权提出修正申请。经发包人和承包人同意的修正，应在下期进度付款中支付或扣除。</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12.4.6 支付分解表</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1、支付分解表的编制要求</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（1）支付分解表中所列的每期付款金额，应为第12.4.2项〔进度付款申请单的编制〕第（1）目的估算金额；</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（2）实际进度与施工进度计划不一致的，合同当事人可按照第4.4款〔商定或确定〕修改支付分解表；</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（3）不采用支付分解表的，承包人应向发包人和监理人提交按季度编制的支付估算分解表，用于支付参考。</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2、总价合同支付分解表的编制与审批</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除专用合同条款另有约定外，承包人应根据第7.2款〔施工进度计划〕约定的施工进度计划、签约合同价和工程量等因素对总价合同按月进行分解，编制支付分解表。承包人应当在收到监理人和发包人批准的施工进度计划后7天内，将支付分解表及编制支付分解表的支持性资料报送监理人。</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（2）监理人应在收到支付分解表后7天内完成审核并报送发包人。发包人应在收到经监理人审核的支付分解表后7天内完成审批，经发包人批准的支付分解表为有约束力的支付分解表。</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（3）发包人逾期未完成支付分解表审批的，也未及时要求承包人进行修正和提供补充资料的，则承包人提交的支付分解表视为已经获得发包人批准。</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3、单价合同的总价项目支付分解表的编制与审批</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除专用合同条款另有约定外，单价合同的总价项目，由承包人根据施工进度计划和总价项目的总价构成、费用性质、计划发生时间和相应工程量等因素按月进行分解，形成支付分解表，其编制与审批参照总价合同支付分解表的编制与审批执行。</w:t>
      </w:r>
    </w:p>
    <w:p>
      <w:pPr>
        <w:adjustRightInd w:val="0"/>
        <w:spacing w:line="360" w:lineRule="auto"/>
        <w:ind w:firstLine="420" w:firstLineChars="200"/>
        <w:jc w:val="left"/>
        <w:textAlignment w:val="baseline"/>
        <w:rPr>
          <w:rFonts w:cs="宋体"/>
          <w:color w:val="auto"/>
          <w:sz w:val="21"/>
          <w:szCs w:val="21"/>
          <w:highlight w:val="none"/>
        </w:rPr>
      </w:pPr>
      <w:bookmarkStart w:id="1178" w:name="_Toc351203585"/>
      <w:r>
        <w:rPr>
          <w:rFonts w:hint="eastAsia" w:cs="宋体"/>
          <w:color w:val="auto"/>
          <w:sz w:val="21"/>
          <w:szCs w:val="21"/>
          <w:highlight w:val="none"/>
        </w:rPr>
        <w:t>12.5支付账户</w:t>
      </w:r>
      <w:bookmarkEnd w:id="1178"/>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发包人应将合同价款支付至合同协议书中约定的承包人账户。</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12.6 承包人应根据《保障农民工工资支付条例》《福建省工程建设领域农民工工资专用账户管理实施细则》和工程所在地的设区市的有关规定建立工资专户，通过工资专户将工资按时足额支付到农民工本人的银行账户。实行人工费用与其他工程款分账管理，发包人支付工程款时，应按专用合同条款约定的数额或比例等，按时将人工费用拨付到承包人农民工工资专用账户，人工费用拨付周期不得超过一个月。承包人应与发包人、开户银行签订《福建省工程建设领域农民工工资专用账户资金管理协议》。工程有专业分包、劳务分包的，分包企业应委托承包人代发工资，在签订分包协议时，与承包人一并签订《福建省工程建设领域农民工工资委托支付协议》。</w:t>
      </w:r>
    </w:p>
    <w:p>
      <w:pPr>
        <w:keepNext/>
        <w:keepLines/>
        <w:numPr>
          <w:ilvl w:val="0"/>
          <w:numId w:val="2"/>
        </w:numPr>
        <w:tabs>
          <w:tab w:val="left" w:pos="425"/>
        </w:tabs>
        <w:adjustRightInd w:val="0"/>
        <w:spacing w:before="280" w:after="290" w:line="360" w:lineRule="auto"/>
        <w:ind w:left="425" w:hanging="425"/>
        <w:textAlignment w:val="baseline"/>
        <w:outlineLvl w:val="4"/>
        <w:rPr>
          <w:rFonts w:cs="宋体"/>
          <w:b/>
          <w:bCs/>
          <w:color w:val="auto"/>
          <w:sz w:val="21"/>
          <w:szCs w:val="21"/>
          <w:highlight w:val="none"/>
        </w:rPr>
      </w:pPr>
      <w:bookmarkStart w:id="1179" w:name="_Toc351203586"/>
      <w:bookmarkStart w:id="1180" w:name="_Toc433901062"/>
      <w:bookmarkStart w:id="1181" w:name="_Toc63471457"/>
      <w:bookmarkStart w:id="1182" w:name="_Toc296346607"/>
      <w:bookmarkStart w:id="1183" w:name="_Toc337558804"/>
      <w:bookmarkStart w:id="1184" w:name="_Toc322522574"/>
      <w:bookmarkStart w:id="1185" w:name="_Toc296503106"/>
      <w:r>
        <w:rPr>
          <w:rFonts w:hint="eastAsia" w:cs="宋体"/>
          <w:b/>
          <w:bCs/>
          <w:color w:val="auto"/>
          <w:sz w:val="21"/>
          <w:szCs w:val="21"/>
          <w:highlight w:val="none"/>
        </w:rPr>
        <w:t>验收和工程试车</w:t>
      </w:r>
      <w:bookmarkEnd w:id="1179"/>
      <w:bookmarkEnd w:id="1180"/>
      <w:bookmarkEnd w:id="1181"/>
    </w:p>
    <w:bookmarkEnd w:id="1182"/>
    <w:bookmarkEnd w:id="1183"/>
    <w:bookmarkEnd w:id="1184"/>
    <w:bookmarkEnd w:id="1185"/>
    <w:p>
      <w:pPr>
        <w:adjustRightInd w:val="0"/>
        <w:spacing w:line="360" w:lineRule="auto"/>
        <w:ind w:firstLine="420" w:firstLineChars="200"/>
        <w:jc w:val="left"/>
        <w:textAlignment w:val="baseline"/>
        <w:rPr>
          <w:rFonts w:cs="宋体"/>
          <w:color w:val="auto"/>
          <w:sz w:val="21"/>
          <w:szCs w:val="21"/>
          <w:highlight w:val="none"/>
        </w:rPr>
      </w:pPr>
      <w:bookmarkStart w:id="1186" w:name="_Toc351203587"/>
      <w:bookmarkStart w:id="1187" w:name="_Toc337558805"/>
      <w:bookmarkStart w:id="1188" w:name="_Toc296503110"/>
      <w:bookmarkStart w:id="1189" w:name="_Toc296346611"/>
      <w:r>
        <w:rPr>
          <w:rFonts w:hint="eastAsia" w:cs="宋体"/>
          <w:color w:val="auto"/>
          <w:sz w:val="21"/>
          <w:szCs w:val="21"/>
          <w:highlight w:val="none"/>
        </w:rPr>
        <w:t>13.1分部分项工程验收</w:t>
      </w:r>
      <w:bookmarkEnd w:id="1186"/>
    </w:p>
    <w:bookmarkEnd w:id="1187"/>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13.1.1 分部分项工程质量应符合国家有关工程施工验收规范、标准及合同约定，承包人应按照施工组织设计的要求完成分部分项工程施工。</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13.1.2 除专用合同条款另有约定外，分部分项工程经承包人自检合格并具备验收条件的，承包人应提前48小时通知监理人进行验收。监理人不能按时进行验收的，应在验收前24小时向承包人提交书面延期要求，但延期不能超过48小时。监理人未按时进行验收，也未提出延期要求的，承包人有权自行验收，监理人应认可验收结果。分部分项工程未经验收的，不得进入下一道工序施工。</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分部分项工程的验收资料应当作为竣工资料的组成部分。</w:t>
      </w:r>
    </w:p>
    <w:p>
      <w:pPr>
        <w:adjustRightInd w:val="0"/>
        <w:spacing w:line="360" w:lineRule="auto"/>
        <w:ind w:firstLine="420" w:firstLineChars="200"/>
        <w:jc w:val="left"/>
        <w:textAlignment w:val="baseline"/>
        <w:rPr>
          <w:rFonts w:cs="宋体"/>
          <w:color w:val="auto"/>
          <w:sz w:val="21"/>
          <w:szCs w:val="21"/>
          <w:highlight w:val="none"/>
        </w:rPr>
      </w:pPr>
      <w:bookmarkStart w:id="1190" w:name="_Toc351203588"/>
      <w:bookmarkStart w:id="1191" w:name="_Toc337558806"/>
      <w:r>
        <w:rPr>
          <w:rFonts w:hint="eastAsia" w:cs="宋体"/>
          <w:color w:val="auto"/>
          <w:sz w:val="21"/>
          <w:szCs w:val="21"/>
          <w:highlight w:val="none"/>
        </w:rPr>
        <w:t>13.2竣工验收</w:t>
      </w:r>
      <w:bookmarkEnd w:id="1190"/>
    </w:p>
    <w:bookmarkEnd w:id="1188"/>
    <w:bookmarkEnd w:id="1189"/>
    <w:bookmarkEnd w:id="1191"/>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13.2.1竣工验收条件</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工程具备以下条件的，承包人可以申请竣工验收：</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（1）除发包人同意的甩项工作和缺陷修补工作外，合同范围内的全部工程以及有关工作，包括合同要求的试验、试运行以及检验均已完成，并符合合同要求；</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（2）已按合同约定编制了甩项工作和缺陷修补工作清单以及相应的施工计划；</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（3）已按合同约定的内容和份数备齐竣工资料。</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13.2.2竣工验收程序</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除专用合同条款另有约定外，承包人申请竣工验收的，应当按照以下程序进行：</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承包人向监理人报送竣工验收申请报告，监理人应在收到竣工验收申请报告后14天内完成审查并报送发包人。监理人审查后认为尚不具备验收条件的，应通知承包人在竣工验收前承包人还需完成的工作内容，承包人应在完成监理人通知的全部工作内容后，再次提交竣工验收申请报告。</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（2）监理人审查后认为已具备竣工验收条件的，应将竣工验收申请报告提交发包人，发包人应在收到经监理人审核的竣工验收申请报告后28天内审批完毕并组织监理人、承包人、设计人等相关单位完成竣工验收。</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（3）竣工验收合格的，发包人应在验收合格后14天内向承包人签发工程接收证书。发包人无正当理由逾期不颁发工程接收证书的，自验收合格后第15天起视为已颁发工程接收证书。</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4）竣工验收不合格的，监理人应按照验收意见发出指示，要求承包人对不合格工程返工、修复或采取其他补救措施，由此增加的费用和（或）延误的工期由承包人承担。承包人在完成不合格工程的返工、修复或采取其他补救措施后，应重新提交竣工验收申请报告，并按本项约定的程序重新进行验收。</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（5）工程未经验收或验收不合格，发包人擅自使用的，应在转移占有工程后7天内向承包人颁发工程接收证书；发包人无正当理由逾期不颁发工程接收证书的，自转移占有后第15天起视为已颁发工程接收证书。</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除专用合同条款另有约定外，发包人不按照本项约定组织竣工验收、颁发工程接收证书的，每逾期一天，应以签约合同价为基数，按照中国人民银行发布的同期全国银行间同行业拆借中心公布的贷款市场报价利率（LPR）支付违约金。</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13.2.3竣工日期</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工程经竣工验收合格的，以承包人提交竣工验收申请报告之日为实际竣工日期，并在工程接收证书中载明；因发包人原因，未在监理人收到承包人提交的竣工验收申请报告42天内完成竣工验收，或完成竣工验收不予签发工程接收证书的，以提交竣工验</w:t>
      </w:r>
      <w:bookmarkStart w:id="1192" w:name="#go14"/>
      <w:bookmarkEnd w:id="1192"/>
      <w:r>
        <w:rPr>
          <w:rFonts w:hint="eastAsia" w:cs="宋体"/>
          <w:color w:val="auto"/>
          <w:sz w:val="21"/>
          <w:szCs w:val="21"/>
          <w:highlight w:val="none"/>
        </w:rPr>
        <w:t>收申请报告的日期为实际竣工日期；工程未经竣工验收，发包人擅自使用的，以转移占有工程之日为实际竣工日期。</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13.2.4 拒绝接收全部或部分工程</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对于竣工验收不合格的工程，承包人完成整改后，应当重新进行竣工验收，经重新组织验收仍不合格的且无法采取措施补救的，则发包人可以拒绝接收不合格工程，因不合格工程导致其他工程不能正常使用的，承包人应采取措施确保相关工程的正常使用，由此增加的费用和（或）延误的工期由承包人承担。</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13.2.5 移交、接收全部与部分工程</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除专用合同条款另有约定外，合同当事人应当在颁发工程接收证书后7天内完成工程的移交。</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发包人无正当理由不接收工程的，发包人自应当接收工程之日起，承担工程照管、成品保护、保管等与工程有关的各项费用，合同当事人可以在专用合同条款中另行约定发包人逾期接收工程的违约责任。</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承包人无正当理由不移交工程的，承包人应承担工程照管、成品保护、保管等与工程有关的各项费用，合同当事人可以在专用合同条款中另行约定承包人无正当理由不移交工程的违约责任。</w:t>
      </w:r>
    </w:p>
    <w:p>
      <w:pPr>
        <w:adjustRightInd w:val="0"/>
        <w:spacing w:line="360" w:lineRule="auto"/>
        <w:ind w:firstLine="420" w:firstLineChars="200"/>
        <w:jc w:val="left"/>
        <w:textAlignment w:val="baseline"/>
        <w:rPr>
          <w:rFonts w:cs="宋体"/>
          <w:color w:val="auto"/>
          <w:sz w:val="21"/>
          <w:szCs w:val="21"/>
          <w:highlight w:val="none"/>
        </w:rPr>
      </w:pPr>
      <w:bookmarkStart w:id="1193" w:name="_Toc351203589"/>
      <w:bookmarkStart w:id="1194" w:name="_Toc337558807"/>
      <w:bookmarkStart w:id="1195" w:name="_Toc296346612"/>
      <w:bookmarkStart w:id="1196" w:name="_Toc296503111"/>
      <w:r>
        <w:rPr>
          <w:rFonts w:hint="eastAsia" w:cs="宋体"/>
          <w:color w:val="auto"/>
          <w:sz w:val="21"/>
          <w:szCs w:val="21"/>
          <w:highlight w:val="none"/>
        </w:rPr>
        <w:t>13.3工程试车</w:t>
      </w:r>
      <w:bookmarkEnd w:id="1193"/>
    </w:p>
    <w:bookmarkEnd w:id="1194"/>
    <w:bookmarkEnd w:id="1195"/>
    <w:bookmarkEnd w:id="1196"/>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13.3.1试车程序</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工程需要试车的，除专用合同条款另有约定外，试车内容应与承包人承包范围相一致，试车费用由承包人承担。工程试车应按如下程序进行：</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具备单机无负荷试车条件，承包人组织试车，并在试车前48小时书面通知监理人，通知中应载明试车内容、时间、地点。承包人准备试车记录，发包人根据承包人要求为试车提供必要条件。试车合格的，监理人在试车记录上签字。监理人在试车合格后不在试车记录上签字，自试车结束满24小时后视为监理人已经认可试车记录，承包人可继续施工或办理竣工验收手续。</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监理人不能按时参加试车，应在试车前24小时以书面形式向承包人提出延期要求，但延期不能超过48小时，由此导致工期延误的，工期应予以顺延。监理人未能在前述期限内提出延期要求，又不参加试车的，视为认可试车记录。</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具备无负荷联动试车条件，发包人组织试车，并在试车前48小时以书面形式通知承包人。通知中应载明试车内容、时间、地点和对承包人的要求，承包人按要求做好准备工作。试车合格，合同当事人在试车记录上签字。承包人无正当理由不参加试车的，视为认可试车记录。</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13.3.2 试车中的责任</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因设计原因导致试车达不到验收要求，发包人应要求设计人修改设计，承包人按修改后的设计重新安装。发包人承担修改设计、拆除及重新安装的全部费用，工期相应顺延。因承包人原因导致试车达不到验收要求，承包人按监理人要求重新安装和试车，并承担重新安装和试车的费用，工期不予顺延。</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因工程设备制造原因导致试车达不到验收要求的，由采购该工程设备的合同当事人负责重新购置或修理，承包人负责拆除和重新安装，由此增加的修理、重新购置、拆除及重新安装的费用及延误的工期由采购该工程设备的合同当事人承担。</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13.3.3 投料试车</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如需进行投料试车的，发包人应在工程竣工验收后组织投料试车。发包人要求在工程竣工验收前进行或需要承包人配合时，应征得承包人同意，并在专用合同条款中约定有关事项。</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投料试车合格的，费用由发包人承担；因承包人原因造成投料试车不合格的，承包人应按照发包人要求进行整改，由此产生的整改费用由承包人承担；非因承包人原因导致投料试车不合格的，如发包人要求承包人进行整改的，由此产生的费用由发包人承担。</w:t>
      </w:r>
    </w:p>
    <w:p>
      <w:pPr>
        <w:adjustRightInd w:val="0"/>
        <w:spacing w:line="360" w:lineRule="auto"/>
        <w:ind w:firstLine="420" w:firstLineChars="200"/>
        <w:jc w:val="left"/>
        <w:textAlignment w:val="baseline"/>
        <w:rPr>
          <w:rFonts w:cs="宋体"/>
          <w:color w:val="auto"/>
          <w:sz w:val="21"/>
          <w:szCs w:val="21"/>
          <w:highlight w:val="none"/>
        </w:rPr>
      </w:pPr>
      <w:bookmarkStart w:id="1197" w:name="_Toc351203590"/>
      <w:bookmarkStart w:id="1198" w:name="_Toc337558808"/>
      <w:r>
        <w:rPr>
          <w:rFonts w:hint="eastAsia" w:cs="宋体"/>
          <w:color w:val="auto"/>
          <w:sz w:val="21"/>
          <w:szCs w:val="21"/>
          <w:highlight w:val="none"/>
        </w:rPr>
        <w:t>13.4提前交付单位工程的验收</w:t>
      </w:r>
      <w:bookmarkEnd w:id="1197"/>
    </w:p>
    <w:bookmarkEnd w:id="1198"/>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13.4.1 发包人需要在工程竣工前使用单位工程的，或承包人提出提前交付已经竣工的单位工程且经发包人同意的，可进行单位工程验收，验收的程序按照第13.2款〔竣工验收〕的约定进行。</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验收合格后，由监理人向承包人出具经发包人签认的单位工程接收证书。已签发单位工程接收证书的单位工程由发包人负责照管。单位工程的验收成果和结论作为整体工程竣工验收申请报告的附件。</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13.4.2 发包人要求在工程竣工前交付单位工程，由此导致承包人费用增加和（或）工期延误的，由发包人承担由此增加的费用和（或）延误的工期，并支付承包人合理的利润。</w:t>
      </w:r>
    </w:p>
    <w:p>
      <w:pPr>
        <w:adjustRightInd w:val="0"/>
        <w:spacing w:line="360" w:lineRule="auto"/>
        <w:ind w:firstLine="420" w:firstLineChars="200"/>
        <w:jc w:val="left"/>
        <w:textAlignment w:val="baseline"/>
        <w:rPr>
          <w:rFonts w:cs="宋体"/>
          <w:color w:val="auto"/>
          <w:sz w:val="21"/>
          <w:szCs w:val="21"/>
          <w:highlight w:val="none"/>
        </w:rPr>
      </w:pPr>
      <w:bookmarkStart w:id="1199" w:name="_Toc351203591"/>
      <w:r>
        <w:rPr>
          <w:rFonts w:hint="eastAsia" w:cs="宋体"/>
          <w:color w:val="auto"/>
          <w:sz w:val="21"/>
          <w:szCs w:val="21"/>
          <w:highlight w:val="none"/>
        </w:rPr>
        <w:t>13.5 施工期运行</w:t>
      </w:r>
      <w:bookmarkEnd w:id="1199"/>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13.5.1 施工期运行是指合同工程尚未全部竣工，其中某项或某几项单位工程或工程设备安装已竣工，根据专用合同条款约定，需要投入施工期运行的，经发包人按第13.4款〔提前交付单位工程的验收〕的约定验收合格，证明能确保安全后，才能在施工期投入运行。</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13.5.2 在施工期运行中发现工程或工程设备损坏或存在缺陷的，由承包人按第15.2款〔缺陷责任期〕约定进行修复。</w:t>
      </w:r>
    </w:p>
    <w:p>
      <w:pPr>
        <w:adjustRightInd w:val="0"/>
        <w:spacing w:line="360" w:lineRule="auto"/>
        <w:ind w:firstLine="420" w:firstLineChars="200"/>
        <w:jc w:val="left"/>
        <w:textAlignment w:val="baseline"/>
        <w:rPr>
          <w:rFonts w:cs="宋体"/>
          <w:color w:val="auto"/>
          <w:sz w:val="21"/>
          <w:szCs w:val="21"/>
          <w:highlight w:val="none"/>
        </w:rPr>
      </w:pPr>
      <w:bookmarkStart w:id="1200" w:name="_Toc296346613"/>
      <w:bookmarkStart w:id="1201" w:name="_Toc296503112"/>
      <w:bookmarkStart w:id="1202" w:name="_Toc351203592"/>
      <w:bookmarkStart w:id="1203" w:name="_Toc337558809"/>
      <w:r>
        <w:rPr>
          <w:rFonts w:hint="eastAsia" w:cs="宋体"/>
          <w:color w:val="auto"/>
          <w:sz w:val="21"/>
          <w:szCs w:val="21"/>
          <w:highlight w:val="none"/>
        </w:rPr>
        <w:t>13.6 竣工退</w:t>
      </w:r>
      <w:bookmarkEnd w:id="1200"/>
      <w:bookmarkEnd w:id="1201"/>
      <w:r>
        <w:rPr>
          <w:rFonts w:hint="eastAsia" w:cs="宋体"/>
          <w:color w:val="auto"/>
          <w:sz w:val="21"/>
          <w:szCs w:val="21"/>
          <w:highlight w:val="none"/>
        </w:rPr>
        <w:t>场</w:t>
      </w:r>
      <w:bookmarkEnd w:id="1202"/>
    </w:p>
    <w:bookmarkEnd w:id="1203"/>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13.6.1 竣工退场</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颁发工程接收证书后，承包人应按以下要求对施工现场进行清理：</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（1）施工现场内残留的垃圾已全部清除出场；</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（2）临时工程已拆除，场地已进行清理、平整或复原；</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（3）按合同约定应撤离的人员、承包人施工设备和剩余的材料，包括废弃的施工设备和材料，已按计划撤离施工现场；</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（4）施工现场周边及其附近道路、河道的施工堆积物，已全部清理；</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（5）施工现场其他场地清理工作已全部完成。</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施工现场的竣工退场费用由承包人承担。承包人应在专用合同条款约定的期限内完成竣工退场，逾期未完成的，发包人有权出售或另行处理承包人遗留的物品，由此支出的费用由承包人承担，发包人出售承包人遗留物品所得款项在扣除必要费用后应返还承包人。</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13.6.2 地表还原</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承包人应按发包人要求恢复临时占地及清理场地，承包人未按发包人的要求恢复临时占地，或者场地清理未达到合同约定要求的，发包人有权委托其他人恢复或清理，所发生的费用由承包人承担。</w:t>
      </w:r>
    </w:p>
    <w:p>
      <w:pPr>
        <w:keepNext/>
        <w:keepLines/>
        <w:numPr>
          <w:ilvl w:val="0"/>
          <w:numId w:val="2"/>
        </w:numPr>
        <w:tabs>
          <w:tab w:val="left" w:pos="425"/>
        </w:tabs>
        <w:adjustRightInd w:val="0"/>
        <w:spacing w:before="280" w:after="290" w:line="360" w:lineRule="auto"/>
        <w:ind w:left="425" w:hanging="425"/>
        <w:textAlignment w:val="baseline"/>
        <w:outlineLvl w:val="4"/>
        <w:rPr>
          <w:rFonts w:cs="宋体"/>
          <w:b/>
          <w:bCs/>
          <w:color w:val="auto"/>
          <w:sz w:val="21"/>
          <w:szCs w:val="21"/>
          <w:highlight w:val="none"/>
        </w:rPr>
      </w:pPr>
      <w:bookmarkStart w:id="1204" w:name="_Toc351203593"/>
      <w:bookmarkStart w:id="1205" w:name="_Toc337558810"/>
      <w:bookmarkStart w:id="1206" w:name="_Toc63471458"/>
      <w:bookmarkStart w:id="1207" w:name="_Toc433901063"/>
      <w:bookmarkStart w:id="1208" w:name="_Toc296346614"/>
      <w:bookmarkStart w:id="1209" w:name="_Toc296503113"/>
      <w:r>
        <w:rPr>
          <w:rFonts w:hint="eastAsia" w:cs="宋体"/>
          <w:b/>
          <w:bCs/>
          <w:color w:val="auto"/>
          <w:sz w:val="21"/>
          <w:szCs w:val="21"/>
          <w:highlight w:val="none"/>
        </w:rPr>
        <w:t>过程结算和竣工结算</w:t>
      </w:r>
      <w:bookmarkEnd w:id="1204"/>
      <w:bookmarkEnd w:id="1205"/>
      <w:bookmarkEnd w:id="1206"/>
      <w:bookmarkEnd w:id="1207"/>
      <w:bookmarkStart w:id="1210" w:name="_Toc351203594"/>
      <w:bookmarkStart w:id="1211" w:name="_Toc337558811"/>
    </w:p>
    <w:bookmarkEnd w:id="1210"/>
    <w:bookmarkEnd w:id="1211"/>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14.1 过程结算</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14.1.1过程结算结点</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除专用合同条款另有约定外，本工程采用过程结算并在专用合同条款中约定过程结算结点。</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14.1.2过程结算价款</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除专用合同条款另有约定外，当期过程结算价款，包括当期节点工程的合同价、价款调整、设计变更、现场签证等，其中：</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（1）工期奖惩、优质工程增加费、缩短定额工期增加费、总承包服务费不纳入过程结算，归入竣工结算。</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（2）不宜按节点工程断开结算的个别子项，或发包人和承包人同意暂不列入当期过程结算的工程内容，需在施工过程结算文件中注明，并入后续可以办理过程结算的节点。</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此前节点工程中的价款调整、设计变更、现场签证等，属于承包人的原因再提交的，发包人有权不予认可；属于非承包人原因新增的，归入当期过程结算；属于承包人隐瞒真实情况损害发包人的，发包人有权予以扣回。</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14.1.3过程结算申请</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除专用合同条款另有约定外，承包人应在约定的节点工程验收合格后28内发包人和监理人（如有）提交过程结算申请单，并提交完整的过程结算资料，有关过程结算的资料清单和份数等要求由合同当事人在专用合同条款中约定。承包人超过约定时限不报送的，视为放弃。对质量不合格的，应当在整改并验收合格后办理施工过程结算。</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除专用合同条款另有约定外，过程结算申请单包括以下内容：</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（1）已完节点工程合同价格；</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（2）发包人已支付承包人的款项；</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 xml:space="preserve">（3）应扣留的质量保证金。已缴纳履约保证金的或提供其他工程质量担保方式的除外； </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（4）发包人应支付承包人的合同价款。</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14.1.4 过程结算审核和支付</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除专用合同条款另有约定外，监理人应在收到过程结算申请单后14天内完成核查并报送发包人。发包人应在收到监理人提交的经审核的过程结算申请单后14天内完成审批，并由监理人向承包人签发经发包人签认的施工过程结算付款证书。监理人或发包人对过程结算申请单有异议的，有权要求承包人进行修正和提供补充资料，承包人应提交修正后的过程结算申请单。</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发包人在收到承包人提交过程结算申请书后28天内未完成审批且未提出异议的，视为发包人认可承包人提交的过程结算和竣工结算申请单，并自发包人收到承包人提交的竣工结算申请单后第29天起视为已签发施工过程结算付款证书。</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（2）除专用合同条款另有约定外，发包人应在签发当期施工过程结算付款证书后的5 天内，完成对承包人的付款。发包人逾期支付的，按照中国人民银行发布的同期全国银行间同行业拆借中心公布的贷款市场报价利率（LPR）支付违约金；逾期支付超过56天的，按照中国人民银行发布的同期全国银行间同行业拆借中心公布的贷款市场报价利率（LPR）的两倍支付违约金。</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承包人对发包人签认的当期施工过程结算付款证书有异议的，对于有异议部分应在收到发包人签认的当期施工过程结算付款证书后7天内提出异议，并由合同当事人按照专用合同条款约定的方式和程序进行复核，或按照第20条〔争议解决〕约定处理。对于无异议部分，发包人应签发无异议部分付款证书，并按本款第（2）项完成付款。承包人逾期未提出异议的，视为认可发包人的审批结果。</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4）除专用合同条款另有约定外，当期过程结算价款扣除相应预付款、留置质保金后全额支付。但已完节点价款（包括当期与此前的过程结算价款之和）超过相应已完节点概算的，超过部分金额暂不支付并列入下期评估，但不拖延至竣工结算。工程项目实施过程中需要调整概算的，由发包人在竣工结算前完成。已完节点价款未超过相应节点概算的，则此前未支付金额列入当期过程结算价款一并支付。</w:t>
      </w:r>
    </w:p>
    <w:p>
      <w:pPr>
        <w:adjustRightInd w:val="0"/>
        <w:spacing w:line="360" w:lineRule="auto"/>
        <w:ind w:firstLine="420" w:firstLineChars="200"/>
        <w:jc w:val="left"/>
        <w:textAlignment w:val="baseline"/>
        <w:rPr>
          <w:rFonts w:cs="宋体"/>
          <w:color w:val="auto"/>
          <w:sz w:val="21"/>
          <w:szCs w:val="21"/>
          <w:highlight w:val="none"/>
        </w:rPr>
      </w:pPr>
      <w:bookmarkStart w:id="1212" w:name="_Toc351203596"/>
      <w:bookmarkStart w:id="1213" w:name="_Toc337558813"/>
      <w:r>
        <w:rPr>
          <w:rFonts w:hint="eastAsia" w:cs="宋体"/>
          <w:color w:val="auto"/>
          <w:sz w:val="21"/>
          <w:szCs w:val="21"/>
          <w:highlight w:val="none"/>
        </w:rPr>
        <w:t>14.2竣工结算</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14.2.1竣工结算申请</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除专用合同条款另有约定外，承包人应在工程竣工验收合格后28天内向发包人和监理人提交竣工结算申请单，并提交完整的结算资料，有关竣工结算申请单的资料清单和份数等要求由合同当事人在专用合同条款中约定。</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除专用合同条款另有约定外，竣工结算申请单包括以下内容：</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（1）竣工结算合同价格；</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（2）发包人已支付承包人的款项；</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 xml:space="preserve">（3）应扣留的质量保证金。已缴纳履约保证金的或提供其他工程质量担保方式的除外； </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（4）发包人应支付承包人的合同价款。</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14.2.2竣工结算审核</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除专用合同条款另有约定外，监理人应在收到竣工结算申请单后14天内完成核查并报送发包人。发包人应在收到监理人提交的经审核的竣工结算申请单后14天内完成审批，并由监理人向承包人签发经发包人签认的竣工付款证书。监理人或发包人对竣工结算申请单有异议的，有权要求承包人进行修正和提供补充资料，承包人应提交修正后的竣工结算申请单。</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发包人在收到承包人提交竣工结算申请书后28天内未完成审批且未提出异议的，视为发包人认可承包人提交的竣工结算申请单，并自发包人收到承包人提交的竣工结算申请单后第29天起视为已签发竣工付款证书。</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（2）除专用合同条款另有约定外，发包人应在签发竣工付款证书后的14 天内，完成对承包人的竣工付款。发包人逾期支付的，按照中国人民银行发布的同期全国银行间同行业拆借中心公布的贷款市场报价利率（LPR）支付违约金；逾期支付超过56天的，按照中国人民银行发布的同期全国银行间同行业拆借中心公布的贷款市场报价利率（LPR）的两倍支付违约金。</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承包人对发包人签认的竣工付款证书有异议的，对于有异议部分应在收到发包人签认的竣工付款证书后7天内提出异议，并由合同当事人按照专用合同条款约定的方式和程序进行复核，或按照第20条〔争议解决〕约定处理。对于无异议部分，发包人应签发临时竣工付款证书，并按本款第（2）项完成付款。承包人逾期未提出异议的，视为认可发包人的审批结果。</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14.3 甩项竣工协议</w:t>
      </w:r>
      <w:bookmarkEnd w:id="1212"/>
    </w:p>
    <w:bookmarkEnd w:id="1213"/>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发包人要求甩项竣工的，合同当事人应签订甩项竣工协议。在甩项竣工协议中应明确，合同当事人按照第14.1款〔竣工结算申请〕及14.2款〔竣工结算审核〕的约定，对已完合格工程进行结算，并支付相应合同价款。</w:t>
      </w:r>
    </w:p>
    <w:p>
      <w:pPr>
        <w:adjustRightInd w:val="0"/>
        <w:spacing w:line="360" w:lineRule="auto"/>
        <w:ind w:firstLine="420" w:firstLineChars="200"/>
        <w:jc w:val="left"/>
        <w:textAlignment w:val="baseline"/>
        <w:rPr>
          <w:rFonts w:cs="宋体"/>
          <w:color w:val="auto"/>
          <w:sz w:val="21"/>
          <w:szCs w:val="21"/>
          <w:highlight w:val="none"/>
        </w:rPr>
      </w:pPr>
      <w:bookmarkStart w:id="1214" w:name="_Toc351203597"/>
      <w:bookmarkStart w:id="1215" w:name="_Toc337558814"/>
      <w:r>
        <w:rPr>
          <w:rFonts w:hint="eastAsia" w:cs="宋体"/>
          <w:color w:val="auto"/>
          <w:sz w:val="21"/>
          <w:szCs w:val="21"/>
          <w:highlight w:val="none"/>
        </w:rPr>
        <w:t>14.4 最终结清</w:t>
      </w:r>
      <w:bookmarkEnd w:id="1214"/>
    </w:p>
    <w:bookmarkEnd w:id="1215"/>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14.4.1 最终结清申请单</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（1）除专用合同条款另有约定外，承包人应在缺陷责任期终止证书颁发后7天内，按专用合同条款约定的份数向发包人提交最终结清申请单，并提供相关证明材料。</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除专用合同条款另有约定外，最终结清申请单应列明质量保证金、应扣除的质量保证金、缺陷责任期内发生的增减费用。</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（2）发包人对最终结清申请单内容有异议的，有权要求承包人进行修正和提供补充资料，承包人应向发包人提交修正后的最终结清申请单。</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14.4.2 最终结清证书和支付</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除专用合同条款另有约定外，发包人应在收到承包人提交的最终结清申请单后14天内完成审批并向承包人颁发最终结清证书。发包人逾期未完成审批，又未提出修改意见的，视为发包人同意承包人提交的最终结清申请单，且自发包人收到承包人提交的最终结清申请单后15天起视为已颁发最终结清证书。</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除专用合同条款另有约定外，发包人应在颁发最终结清证书后7天内完成支付。发包人逾期支付的，按照中国人民银行发布的同期全国银行间同行业拆借中心公布的贷款市场报价利率（LPR）支付违约金；逾期支付超过56天的，按照中国人民银行发布的同期全国银行间同行业拆借中心公布的贷款市场报价利率（LPR）的两倍支付违约金。</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（3）承包人对发包人颁发的最终结清证书有异议的，按第20条〔争议解决〕的约定办理。</w:t>
      </w:r>
    </w:p>
    <w:p>
      <w:pPr>
        <w:keepNext/>
        <w:keepLines/>
        <w:numPr>
          <w:ilvl w:val="0"/>
          <w:numId w:val="2"/>
        </w:numPr>
        <w:tabs>
          <w:tab w:val="left" w:pos="425"/>
        </w:tabs>
        <w:adjustRightInd w:val="0"/>
        <w:spacing w:before="280" w:after="290" w:line="360" w:lineRule="auto"/>
        <w:ind w:left="425" w:hanging="425"/>
        <w:textAlignment w:val="baseline"/>
        <w:outlineLvl w:val="4"/>
        <w:rPr>
          <w:rFonts w:cs="宋体"/>
          <w:b/>
          <w:bCs/>
          <w:color w:val="auto"/>
          <w:sz w:val="21"/>
          <w:szCs w:val="21"/>
          <w:highlight w:val="none"/>
        </w:rPr>
      </w:pPr>
      <w:bookmarkStart w:id="1216" w:name="_Toc63471459"/>
      <w:bookmarkStart w:id="1217" w:name="_Toc433901064"/>
      <w:bookmarkStart w:id="1218" w:name="_Toc351203598"/>
      <w:bookmarkStart w:id="1219" w:name="_Toc337558815"/>
      <w:r>
        <w:rPr>
          <w:rFonts w:hint="eastAsia" w:cs="宋体"/>
          <w:b/>
          <w:bCs/>
          <w:color w:val="auto"/>
          <w:sz w:val="21"/>
          <w:szCs w:val="21"/>
          <w:highlight w:val="none"/>
        </w:rPr>
        <w:t>缺陷责任与保修</w:t>
      </w:r>
      <w:bookmarkEnd w:id="1216"/>
      <w:bookmarkEnd w:id="1217"/>
      <w:bookmarkEnd w:id="1218"/>
    </w:p>
    <w:bookmarkEnd w:id="1208"/>
    <w:bookmarkEnd w:id="1209"/>
    <w:bookmarkEnd w:id="1219"/>
    <w:p>
      <w:pPr>
        <w:adjustRightInd w:val="0"/>
        <w:spacing w:line="360" w:lineRule="auto"/>
        <w:ind w:firstLine="420" w:firstLineChars="200"/>
        <w:jc w:val="left"/>
        <w:textAlignment w:val="baseline"/>
        <w:rPr>
          <w:rFonts w:cs="宋体"/>
          <w:color w:val="auto"/>
          <w:sz w:val="21"/>
          <w:szCs w:val="21"/>
          <w:highlight w:val="none"/>
        </w:rPr>
      </w:pPr>
      <w:bookmarkStart w:id="1220" w:name="_Toc351203599"/>
      <w:bookmarkStart w:id="1221" w:name="_Toc337558816"/>
      <w:bookmarkStart w:id="1222" w:name="_Toc296346615"/>
      <w:bookmarkStart w:id="1223" w:name="_Toc296503114"/>
      <w:r>
        <w:rPr>
          <w:rFonts w:hint="eastAsia" w:cs="宋体"/>
          <w:color w:val="auto"/>
          <w:sz w:val="21"/>
          <w:szCs w:val="21"/>
          <w:highlight w:val="none"/>
        </w:rPr>
        <w:t>15.1 工程保修的原则</w:t>
      </w:r>
      <w:bookmarkEnd w:id="1220"/>
    </w:p>
    <w:bookmarkEnd w:id="1221"/>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在工程移交发包人后，因承包人原因产生的质量缺陷，承包人应承担质量缺陷责任和保修义务。缺陷责任期届满，承包人仍应按合同约定的工程各部位保修年限承担保修义务。</w:t>
      </w:r>
    </w:p>
    <w:p>
      <w:pPr>
        <w:adjustRightInd w:val="0"/>
        <w:spacing w:line="360" w:lineRule="auto"/>
        <w:ind w:firstLine="420" w:firstLineChars="200"/>
        <w:jc w:val="left"/>
        <w:textAlignment w:val="baseline"/>
        <w:rPr>
          <w:rFonts w:cs="宋体"/>
          <w:color w:val="auto"/>
          <w:sz w:val="21"/>
          <w:szCs w:val="21"/>
          <w:highlight w:val="none"/>
        </w:rPr>
      </w:pPr>
      <w:bookmarkStart w:id="1224" w:name="_Toc351203600"/>
      <w:bookmarkStart w:id="1225" w:name="_Toc337558817"/>
      <w:r>
        <w:rPr>
          <w:rFonts w:hint="eastAsia" w:cs="宋体"/>
          <w:color w:val="auto"/>
          <w:sz w:val="21"/>
          <w:szCs w:val="21"/>
          <w:highlight w:val="none"/>
        </w:rPr>
        <w:t>15.2 缺陷责任期</w:t>
      </w:r>
      <w:bookmarkEnd w:id="1222"/>
      <w:bookmarkEnd w:id="1223"/>
      <w:bookmarkEnd w:id="1224"/>
    </w:p>
    <w:bookmarkEnd w:id="1225"/>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15.2.1缺陷责任期从工程通过竣工验收之日起计算，合同当事人应在专用合同条款约定缺陷责任期的具体期限，但该期限最长不超过24个月。</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单位工程先于全部工程进行验收，经验收合格并交付使用的，该单位工程缺陷责任期自单位工程验收合格之日起算。因承包人原因导致工程无法按合同约定期限进行竣工验收的，缺陷责任期从实际通过竣工验收之日起计算。因发包人原因导致工程无法按合同约定期限进行竣工验收的，在承包人提交竣工验收报告90天后，工程自动进入缺陷责任期；发包人未经竣工验收擅自使用工程的，缺陷责任期自工程转移占有之日起开始计算。</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15.2.2缺陷责任期内，由承包人原因造成的缺陷，承包人应负责维修，并承担鉴定及维修费用。如承包人不维修也不承担费用，发包人可按合同约定从保证金或银行保函中扣除，费用超出保证金额的，发包人可按合同约定向承包人进行索赔。承包人维修并承担相应费用后，不免除对工程的损失赔偿责任。发包人有权要求承包人延长缺陷责任期，并应在原缺陷责任期届满前发出延长通知。但缺陷责任期（含延长部分）最长不能超过24个月。</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由他人原因造成的缺陷，发包人负责组织维修，承包人不承担费用，且发包人不得从保证金中扣除费用。</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15.2.3 任何一项缺陷或损坏修复后，经检查证明其影响了工程或工程设备的使用性能，承包人应重新进行合同约定的试验和试运行，试验和试运行的全部费用应由责任方承担。</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15.2.4 除专用合同条款另有约定外，承包人应于缺陷责任期届满后7天内向发包人发出缺陷责任期届满通知，发包人应在收到缺陷责任期满通知后14天内核实承包人是否履行缺陷修复义务，承包人未能履行缺陷修复义务的，发包人有权扣除相应金额的维修费用。发包人应在收到缺陷责任期届满通知后14天内，向承包人颁发缺陷责任期终止证书。</w:t>
      </w:r>
    </w:p>
    <w:p>
      <w:pPr>
        <w:adjustRightInd w:val="0"/>
        <w:spacing w:line="360" w:lineRule="auto"/>
        <w:ind w:firstLine="420" w:firstLineChars="200"/>
        <w:jc w:val="left"/>
        <w:textAlignment w:val="baseline"/>
        <w:rPr>
          <w:rFonts w:cs="宋体"/>
          <w:color w:val="auto"/>
          <w:sz w:val="21"/>
          <w:szCs w:val="21"/>
          <w:highlight w:val="none"/>
        </w:rPr>
      </w:pPr>
      <w:bookmarkStart w:id="1226" w:name="_Toc351203601"/>
      <w:bookmarkStart w:id="1227" w:name="_Toc337558818"/>
      <w:bookmarkStart w:id="1228" w:name="_Toc296503115"/>
      <w:bookmarkStart w:id="1229" w:name="_Toc296346616"/>
      <w:r>
        <w:rPr>
          <w:rFonts w:hint="eastAsia" w:cs="宋体"/>
          <w:color w:val="auto"/>
          <w:sz w:val="21"/>
          <w:szCs w:val="21"/>
          <w:highlight w:val="none"/>
        </w:rPr>
        <w:t>15.3 质量保证金</w:t>
      </w:r>
      <w:bookmarkEnd w:id="1226"/>
    </w:p>
    <w:bookmarkEnd w:id="1227"/>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经合同当事人协商一致扣留质量保证金的，应在专用合同条款中予以明确。</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在工程项目竣工前，承包人已经提供履约担保的，发包人不得同时预留工程质量保证金。</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15.3.1 承包人提供质量保证金的方式</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承包人提供质量保证金有以下三种方式：</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 xml:space="preserve">（1）质量保证金保函； </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（2）相应比例的工程款；</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（3）双方约定的其他方式。</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除专用合同条款另有约定外，质量保证金原则上采用上述第（1）种方式。</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15.3.2 质量保证金的扣留</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质量保证金的扣留有以下三种方式：</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（1）在支付工程进度款和过程结算款时逐次扣留，在此情形下，质量保证金的计算基数不包括预付款的支付、扣回以及价格调整的金额；</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（2）工</w:t>
      </w:r>
      <w:bookmarkStart w:id="1230" w:name="#go6"/>
      <w:bookmarkEnd w:id="1230"/>
      <w:r>
        <w:rPr>
          <w:rFonts w:hint="eastAsia" w:cs="宋体"/>
          <w:color w:val="auto"/>
          <w:sz w:val="21"/>
          <w:szCs w:val="21"/>
          <w:highlight w:val="none"/>
        </w:rPr>
        <w:t>程竣工结算时一次性扣留质量保证金；</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（3）双方约定的其他扣留方式。</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除专用合同条款另有约定外，质量保证金的扣留原则上采用上述第（1）种方式。</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发</w:t>
      </w:r>
      <w:bookmarkStart w:id="1231" w:name="#go4"/>
      <w:bookmarkEnd w:id="1231"/>
      <w:r>
        <w:rPr>
          <w:rFonts w:hint="eastAsia" w:cs="宋体"/>
          <w:color w:val="auto"/>
          <w:sz w:val="21"/>
          <w:szCs w:val="21"/>
          <w:highlight w:val="none"/>
        </w:rPr>
        <w:t>包人累计扣留的质量保证金不得超过工程价款结算总额的3%。如承包人在发包人签发竣工付款证书后28天内提交质量保证金保函，发包人应同时退还扣留的作为质量保证金的工程价款；保函金额不得超过工程价款结算总额的3%。</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发包人在退还现金形式质量保证金的同时按照中国人民银行发布的同期全国银行间同行业拆借中心公布的贷款市场报价利率（LPR）支付利息。</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15.3.3 质量保证金的退还</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缺陷责任期内，承包人认真履行合同约定的责任，到期后，承包人可向发包人申请返还保证金。</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发包人在接到承包人返还保证金申请后，应于14天内会同承包人按照合同约定的内容进行核实。如无异议，发包人应当按照约定将保证金返还给承包人。对返还期限没有约定或者约定不明确的，发包人应当在核实后14天内将保证金返还承包人，逾期未返还的，依法承担违约责任。发包人在接到承包人返还保证金申请后14天内不予答复，经催告后14天内仍不予答复，视同认可承包人的返还保证金申请。</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发包人和承包人对保证金预留、返还以及工程维修质量、费用有争议的，按本合同第20条约定的争议和纠纷解决程序处理。</w:t>
      </w:r>
    </w:p>
    <w:p>
      <w:pPr>
        <w:adjustRightInd w:val="0"/>
        <w:spacing w:line="360" w:lineRule="auto"/>
        <w:ind w:firstLine="420" w:firstLineChars="200"/>
        <w:jc w:val="left"/>
        <w:textAlignment w:val="baseline"/>
        <w:rPr>
          <w:rFonts w:cs="宋体"/>
          <w:color w:val="auto"/>
          <w:sz w:val="21"/>
          <w:szCs w:val="21"/>
          <w:highlight w:val="none"/>
        </w:rPr>
      </w:pPr>
      <w:bookmarkStart w:id="1232" w:name="_Toc351203602"/>
      <w:bookmarkStart w:id="1233" w:name="_Toc337558819"/>
      <w:r>
        <w:rPr>
          <w:rFonts w:hint="eastAsia" w:cs="宋体"/>
          <w:color w:val="auto"/>
          <w:sz w:val="21"/>
          <w:szCs w:val="21"/>
          <w:highlight w:val="none"/>
        </w:rPr>
        <w:t>15.4 保修</w:t>
      </w:r>
      <w:bookmarkEnd w:id="1232"/>
    </w:p>
    <w:bookmarkEnd w:id="1228"/>
    <w:bookmarkEnd w:id="1229"/>
    <w:bookmarkEnd w:id="1233"/>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15.4.1保修责任</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工程保修期从工程竣工验收合格之日起算，具体分部分项工程的保修期由合同当事人在专用合同条款中约定，但不得低于法定最低保修年限。在工程保修期内，承包人应当根据有关法律规定以及合同约定承担保修责任。</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发包人未经竣工验收擅自使用工程的，保修期自转移占有之日起算。</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15.4.2 修复费用</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保修期内，修复的费用按照以下约定处理：</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（1）保修期内，因承包人原因造成工程的缺陷、损坏，承包人应负责修复，并承担修复的费用以及因工程的缺陷、损坏造成的人身伤害和财产损失；</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（2）保修期内，因发包人使用不当造成工程的缺陷、损坏，可以委托承包人修复，但发包人应承担修复的费用，并支付承包人合理利润；</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（3）因其他原因造成工程的缺陷、损坏，可以委托承包人修复，发包人应承担修复的费用，并支付承包人合理的利润，因工程的缺陷、损坏造成的人身伤害和财产损失由责任方承担。</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15.4.3 修复通知</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在保修期内，发包人在使用过程中，发现已接收的工程存在缺陷或损坏的，应书面通知承包人予以修复，但情况紧急必须立即修复缺陷或损坏的，发包人可以口头通知承包人并在口头通知后48小时内书面确认，承包人应在专用合同条款约定的合理期限内到达工程现场并修复缺陷或损坏。</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15.4.4 未能修复</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因承包人原因造成工程的缺陷或损坏，承包人拒绝维修或未能在合理期限内修复缺陷或损坏，且经发包人书面催告后仍未修复的，发包人有权自行修复或委托第三方修复，所需费用由承包人承担。但修复范围超出缺陷或损坏范围的，超出范围部分的修复费用由发包人承担。</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15.4.5 承包人出入权</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在保修期内，为了修复缺陷或损坏，承包人有权出入工程现场，除情况紧急必须立即修复缺陷或损坏外，承包人应提前24小时通知发包人进场修复的时间。承包人进入工程现场前应获得发包人同意，且不应影响发包人正常的生产经营，并应遵守发包人有关保安和保密等规定。</w:t>
      </w:r>
    </w:p>
    <w:p>
      <w:pPr>
        <w:keepNext/>
        <w:keepLines/>
        <w:numPr>
          <w:ilvl w:val="0"/>
          <w:numId w:val="2"/>
        </w:numPr>
        <w:tabs>
          <w:tab w:val="left" w:pos="425"/>
        </w:tabs>
        <w:adjustRightInd w:val="0"/>
        <w:spacing w:before="280" w:after="290" w:line="360" w:lineRule="auto"/>
        <w:ind w:left="425" w:hanging="425"/>
        <w:textAlignment w:val="baseline"/>
        <w:outlineLvl w:val="4"/>
        <w:rPr>
          <w:rFonts w:cs="宋体"/>
          <w:b/>
          <w:bCs/>
          <w:color w:val="auto"/>
          <w:sz w:val="21"/>
          <w:szCs w:val="21"/>
          <w:highlight w:val="none"/>
        </w:rPr>
      </w:pPr>
      <w:bookmarkStart w:id="1234" w:name="_Toc63471460"/>
      <w:bookmarkStart w:id="1235" w:name="_Toc351203603"/>
      <w:bookmarkStart w:id="1236" w:name="_Toc433901065"/>
      <w:bookmarkStart w:id="1237" w:name="_Toc337558820"/>
      <w:r>
        <w:rPr>
          <w:rFonts w:hint="eastAsia" w:cs="宋体"/>
          <w:b/>
          <w:bCs/>
          <w:color w:val="auto"/>
          <w:sz w:val="21"/>
          <w:szCs w:val="21"/>
          <w:highlight w:val="none"/>
        </w:rPr>
        <w:t>违约</w:t>
      </w:r>
      <w:bookmarkEnd w:id="1234"/>
      <w:bookmarkEnd w:id="1235"/>
      <w:bookmarkEnd w:id="1236"/>
    </w:p>
    <w:bookmarkEnd w:id="1237"/>
    <w:p>
      <w:pPr>
        <w:adjustRightInd w:val="0"/>
        <w:spacing w:line="360" w:lineRule="auto"/>
        <w:ind w:firstLine="420" w:firstLineChars="200"/>
        <w:jc w:val="left"/>
        <w:textAlignment w:val="baseline"/>
        <w:rPr>
          <w:rFonts w:cs="宋体"/>
          <w:color w:val="auto"/>
          <w:sz w:val="21"/>
          <w:szCs w:val="21"/>
          <w:highlight w:val="none"/>
        </w:rPr>
      </w:pPr>
      <w:bookmarkStart w:id="1238" w:name="_Toc296346630"/>
      <w:bookmarkStart w:id="1239" w:name="_Toc296503129"/>
      <w:bookmarkStart w:id="1240" w:name="_Toc351203604"/>
      <w:bookmarkStart w:id="1241" w:name="_Toc337558821"/>
      <w:r>
        <w:rPr>
          <w:rFonts w:hint="eastAsia" w:cs="宋体"/>
          <w:color w:val="auto"/>
          <w:sz w:val="21"/>
          <w:szCs w:val="21"/>
          <w:highlight w:val="none"/>
        </w:rPr>
        <w:t>16.1 发</w:t>
      </w:r>
      <w:bookmarkEnd w:id="1238"/>
      <w:bookmarkEnd w:id="1239"/>
      <w:r>
        <w:rPr>
          <w:rFonts w:hint="eastAsia" w:cs="宋体"/>
          <w:color w:val="auto"/>
          <w:sz w:val="21"/>
          <w:szCs w:val="21"/>
          <w:highlight w:val="none"/>
        </w:rPr>
        <w:t>包人违约</w:t>
      </w:r>
      <w:bookmarkEnd w:id="1240"/>
    </w:p>
    <w:bookmarkEnd w:id="1241"/>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16.1.1 发包人违约的情形</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在合同履行过程中发生的下列情形，属于发包人违约：</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（1）因发包人原因未能在计划开工日期前7天内下达开工通知的；</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（2）因发包人原因未能按合同约定支付合同价款的；</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（3）发包人违反第10.1款〔变更的范围〕第（2）项约定，自行实施被取消的工作或转由他人实施的；</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（4）发包人提供的材料、工程设备的规格、数量或质量不符合合同约定，或因发包人原因导致交货日期延误或交货地点变更等情况的；</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（5）因发包人违反合同约定造成暂停施工的；</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（6）发包人无正当理由没有在约定期限内发出复工指示，导致承包人无法复工的；</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（7）发包人明确表示或者以其行为表明不履行合同主要义务的；</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（8）发包人未能按照合同约定履行其他义务的。</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发包人发生除本项第（7）目以外的违约情况时，承包人可向发包人发出通知，要求发包人采取有效措施纠正违约行为。发包人收到承包人通知后28天内仍不纠正违约行为的，承包人有权暂停相应部位工程施工，并通知监理人。</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16.1.2 发包人违约的责任</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发包人应承担因其违约给承包人增加的费用和（或）延误的工期，并支付承包人合理的利润。此外，合同当事人可在专用合同条款中另行约定发包人违约责任的承担方式和计算方法。</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16.1.3 因发包人违约解除合同</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除专用合同条款另有约定外，承包人按第16.1.1项〔发包人违约的情形〕约定暂停施工满28天后，发包人仍不纠正其违约行为并致使合同目的不能实现的，或出现第16.1.1项〔发包人违约的情形〕第（7）目约定的违约情况，承包人有权解除合同，发包人应承担由此增加的费用，并支付承包人合理的利润。</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16.1.4 因发包人违约解除合同后的付款</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承包人按照本款约定解除合同的，发包人应在解除合同后28天内支付下列款项，并解除履约担保：</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（1）合同解除前所完成工作的价款；</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（2）承包人为工程施工订购并已付款的材料、工程设备和其他物品的价款；</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（3）承包人撤离施工现场以及遣散承包人人员的款项；</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（4）按照合同约定在合同解除前应支付的违约金；</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（5）按照合同约定应当支付给承包人的其他款项；</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（6）按照合同约定应退还的质量保证金；</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（7）因解除合同给承包人造成的损失。</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合同当事人未能就解除合同后的结清达成一致的，按照第20条〔争议解决〕的约定处理。</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承包人应妥善做好已完工程和与工程有关的已购材料、工程设备的保护和移交工作，并将施工设备和人员撤出施工现场，发包人应为承包人撤出提供必要条件。</w:t>
      </w:r>
    </w:p>
    <w:p>
      <w:pPr>
        <w:adjustRightInd w:val="0"/>
        <w:spacing w:line="360" w:lineRule="auto"/>
        <w:ind w:firstLine="420" w:firstLineChars="200"/>
        <w:jc w:val="left"/>
        <w:textAlignment w:val="baseline"/>
        <w:rPr>
          <w:rFonts w:cs="宋体"/>
          <w:color w:val="auto"/>
          <w:sz w:val="21"/>
          <w:szCs w:val="21"/>
          <w:highlight w:val="none"/>
        </w:rPr>
      </w:pPr>
      <w:bookmarkStart w:id="1242" w:name="_Toc351203605"/>
      <w:bookmarkStart w:id="1243" w:name="_Toc337558822"/>
      <w:bookmarkStart w:id="1244" w:name="_Toc296346632"/>
      <w:bookmarkStart w:id="1245" w:name="_Toc296503131"/>
      <w:r>
        <w:rPr>
          <w:rFonts w:hint="eastAsia" w:cs="宋体"/>
          <w:color w:val="auto"/>
          <w:sz w:val="21"/>
          <w:szCs w:val="21"/>
          <w:highlight w:val="none"/>
        </w:rPr>
        <w:t>16.2 承包人违约</w:t>
      </w:r>
      <w:bookmarkEnd w:id="1242"/>
    </w:p>
    <w:bookmarkEnd w:id="1243"/>
    <w:bookmarkEnd w:id="1244"/>
    <w:bookmarkEnd w:id="1245"/>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16.2.1 承包人违约的情形</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在合同履行过程中发生的下列情形，属于承包人违约：</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（1）承包人违反合同约定进行转包或违法分包的；</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（2）承包人违反合同约定采购和使用不合格的材料和工程设备的；</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 xml:space="preserve">（3）因承包人原因导致工程质量不符合合同要求的； </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（4）承包人违反第8.9款〔材料与设备专用要求〕的约定，未经批准，私自将已按照合同约定进入施工现场的材料或设备撤离施工现场的；</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（5）承包人未能按施工进度计划及时完成合同约定的工作，造成工期延误的；</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（6）承包人在缺陷责任期及保修期内，未能在合理期限对工程缺陷进行修复，或拒绝按发包人要求进行修复的；</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（7）承包人明确表示或者以其行为表明不履行合同主要义务的；</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（8）承包人未能按照合同约定履行其他义务的。</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承包人发生除本项第（7）目约定以外的其他违约情况时，监理人可向承包人发出整改通知，要求其在指定的期限内改正。</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16.2.2 承包人违约的责任</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承包人应承担因其违约行为而增加的费用和（或）延误的工期。此外，合同当事人可在专用合同条款中另行约定承包人违约责任的承担方式和计算方法。</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16.2.3 因承包人违约解除合同</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除专用合同条款另有约定外，出现第16.2.1项〔承包人违约的情形〕第（7）目约定的违约情况时，或监理人发出整改通知后，承包人在指定的合理期限内仍不纠正违约行为并致使合同目的不能实现的，发包人有权解除合同。合同解除后，因继续完成工程的需要，发包人有权使用承包人在施工现场的材料、设备、临时工程、承包人文件和由承包人或以其名义编制的其他文件，合同当事人应在专用合同条款约定相应费用的承担方式。发包人继续使用的行为不免除或减轻承包人应承担的违约责任。</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16.2.4因承包人违约解除合同后的处理</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因承包人原因导致合同解除的，则合同当事人应在合同解除后28天内完成估价、付款和清算，并按以下约定执行：</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（1）合同解除后，按第4.4款〔商定或确定〕商定或确定承包人实际完成工作对应的合同价款，以及承包人已提供的材料、工程设备、施工设备和临时工程等的价值；</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（2）合同解除后，承包人应支付的违约金；</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（3）合同解除后，因解除合同给发包人造成的损失；</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（4）合同解除后，承包人应按照发包人要求和监理人的指示完成现场的清理和撤离；</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（5）发包人和承包人应在合同解除后进行清算，出具最终结清付款证书，结清全部款项。</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因承包人违约解除合同的，发包人有权暂停对承包人的付款，查清各项付款和已扣款项。发包人和承包人未能就合同解除后的清算和款项支付达成一致的，按照第20条〔争议解决〕的约定处理。</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16.2.5采购合同权益转让</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因承包人违约解除合同的，发包人有权要求承包人将其为实施合同而签订的材料和设备的采购合同的权益转让给发包人，承包人应在收到解除合同通知后14天内，协助发包人与采购合同的供应商达成相关的转让协议。</w:t>
      </w:r>
    </w:p>
    <w:p>
      <w:pPr>
        <w:adjustRightInd w:val="0"/>
        <w:spacing w:line="360" w:lineRule="auto"/>
        <w:ind w:firstLine="420" w:firstLineChars="200"/>
        <w:jc w:val="left"/>
        <w:textAlignment w:val="baseline"/>
        <w:rPr>
          <w:rFonts w:cs="宋体"/>
          <w:color w:val="auto"/>
          <w:sz w:val="21"/>
          <w:szCs w:val="21"/>
          <w:highlight w:val="none"/>
        </w:rPr>
      </w:pPr>
      <w:bookmarkStart w:id="1246" w:name="_Toc351203606"/>
      <w:r>
        <w:rPr>
          <w:rFonts w:hint="eastAsia" w:cs="宋体"/>
          <w:color w:val="auto"/>
          <w:sz w:val="21"/>
          <w:szCs w:val="21"/>
          <w:highlight w:val="none"/>
        </w:rPr>
        <w:t>16.3 第三人造成的违约</w:t>
      </w:r>
      <w:bookmarkEnd w:id="1246"/>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在履行合同过程中，一方当事人因第三人的原因造成违约的，应当向对方当事人承担违约责任。一方当事人和第三人之间的纠纷，依照法律规定或者按照约定解决。</w:t>
      </w:r>
    </w:p>
    <w:p>
      <w:pPr>
        <w:keepNext/>
        <w:keepLines/>
        <w:numPr>
          <w:ilvl w:val="0"/>
          <w:numId w:val="2"/>
        </w:numPr>
        <w:tabs>
          <w:tab w:val="left" w:pos="425"/>
        </w:tabs>
        <w:adjustRightInd w:val="0"/>
        <w:spacing w:before="280" w:after="290" w:line="360" w:lineRule="auto"/>
        <w:ind w:left="425" w:hanging="425"/>
        <w:textAlignment w:val="baseline"/>
        <w:outlineLvl w:val="4"/>
        <w:rPr>
          <w:rFonts w:cs="宋体"/>
          <w:b/>
          <w:bCs/>
          <w:color w:val="auto"/>
          <w:sz w:val="21"/>
          <w:szCs w:val="21"/>
          <w:highlight w:val="none"/>
        </w:rPr>
      </w:pPr>
      <w:bookmarkStart w:id="1247" w:name="_Toc433901066"/>
      <w:bookmarkStart w:id="1248" w:name="_Toc351203607"/>
      <w:bookmarkStart w:id="1249" w:name="_Toc296346617"/>
      <w:bookmarkStart w:id="1250" w:name="_Toc63471461"/>
      <w:bookmarkStart w:id="1251" w:name="_Toc296503116"/>
      <w:bookmarkStart w:id="1252" w:name="_Toc337558823"/>
      <w:r>
        <w:rPr>
          <w:rFonts w:hint="eastAsia" w:cs="宋体"/>
          <w:b/>
          <w:bCs/>
          <w:color w:val="auto"/>
          <w:sz w:val="21"/>
          <w:szCs w:val="21"/>
          <w:highlight w:val="none"/>
        </w:rPr>
        <w:t>不可抗力</w:t>
      </w:r>
      <w:bookmarkEnd w:id="1247"/>
      <w:bookmarkEnd w:id="1248"/>
      <w:r>
        <w:rPr>
          <w:rFonts w:hint="eastAsia" w:cs="宋体"/>
          <w:b/>
          <w:bCs/>
          <w:color w:val="auto"/>
          <w:sz w:val="21"/>
          <w:szCs w:val="21"/>
          <w:highlight w:val="none"/>
        </w:rPr>
        <w:t xml:space="preserve"> </w:t>
      </w:r>
      <w:bookmarkEnd w:id="1249"/>
      <w:bookmarkEnd w:id="1250"/>
      <w:bookmarkEnd w:id="1251"/>
      <w:bookmarkEnd w:id="1252"/>
    </w:p>
    <w:p>
      <w:pPr>
        <w:adjustRightInd w:val="0"/>
        <w:spacing w:line="360" w:lineRule="auto"/>
        <w:ind w:firstLine="420" w:firstLineChars="200"/>
        <w:jc w:val="left"/>
        <w:textAlignment w:val="baseline"/>
        <w:rPr>
          <w:rFonts w:cs="宋体"/>
          <w:color w:val="auto"/>
          <w:sz w:val="21"/>
          <w:szCs w:val="21"/>
          <w:highlight w:val="none"/>
        </w:rPr>
      </w:pPr>
      <w:bookmarkStart w:id="1253" w:name="_Toc351203608"/>
      <w:bookmarkStart w:id="1254" w:name="_Toc296503117"/>
      <w:bookmarkStart w:id="1255" w:name="_Toc337558824"/>
      <w:bookmarkStart w:id="1256" w:name="_Toc296346618"/>
      <w:r>
        <w:rPr>
          <w:rFonts w:hint="eastAsia" w:cs="宋体"/>
          <w:color w:val="auto"/>
          <w:sz w:val="21"/>
          <w:szCs w:val="21"/>
          <w:highlight w:val="none"/>
        </w:rPr>
        <w:t>17.1 不可抗力的确认</w:t>
      </w:r>
      <w:bookmarkEnd w:id="1253"/>
    </w:p>
    <w:bookmarkEnd w:id="1254"/>
    <w:bookmarkEnd w:id="1255"/>
    <w:bookmarkEnd w:id="1256"/>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不可抗力是指合同当事人在签订合同时不可预见，在合同履行过程中不可避免且不能克服的自然灾害和社会性突发事件，如地震、海啸、瘟疫、骚乱、戒严、暴动、战争和专用合同条款中约定的其他情形。</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不可抗力发生后，发包人和承包人应收集证明不可抗力发生及不可抗力造成损失的证据，并及时认真统计所造成的损失。合同当事人对是否属于不可抗力或其损失的意见不一致的，由监理人按第4.4款〔商定或确定〕的约定处理。发生争议时，按第20条〔争议解决〕的约定处理。</w:t>
      </w:r>
    </w:p>
    <w:p>
      <w:pPr>
        <w:adjustRightInd w:val="0"/>
        <w:spacing w:line="360" w:lineRule="auto"/>
        <w:ind w:firstLine="420" w:firstLineChars="200"/>
        <w:jc w:val="left"/>
        <w:textAlignment w:val="baseline"/>
        <w:rPr>
          <w:rFonts w:cs="宋体"/>
          <w:color w:val="auto"/>
          <w:sz w:val="21"/>
          <w:szCs w:val="21"/>
          <w:highlight w:val="none"/>
        </w:rPr>
      </w:pPr>
      <w:bookmarkStart w:id="1257" w:name="_Toc351203609"/>
      <w:bookmarkStart w:id="1258" w:name="_Toc337558825"/>
      <w:bookmarkStart w:id="1259" w:name="_Toc296503118"/>
      <w:bookmarkStart w:id="1260" w:name="_Toc296346619"/>
      <w:r>
        <w:rPr>
          <w:rFonts w:hint="eastAsia" w:cs="宋体"/>
          <w:color w:val="auto"/>
          <w:sz w:val="21"/>
          <w:szCs w:val="21"/>
          <w:highlight w:val="none"/>
        </w:rPr>
        <w:t>17.2 不可抗力的通知</w:t>
      </w:r>
      <w:bookmarkEnd w:id="1257"/>
    </w:p>
    <w:bookmarkEnd w:id="1258"/>
    <w:bookmarkEnd w:id="1259"/>
    <w:bookmarkEnd w:id="1260"/>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合同一方当事人遇到不可抗力事件，使其履行合同义务受到阻碍时，应立即通知合同另一方当事人和监理人，书面说明不可抗力和受阻碍的详细情况，并提供必要的证明。</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不可抗力持续发生的，合同一方当事人应及时向合同另一方当事人和监理人提交中间报告，说明不可抗力和履行合同受阻的情况，并于不可抗力事件结束后28天内提交最终报告及有关资料。</w:t>
      </w:r>
    </w:p>
    <w:p>
      <w:pPr>
        <w:adjustRightInd w:val="0"/>
        <w:spacing w:line="360" w:lineRule="auto"/>
        <w:ind w:firstLine="420" w:firstLineChars="200"/>
        <w:jc w:val="left"/>
        <w:textAlignment w:val="baseline"/>
        <w:rPr>
          <w:rFonts w:cs="宋体"/>
          <w:color w:val="auto"/>
          <w:sz w:val="21"/>
          <w:szCs w:val="21"/>
          <w:highlight w:val="none"/>
        </w:rPr>
      </w:pPr>
      <w:bookmarkStart w:id="1261" w:name="_Toc351203610"/>
      <w:bookmarkStart w:id="1262" w:name="_Toc337558826"/>
      <w:bookmarkStart w:id="1263" w:name="_Toc296503119"/>
      <w:bookmarkStart w:id="1264" w:name="_Toc296346620"/>
      <w:r>
        <w:rPr>
          <w:rFonts w:hint="eastAsia" w:cs="宋体"/>
          <w:color w:val="auto"/>
          <w:sz w:val="21"/>
          <w:szCs w:val="21"/>
          <w:highlight w:val="none"/>
        </w:rPr>
        <w:t>17.3 不可抗力后果的承担</w:t>
      </w:r>
      <w:bookmarkEnd w:id="1261"/>
    </w:p>
    <w:bookmarkEnd w:id="1262"/>
    <w:bookmarkEnd w:id="1263"/>
    <w:bookmarkEnd w:id="1264"/>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17.3.1 不可抗力引起的后果及造成的损失由合同当事人按照法律规定及合同约定各自承担。不可抗力发生前已完成的工程应当按照合同约定进行计量支付。</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17.3.2 不可抗力导致的人员伤亡、财产损失、费用增加和（或）工期延误等后果，由合同当事人按以下原则承担：</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（1）永久工程、已运至施工现场的材料和工程设备的损坏，以及因工程损坏造成的第三人人员伤亡和财产损失由发包人承担；</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（2）承包人施工设备的损坏由承包人承担；</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（3）发包人和承包人承担各自人员伤亡和财产的损失；</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（4）因不可抗力影响承包人履行合同约定的义务，已经引起或将引起工期延误的，应当顺延工期，由此导致承包人停工的费用损失由发包人和承包人合理分担，停工期间必须支付的工人工资由发包人承担；</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（5）因不可抗力引起或将引起工期延误，发包人要求赶工的，由此增加的赶工费用由发包人承担；</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（6）承包人在停工期间按照发包人要求照管、清理和修复工程的费用由发包人承担。</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不可抗力发生后，合同当事人均应采取措施尽量避免和减少损失的扩大，任何一方当事人没有采取有效措施导致损失扩大的，应对扩大的损失承担责任。</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因合同一方迟延履行合同义务，在迟延履行期间遭遇不可抗力的，不免除其违约责任。</w:t>
      </w:r>
    </w:p>
    <w:p>
      <w:pPr>
        <w:adjustRightInd w:val="0"/>
        <w:spacing w:line="360" w:lineRule="auto"/>
        <w:ind w:firstLine="420" w:firstLineChars="200"/>
        <w:jc w:val="left"/>
        <w:textAlignment w:val="baseline"/>
        <w:rPr>
          <w:rFonts w:cs="宋体"/>
          <w:color w:val="auto"/>
          <w:sz w:val="21"/>
          <w:szCs w:val="21"/>
          <w:highlight w:val="none"/>
        </w:rPr>
      </w:pPr>
      <w:bookmarkStart w:id="1265" w:name="_Toc351203611"/>
      <w:bookmarkStart w:id="1266" w:name="_Toc337558827"/>
      <w:r>
        <w:rPr>
          <w:rFonts w:hint="eastAsia" w:cs="宋体"/>
          <w:color w:val="auto"/>
          <w:sz w:val="21"/>
          <w:szCs w:val="21"/>
          <w:highlight w:val="none"/>
        </w:rPr>
        <w:t>17.4 因不可抗力解除合同</w:t>
      </w:r>
      <w:bookmarkEnd w:id="1265"/>
    </w:p>
    <w:bookmarkEnd w:id="1266"/>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因不可抗力导致合同无法履行连续超过84天或累计超过140天的，发包人和承包人均有权解除合同。合同解除后，由双方当事人按照第4.4款〔商定或确定〕商定或确定发包人应支付的款项，该款项包括：</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（1）合同解除前承包人已完成工作的价款；</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（2）承包人为工程订购的并已交付给承包人，或承包人有责任接受交付的材料、工程设备和其他物品的价款；</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（3）发包人要求承包人退货或解除订货合同而产生的费用，或因不能退货或解除合同而产生的损失；</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（4）承包人撤离施工现场以及遣散承包人人员的费用；</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（5）按照合同约定在合同解除前应支付给承包人的其他款项；</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（6）扣减承包人按照合同约定应向发包人支付的款项；</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（7）双方商定或确定的其他款项。</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除专用合同条款另有约定外，合同解除后，发包人应在商定或确定上述款项后28天内完成上述款项的支付。</w:t>
      </w:r>
    </w:p>
    <w:p>
      <w:pPr>
        <w:keepNext/>
        <w:keepLines/>
        <w:numPr>
          <w:ilvl w:val="0"/>
          <w:numId w:val="2"/>
        </w:numPr>
        <w:tabs>
          <w:tab w:val="left" w:pos="425"/>
        </w:tabs>
        <w:adjustRightInd w:val="0"/>
        <w:spacing w:before="280" w:after="290" w:line="360" w:lineRule="auto"/>
        <w:ind w:left="425" w:hanging="425"/>
        <w:textAlignment w:val="baseline"/>
        <w:outlineLvl w:val="4"/>
        <w:rPr>
          <w:rFonts w:cs="宋体"/>
          <w:b/>
          <w:bCs/>
          <w:color w:val="auto"/>
          <w:sz w:val="21"/>
          <w:szCs w:val="21"/>
          <w:highlight w:val="none"/>
        </w:rPr>
      </w:pPr>
      <w:bookmarkStart w:id="1267" w:name="_Toc63471462"/>
      <w:bookmarkStart w:id="1268" w:name="_Toc351203612"/>
      <w:bookmarkStart w:id="1269" w:name="_Toc433901067"/>
      <w:bookmarkStart w:id="1270" w:name="_Toc296503120"/>
      <w:bookmarkStart w:id="1271" w:name="_Toc337558828"/>
      <w:bookmarkStart w:id="1272" w:name="_Toc296346621"/>
      <w:r>
        <w:rPr>
          <w:rFonts w:hint="eastAsia" w:cs="宋体"/>
          <w:b/>
          <w:bCs/>
          <w:color w:val="auto"/>
          <w:sz w:val="21"/>
          <w:szCs w:val="21"/>
          <w:highlight w:val="none"/>
        </w:rPr>
        <w:t>保险</w:t>
      </w:r>
      <w:bookmarkEnd w:id="1267"/>
      <w:bookmarkEnd w:id="1268"/>
      <w:bookmarkEnd w:id="1269"/>
    </w:p>
    <w:bookmarkEnd w:id="1270"/>
    <w:bookmarkEnd w:id="1271"/>
    <w:bookmarkEnd w:id="1272"/>
    <w:p>
      <w:pPr>
        <w:adjustRightInd w:val="0"/>
        <w:spacing w:line="360" w:lineRule="auto"/>
        <w:ind w:firstLine="420" w:firstLineChars="200"/>
        <w:jc w:val="left"/>
        <w:textAlignment w:val="baseline"/>
        <w:rPr>
          <w:rFonts w:cs="宋体"/>
          <w:color w:val="auto"/>
          <w:sz w:val="21"/>
          <w:szCs w:val="21"/>
          <w:highlight w:val="none"/>
        </w:rPr>
      </w:pPr>
      <w:bookmarkStart w:id="1273" w:name="_Toc351203613"/>
      <w:bookmarkStart w:id="1274" w:name="_Toc337558829"/>
      <w:bookmarkStart w:id="1275" w:name="_Toc296346622"/>
      <w:bookmarkStart w:id="1276" w:name="_Toc296503121"/>
      <w:r>
        <w:rPr>
          <w:rFonts w:hint="eastAsia" w:cs="宋体"/>
          <w:color w:val="auto"/>
          <w:sz w:val="21"/>
          <w:szCs w:val="21"/>
          <w:highlight w:val="none"/>
        </w:rPr>
        <w:t>18.1 工程保险</w:t>
      </w:r>
      <w:bookmarkEnd w:id="1273"/>
    </w:p>
    <w:bookmarkEnd w:id="1274"/>
    <w:bookmarkEnd w:id="1275"/>
    <w:bookmarkEnd w:id="1276"/>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除专用合同条款另有约定外，发包人应投保建筑工程一切险或安装工程一切险；发包人委托承包人投保的，因投保产生的保险费和其他相关费用由发包人承担。</w:t>
      </w:r>
    </w:p>
    <w:p>
      <w:pPr>
        <w:adjustRightInd w:val="0"/>
        <w:spacing w:line="360" w:lineRule="auto"/>
        <w:ind w:firstLine="420" w:firstLineChars="200"/>
        <w:jc w:val="left"/>
        <w:textAlignment w:val="baseline"/>
        <w:rPr>
          <w:rFonts w:cs="宋体"/>
          <w:color w:val="auto"/>
          <w:sz w:val="21"/>
          <w:szCs w:val="21"/>
          <w:highlight w:val="none"/>
        </w:rPr>
      </w:pPr>
      <w:bookmarkStart w:id="1277" w:name="_Toc351203614"/>
      <w:bookmarkStart w:id="1278" w:name="_Toc337558830"/>
      <w:bookmarkStart w:id="1279" w:name="_Toc296346623"/>
      <w:bookmarkStart w:id="1280" w:name="_Toc296503122"/>
      <w:r>
        <w:rPr>
          <w:rFonts w:hint="eastAsia" w:cs="宋体"/>
          <w:color w:val="auto"/>
          <w:sz w:val="21"/>
          <w:szCs w:val="21"/>
          <w:highlight w:val="none"/>
        </w:rPr>
        <w:t>18.2 工伤保险</w:t>
      </w:r>
      <w:bookmarkEnd w:id="1277"/>
    </w:p>
    <w:bookmarkEnd w:id="1278"/>
    <w:bookmarkEnd w:id="1279"/>
    <w:bookmarkEnd w:id="1280"/>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18.2.1 发包人应依照法律规定参加工伤保险，并为在施工现场的全部员工办理工伤保险，缴纳工伤保险费，并要求监理人及由发包人为履行合同聘请的第三方依法参加工伤保险。</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18.2.2 承包人应依照法律规定参加工伤保险，并为其履行合同的全部员工办理工伤保险，缴纳工伤保险费，并要求分包人及由承包人为履行合同聘请的第三方依法参加工伤保险。</w:t>
      </w:r>
    </w:p>
    <w:p>
      <w:pPr>
        <w:adjustRightInd w:val="0"/>
        <w:spacing w:line="360" w:lineRule="auto"/>
        <w:ind w:firstLine="420" w:firstLineChars="200"/>
        <w:jc w:val="left"/>
        <w:textAlignment w:val="baseline"/>
        <w:rPr>
          <w:rFonts w:cs="宋体"/>
          <w:color w:val="auto"/>
          <w:sz w:val="21"/>
          <w:szCs w:val="21"/>
          <w:highlight w:val="none"/>
        </w:rPr>
      </w:pPr>
      <w:bookmarkStart w:id="1281" w:name="_Toc351203615"/>
      <w:bookmarkStart w:id="1282" w:name="_Toc296503125"/>
      <w:bookmarkStart w:id="1283" w:name="_Toc337558831"/>
      <w:bookmarkStart w:id="1284" w:name="_Toc296346626"/>
      <w:r>
        <w:rPr>
          <w:rFonts w:hint="eastAsia" w:cs="宋体"/>
          <w:color w:val="auto"/>
          <w:sz w:val="21"/>
          <w:szCs w:val="21"/>
          <w:highlight w:val="none"/>
        </w:rPr>
        <w:t>18.3其他保险</w:t>
      </w:r>
      <w:bookmarkEnd w:id="1281"/>
    </w:p>
    <w:bookmarkEnd w:id="1282"/>
    <w:bookmarkEnd w:id="1283"/>
    <w:bookmarkEnd w:id="1284"/>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发包人和承包人可以为其施工现场的全部人员办理意外伤害保险并支付保险费，包括其员工及为履行合同聘请的第三方的人员，具体事项由合同当事人在专用合同条款约定。</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除专用合同条款另有约定外，承包人应为其施工设备等办理财产保险。</w:t>
      </w:r>
    </w:p>
    <w:p>
      <w:pPr>
        <w:adjustRightInd w:val="0"/>
        <w:spacing w:line="360" w:lineRule="auto"/>
        <w:ind w:firstLine="420" w:firstLineChars="200"/>
        <w:jc w:val="left"/>
        <w:textAlignment w:val="baseline"/>
        <w:rPr>
          <w:rFonts w:cs="宋体"/>
          <w:color w:val="auto"/>
          <w:sz w:val="21"/>
          <w:szCs w:val="21"/>
          <w:highlight w:val="none"/>
        </w:rPr>
      </w:pPr>
      <w:bookmarkStart w:id="1285" w:name="_Toc351203616"/>
      <w:r>
        <w:rPr>
          <w:rFonts w:hint="eastAsia" w:cs="宋体"/>
          <w:color w:val="auto"/>
          <w:sz w:val="21"/>
          <w:szCs w:val="21"/>
          <w:highlight w:val="none"/>
        </w:rPr>
        <w:t>18.4持续保险</w:t>
      </w:r>
      <w:bookmarkEnd w:id="1285"/>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合同当事人应与保险人保持联系，使保险人能够随时了解工程实施中的变动，并确保按保险合同条款要求持续保险。</w:t>
      </w:r>
    </w:p>
    <w:p>
      <w:pPr>
        <w:adjustRightInd w:val="0"/>
        <w:spacing w:line="360" w:lineRule="auto"/>
        <w:ind w:firstLine="420" w:firstLineChars="200"/>
        <w:jc w:val="left"/>
        <w:textAlignment w:val="baseline"/>
        <w:rPr>
          <w:rFonts w:cs="宋体"/>
          <w:color w:val="auto"/>
          <w:sz w:val="21"/>
          <w:szCs w:val="21"/>
          <w:highlight w:val="none"/>
        </w:rPr>
      </w:pPr>
      <w:bookmarkStart w:id="1286" w:name="_Toc351203617"/>
      <w:bookmarkStart w:id="1287" w:name="_Toc296346627"/>
      <w:bookmarkStart w:id="1288" w:name="_Toc296503126"/>
      <w:bookmarkStart w:id="1289" w:name="_Toc337558832"/>
      <w:r>
        <w:rPr>
          <w:rFonts w:hint="eastAsia" w:cs="宋体"/>
          <w:color w:val="auto"/>
          <w:sz w:val="21"/>
          <w:szCs w:val="21"/>
          <w:highlight w:val="none"/>
        </w:rPr>
        <w:t>18.5 保险凭证</w:t>
      </w:r>
      <w:bookmarkEnd w:id="1286"/>
    </w:p>
    <w:bookmarkEnd w:id="1287"/>
    <w:bookmarkEnd w:id="1288"/>
    <w:bookmarkEnd w:id="1289"/>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合同当事人应及时向另一方当事人提交其已投保的各项保险的凭证和保险单复印件。</w:t>
      </w:r>
    </w:p>
    <w:p>
      <w:pPr>
        <w:adjustRightInd w:val="0"/>
        <w:spacing w:line="360" w:lineRule="auto"/>
        <w:ind w:firstLine="420" w:firstLineChars="200"/>
        <w:jc w:val="left"/>
        <w:textAlignment w:val="baseline"/>
        <w:rPr>
          <w:rFonts w:cs="宋体"/>
          <w:color w:val="auto"/>
          <w:sz w:val="21"/>
          <w:szCs w:val="21"/>
          <w:highlight w:val="none"/>
        </w:rPr>
      </w:pPr>
      <w:bookmarkStart w:id="1290" w:name="_Toc351203618"/>
      <w:bookmarkStart w:id="1291" w:name="_Toc337558833"/>
      <w:bookmarkStart w:id="1292" w:name="_Toc296503127"/>
      <w:bookmarkStart w:id="1293" w:name="_Toc296346628"/>
      <w:r>
        <w:rPr>
          <w:rFonts w:hint="eastAsia" w:cs="宋体"/>
          <w:color w:val="auto"/>
          <w:sz w:val="21"/>
          <w:szCs w:val="21"/>
          <w:highlight w:val="none"/>
        </w:rPr>
        <w:t>18.6 未按约定投保的补救</w:t>
      </w:r>
      <w:bookmarkEnd w:id="1290"/>
    </w:p>
    <w:bookmarkEnd w:id="1291"/>
    <w:bookmarkEnd w:id="1292"/>
    <w:bookmarkEnd w:id="1293"/>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18.6.1发包人未按合同约定办理保险，或未能使保险持续有效的，则承包人可代为办理，所需费用由发包人承担。发包人未按合同约定办理保险，导致未能得到足额赔偿的，由发包人负责补足。</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18.6.2承包人未按合同约定办理保险，或未能使保险持续有效的，则发包人可代为办理，所需费用由承包人承担。承包人未按合同约定办理保险，导致未能得到足额赔偿的，由承包人负责补足。</w:t>
      </w:r>
    </w:p>
    <w:p>
      <w:pPr>
        <w:adjustRightInd w:val="0"/>
        <w:spacing w:line="360" w:lineRule="auto"/>
        <w:ind w:firstLine="420" w:firstLineChars="200"/>
        <w:jc w:val="left"/>
        <w:textAlignment w:val="baseline"/>
        <w:rPr>
          <w:rFonts w:cs="宋体"/>
          <w:color w:val="auto"/>
          <w:sz w:val="21"/>
          <w:szCs w:val="21"/>
          <w:highlight w:val="none"/>
        </w:rPr>
      </w:pPr>
      <w:bookmarkStart w:id="1294" w:name="_Toc351203619"/>
      <w:bookmarkStart w:id="1295" w:name="_Toc337558834"/>
      <w:r>
        <w:rPr>
          <w:rFonts w:hint="eastAsia" w:cs="宋体"/>
          <w:color w:val="auto"/>
          <w:sz w:val="21"/>
          <w:szCs w:val="21"/>
          <w:highlight w:val="none"/>
        </w:rPr>
        <w:t>18.7 通知义务</w:t>
      </w:r>
      <w:bookmarkEnd w:id="1294"/>
    </w:p>
    <w:bookmarkEnd w:id="1295"/>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除专用合同条款另有约定外，发包人变更除工伤保险之外的保险合同时，应事先征得承包人同意，并通知监理人；承包人变更除工伤保险之外的保险合同时，应事先征得发包人同意，并通知监理人。</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保险事故发生时，投保人应按照保险合同规定的条件和期限及时向保险人报告。发包人和承包人应当在知道保险事故发生后及时通知对方。</w:t>
      </w:r>
    </w:p>
    <w:p>
      <w:pPr>
        <w:keepNext/>
        <w:keepLines/>
        <w:numPr>
          <w:ilvl w:val="0"/>
          <w:numId w:val="2"/>
        </w:numPr>
        <w:tabs>
          <w:tab w:val="left" w:pos="425"/>
        </w:tabs>
        <w:adjustRightInd w:val="0"/>
        <w:spacing w:before="280" w:after="290" w:line="360" w:lineRule="auto"/>
        <w:ind w:left="425" w:hanging="425"/>
        <w:textAlignment w:val="baseline"/>
        <w:outlineLvl w:val="4"/>
        <w:rPr>
          <w:rFonts w:cs="宋体"/>
          <w:b/>
          <w:bCs/>
          <w:color w:val="auto"/>
          <w:sz w:val="21"/>
          <w:szCs w:val="21"/>
          <w:highlight w:val="none"/>
        </w:rPr>
      </w:pPr>
      <w:bookmarkStart w:id="1296" w:name="_Toc63471463"/>
      <w:bookmarkStart w:id="1297" w:name="_Toc433901068"/>
      <w:bookmarkStart w:id="1298" w:name="_Toc351203620"/>
      <w:bookmarkStart w:id="1299" w:name="_Toc296346641"/>
      <w:bookmarkStart w:id="1300" w:name="_Toc296503140"/>
      <w:bookmarkStart w:id="1301" w:name="_Toc337558835"/>
      <w:r>
        <w:rPr>
          <w:rFonts w:hint="eastAsia" w:cs="宋体"/>
          <w:b/>
          <w:bCs/>
          <w:color w:val="auto"/>
          <w:sz w:val="21"/>
          <w:szCs w:val="21"/>
          <w:highlight w:val="none"/>
        </w:rPr>
        <w:t>索赔</w:t>
      </w:r>
      <w:bookmarkEnd w:id="1296"/>
      <w:bookmarkEnd w:id="1297"/>
      <w:bookmarkEnd w:id="1298"/>
    </w:p>
    <w:bookmarkEnd w:id="1299"/>
    <w:bookmarkEnd w:id="1300"/>
    <w:bookmarkEnd w:id="1301"/>
    <w:p>
      <w:pPr>
        <w:adjustRightInd w:val="0"/>
        <w:spacing w:line="360" w:lineRule="auto"/>
        <w:ind w:firstLine="420" w:firstLineChars="200"/>
        <w:jc w:val="left"/>
        <w:textAlignment w:val="baseline"/>
        <w:rPr>
          <w:rFonts w:cs="宋体"/>
          <w:color w:val="auto"/>
          <w:sz w:val="21"/>
          <w:szCs w:val="21"/>
          <w:highlight w:val="none"/>
        </w:rPr>
      </w:pPr>
      <w:bookmarkStart w:id="1302" w:name="_Toc351203621"/>
      <w:bookmarkStart w:id="1303" w:name="_Toc296503141"/>
      <w:bookmarkStart w:id="1304" w:name="_Toc296346642"/>
      <w:bookmarkStart w:id="1305" w:name="_Toc337558836"/>
      <w:r>
        <w:rPr>
          <w:rFonts w:hint="eastAsia" w:cs="宋体"/>
          <w:color w:val="auto"/>
          <w:sz w:val="21"/>
          <w:szCs w:val="21"/>
          <w:highlight w:val="none"/>
        </w:rPr>
        <w:t>19.1承包人的索赔</w:t>
      </w:r>
      <w:bookmarkEnd w:id="1302"/>
    </w:p>
    <w:bookmarkEnd w:id="1303"/>
    <w:bookmarkEnd w:id="1304"/>
    <w:bookmarkEnd w:id="1305"/>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根据合同约定，承包人认为有权得到追加付款和（或）延长工期的，应按以下程序向发包人提出索赔：</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（1）承包人应在知道或应当知道索赔事件发生后28天内，向监理人递交索赔意向通知书，并说明发生索赔事件的事由；承包人未在前述28天内发出索赔意向通知书的，丧失要求追加付款和（或）延长工期的权利；</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（2）承包人应在发出索赔意向通知书后28天内，向监理人正式递交索赔报告；索赔报告应详细说明索赔理由以及要求追加的付款金额和（或）延长的工期，并附必要的记录和证明材料；</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（3）索赔事件具有持续影响的，承包人应按合理时间间隔继续递交延续索赔通知，说明持续影响的实际情况和记录，列出累计的追加付款金额和（或）工期延长天数；</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（4）在索赔事件影响结束后28天内，承包人应向监理人递交最终索赔报告，说明最终要求索赔的追加付款金额和（或）延长的工期，并附必要的记录和证明材料。</w:t>
      </w:r>
    </w:p>
    <w:p>
      <w:pPr>
        <w:adjustRightInd w:val="0"/>
        <w:spacing w:line="360" w:lineRule="auto"/>
        <w:ind w:firstLine="420" w:firstLineChars="200"/>
        <w:jc w:val="left"/>
        <w:textAlignment w:val="baseline"/>
        <w:rPr>
          <w:rFonts w:cs="宋体"/>
          <w:color w:val="auto"/>
          <w:sz w:val="21"/>
          <w:szCs w:val="21"/>
          <w:highlight w:val="none"/>
        </w:rPr>
      </w:pPr>
      <w:bookmarkStart w:id="1306" w:name="_Toc351203622"/>
      <w:bookmarkStart w:id="1307" w:name="_Toc296503142"/>
      <w:bookmarkStart w:id="1308" w:name="_Toc296346643"/>
      <w:bookmarkStart w:id="1309" w:name="_Toc337558837"/>
      <w:r>
        <w:rPr>
          <w:rFonts w:hint="eastAsia" w:cs="宋体"/>
          <w:color w:val="auto"/>
          <w:sz w:val="21"/>
          <w:szCs w:val="21"/>
          <w:highlight w:val="none"/>
        </w:rPr>
        <w:t>19.2 对承包人索赔的处理</w:t>
      </w:r>
      <w:bookmarkEnd w:id="1306"/>
    </w:p>
    <w:bookmarkEnd w:id="1307"/>
    <w:bookmarkEnd w:id="1308"/>
    <w:bookmarkEnd w:id="1309"/>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对承包人索赔的处理如下：</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（1）监理人应在收到索赔报告后14天内完成审查并报送发包人。监理人对索赔报告存在异议的，有权要求承包人提交全部原始记录副本；</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（2）发包人应在监理人收到索赔报告或有关索赔的进一步证明材料后的28天内，由监理人向承包人出具经发包人签认的索赔处理结果。发包人逾期答复的，则视为认可承包人的索赔要求；</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（3）承包人接受索赔处理结果的，索赔款项在当期进度款中进行支付；承包人不接受索赔处理结果的，按照第20条〔争议解决〕约定处理。</w:t>
      </w:r>
    </w:p>
    <w:p>
      <w:pPr>
        <w:adjustRightInd w:val="0"/>
        <w:spacing w:line="360" w:lineRule="auto"/>
        <w:ind w:firstLine="420" w:firstLineChars="200"/>
        <w:jc w:val="left"/>
        <w:textAlignment w:val="baseline"/>
        <w:rPr>
          <w:rFonts w:cs="宋体"/>
          <w:color w:val="auto"/>
          <w:sz w:val="21"/>
          <w:szCs w:val="21"/>
          <w:highlight w:val="none"/>
        </w:rPr>
      </w:pPr>
      <w:bookmarkStart w:id="1310" w:name="_Toc351203623"/>
      <w:bookmarkStart w:id="1311" w:name="_Toc296503143"/>
      <w:bookmarkStart w:id="1312" w:name="_Toc337558838"/>
      <w:bookmarkStart w:id="1313" w:name="_Toc296346644"/>
      <w:r>
        <w:rPr>
          <w:rFonts w:hint="eastAsia" w:cs="宋体"/>
          <w:color w:val="auto"/>
          <w:sz w:val="21"/>
          <w:szCs w:val="21"/>
          <w:highlight w:val="none"/>
        </w:rPr>
        <w:t>19.3发包人的索赔</w:t>
      </w:r>
      <w:bookmarkEnd w:id="1310"/>
    </w:p>
    <w:bookmarkEnd w:id="1311"/>
    <w:bookmarkEnd w:id="1312"/>
    <w:bookmarkEnd w:id="1313"/>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根据合同约定，发包人认为有权得到赔付金额和（或）延长缺陷责任期的，监理人应向承包人发出通知并附有详细的证明。</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发包人应在知道或应当知道索赔事件发生后28天内通过监理人向承包人提出索赔意向通知书，发包人未在前述28天内发出索赔意向通知书的，丧失要求赔付金额和（或）延长缺陷责任期的权利。发包人应在发出索赔意向通知书后28天内，通过监理人向承包人正式递交索赔报告。</w:t>
      </w:r>
    </w:p>
    <w:p>
      <w:pPr>
        <w:adjustRightInd w:val="0"/>
        <w:spacing w:line="360" w:lineRule="auto"/>
        <w:ind w:firstLine="420" w:firstLineChars="200"/>
        <w:jc w:val="left"/>
        <w:textAlignment w:val="baseline"/>
        <w:rPr>
          <w:rFonts w:cs="宋体"/>
          <w:color w:val="auto"/>
          <w:sz w:val="21"/>
          <w:szCs w:val="21"/>
          <w:highlight w:val="none"/>
        </w:rPr>
      </w:pPr>
      <w:bookmarkStart w:id="1314" w:name="_Toc351203624"/>
      <w:bookmarkStart w:id="1315" w:name="_Toc296503144"/>
      <w:bookmarkStart w:id="1316" w:name="_Toc296346645"/>
      <w:bookmarkStart w:id="1317" w:name="_Toc337558839"/>
      <w:r>
        <w:rPr>
          <w:rFonts w:hint="eastAsia" w:cs="宋体"/>
          <w:color w:val="auto"/>
          <w:sz w:val="21"/>
          <w:szCs w:val="21"/>
          <w:highlight w:val="none"/>
        </w:rPr>
        <w:t>19.4 对发包人索赔的处理</w:t>
      </w:r>
      <w:bookmarkEnd w:id="1314"/>
    </w:p>
    <w:bookmarkEnd w:id="1315"/>
    <w:bookmarkEnd w:id="1316"/>
    <w:bookmarkEnd w:id="1317"/>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对发包人索赔的处理如下：</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（1）承包人收到发包人提交的索赔报告后，应及时审查索赔报告的内容、查验发包人证明材料；</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（2）承包人应在收到索赔报告或有关索赔的进一步证明材料后28天内，将索赔处理结果答复发包人。如果承包人未在上述期限内作出答复的，则视为对发包人索赔要求的认可；</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（3）承包人接受索赔处理结果的，发包人可从应支付给承包人的合同价款中扣除赔付的金额或延长缺陷责任期；发包人不接受索赔处理结果的，按第20条〔争议解决〕约定处理。</w:t>
      </w:r>
    </w:p>
    <w:p>
      <w:pPr>
        <w:adjustRightInd w:val="0"/>
        <w:spacing w:line="360" w:lineRule="auto"/>
        <w:ind w:firstLine="420" w:firstLineChars="200"/>
        <w:jc w:val="left"/>
        <w:textAlignment w:val="baseline"/>
        <w:rPr>
          <w:rFonts w:cs="宋体"/>
          <w:color w:val="auto"/>
          <w:sz w:val="21"/>
          <w:szCs w:val="21"/>
          <w:highlight w:val="none"/>
        </w:rPr>
      </w:pPr>
      <w:bookmarkStart w:id="1318" w:name="_Toc351203625"/>
      <w:r>
        <w:rPr>
          <w:rFonts w:hint="eastAsia" w:cs="宋体"/>
          <w:color w:val="auto"/>
          <w:sz w:val="21"/>
          <w:szCs w:val="21"/>
          <w:highlight w:val="none"/>
        </w:rPr>
        <w:t>19.5 提出索赔的期限</w:t>
      </w:r>
      <w:bookmarkEnd w:id="1318"/>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（1）承包人按第14.2款〔竣工结算审核〕约定接收竣工付款证书后，应被视为已无权再提出在工程接收证书颁发前所发生的任何索赔。</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（2）承包人按第14.4款〔最终结清〕提交的最终结清申请单中，只限于提出工程接收证书颁发后发生的索赔。提出索赔的期限自接受最终结清证书时终止。</w:t>
      </w:r>
    </w:p>
    <w:p>
      <w:pPr>
        <w:keepNext/>
        <w:keepLines/>
        <w:numPr>
          <w:ilvl w:val="0"/>
          <w:numId w:val="2"/>
        </w:numPr>
        <w:tabs>
          <w:tab w:val="left" w:pos="425"/>
        </w:tabs>
        <w:adjustRightInd w:val="0"/>
        <w:spacing w:before="280" w:after="290" w:line="360" w:lineRule="auto"/>
        <w:ind w:left="425" w:hanging="425"/>
        <w:textAlignment w:val="baseline"/>
        <w:outlineLvl w:val="4"/>
        <w:rPr>
          <w:rFonts w:cs="宋体"/>
          <w:b/>
          <w:bCs/>
          <w:color w:val="auto"/>
          <w:sz w:val="21"/>
          <w:szCs w:val="21"/>
          <w:highlight w:val="none"/>
        </w:rPr>
      </w:pPr>
      <w:bookmarkStart w:id="1319" w:name="_Toc433901069"/>
      <w:bookmarkStart w:id="1320" w:name="_Toc63471464"/>
      <w:bookmarkStart w:id="1321" w:name="_Toc351203626"/>
      <w:bookmarkStart w:id="1322" w:name="_Toc296346647"/>
      <w:bookmarkStart w:id="1323" w:name="_Toc296503146"/>
      <w:bookmarkStart w:id="1324" w:name="_Toc337558840"/>
      <w:r>
        <w:rPr>
          <w:rFonts w:hint="eastAsia" w:cs="宋体"/>
          <w:b/>
          <w:bCs/>
          <w:color w:val="auto"/>
          <w:sz w:val="21"/>
          <w:szCs w:val="21"/>
          <w:highlight w:val="none"/>
        </w:rPr>
        <w:t>争议解决</w:t>
      </w:r>
      <w:bookmarkEnd w:id="1319"/>
      <w:bookmarkEnd w:id="1320"/>
      <w:bookmarkEnd w:id="1321"/>
    </w:p>
    <w:bookmarkEnd w:id="1322"/>
    <w:bookmarkEnd w:id="1323"/>
    <w:bookmarkEnd w:id="1324"/>
    <w:p>
      <w:pPr>
        <w:adjustRightInd w:val="0"/>
        <w:spacing w:line="360" w:lineRule="auto"/>
        <w:ind w:firstLine="420" w:firstLineChars="200"/>
        <w:jc w:val="left"/>
        <w:textAlignment w:val="baseline"/>
        <w:rPr>
          <w:rFonts w:cs="宋体"/>
          <w:color w:val="auto"/>
          <w:sz w:val="21"/>
          <w:szCs w:val="21"/>
          <w:highlight w:val="none"/>
        </w:rPr>
      </w:pPr>
      <w:bookmarkStart w:id="1325" w:name="_Toc351203627"/>
      <w:bookmarkStart w:id="1326" w:name="_Toc337558841"/>
      <w:bookmarkStart w:id="1327" w:name="_Toc296503147"/>
      <w:bookmarkStart w:id="1328" w:name="_Toc296346648"/>
      <w:r>
        <w:rPr>
          <w:rFonts w:hint="eastAsia" w:cs="宋体"/>
          <w:color w:val="auto"/>
          <w:sz w:val="21"/>
          <w:szCs w:val="21"/>
          <w:highlight w:val="none"/>
        </w:rPr>
        <w:t>20.1和解</w:t>
      </w:r>
      <w:bookmarkEnd w:id="1325"/>
    </w:p>
    <w:bookmarkEnd w:id="1326"/>
    <w:bookmarkEnd w:id="1327"/>
    <w:bookmarkEnd w:id="1328"/>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合同当事人可以就争议自行和解，自行和解达成协议的经双方签字并盖章后作为合同补充文件，双方均应遵照执行。</w:t>
      </w:r>
    </w:p>
    <w:p>
      <w:pPr>
        <w:adjustRightInd w:val="0"/>
        <w:spacing w:line="360" w:lineRule="auto"/>
        <w:ind w:firstLine="420" w:firstLineChars="200"/>
        <w:jc w:val="left"/>
        <w:textAlignment w:val="baseline"/>
        <w:rPr>
          <w:rFonts w:cs="宋体"/>
          <w:color w:val="auto"/>
          <w:sz w:val="21"/>
          <w:szCs w:val="21"/>
          <w:highlight w:val="none"/>
        </w:rPr>
      </w:pPr>
      <w:bookmarkStart w:id="1329" w:name="_Toc351203628"/>
      <w:r>
        <w:rPr>
          <w:rFonts w:hint="eastAsia" w:cs="宋体"/>
          <w:color w:val="auto"/>
          <w:sz w:val="21"/>
          <w:szCs w:val="21"/>
          <w:highlight w:val="none"/>
        </w:rPr>
        <w:t>20</w:t>
      </w:r>
      <w:bookmarkStart w:id="1330" w:name="_Toc296503148"/>
      <w:bookmarkStart w:id="1331" w:name="_Toc337558842"/>
      <w:bookmarkStart w:id="1332" w:name="_Toc296346649"/>
      <w:r>
        <w:rPr>
          <w:rFonts w:hint="eastAsia" w:cs="宋体"/>
          <w:color w:val="auto"/>
          <w:sz w:val="21"/>
          <w:szCs w:val="21"/>
          <w:highlight w:val="none"/>
        </w:rPr>
        <w:t>.2调解</w:t>
      </w:r>
      <w:bookmarkEnd w:id="1329"/>
    </w:p>
    <w:bookmarkEnd w:id="1330"/>
    <w:bookmarkEnd w:id="1331"/>
    <w:bookmarkEnd w:id="1332"/>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合同当事人可以就争议请求建设行政主管部门、行业协会或其他第三方进行调解，调解达成协议的，经双方签字并盖章后作为合同补充文件，双方均应遵照执行。</w:t>
      </w:r>
    </w:p>
    <w:p>
      <w:pPr>
        <w:adjustRightInd w:val="0"/>
        <w:spacing w:line="360" w:lineRule="auto"/>
        <w:ind w:firstLine="420" w:firstLineChars="200"/>
        <w:jc w:val="left"/>
        <w:textAlignment w:val="baseline"/>
        <w:rPr>
          <w:rFonts w:cs="宋体"/>
          <w:color w:val="auto"/>
          <w:sz w:val="21"/>
          <w:szCs w:val="21"/>
          <w:highlight w:val="none"/>
        </w:rPr>
      </w:pPr>
      <w:bookmarkStart w:id="1333" w:name="_Toc351203629"/>
      <w:bookmarkStart w:id="1334" w:name="_Toc296503149"/>
      <w:bookmarkStart w:id="1335" w:name="_Toc296346650"/>
      <w:bookmarkStart w:id="1336" w:name="_Toc337558843"/>
      <w:r>
        <w:rPr>
          <w:rFonts w:hint="eastAsia" w:cs="宋体"/>
          <w:color w:val="auto"/>
          <w:sz w:val="21"/>
          <w:szCs w:val="21"/>
          <w:highlight w:val="none"/>
        </w:rPr>
        <w:t>20.3争议评审</w:t>
      </w:r>
      <w:bookmarkEnd w:id="1333"/>
    </w:p>
    <w:bookmarkEnd w:id="1334"/>
    <w:bookmarkEnd w:id="1335"/>
    <w:bookmarkEnd w:id="1336"/>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 xml:space="preserve">合同当事人在专用合同条款中约定采取争议评审方式解决争议以及评审规则，并按下列约定执行： </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20.3.1 争议评审小组的确定</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合同当事人可以共同选择一名或三名争议评审员，组成争议评审小组。除专用合同条款另有约定外，合同当事人应当自合同签订后28天内，或者争议发生后14天内，选定争议评审员。</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 xml:space="preserve">选择一名争议评审员的，由合同当事人共同确定；选择三名争议评审员的，各自选定一名，第三名成员为首席争议评审员，由合同当事人共同确定或由合同当事人委托已选定的争议评审员共同确定，或由专用合同条款约定的评审机构指定第三名首席争议评审员。 </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除专用合同条款另有约定外，评审员报酬由发包人和承包人各承担一半。</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20.3.2 争议评审小组的决定</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合同当事人可在任何时间将与合同有关的任何争议共同提请争议评审小组进行评审。争议评审小组应秉持客观、公正原则，充分听取合同当事人的意见，依据相关法律、规范、标准、案例经验及商业惯例等，自收到争议评审申请报告后14天内作出书面决定，并说明理由。合同当事人可以在专用合同条款中对本项事项另行约定。</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20.3.3 争议评审小组决定的效力</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争议评审小组作出的书面决定经合同当事人签字确认后，对双方具有约束力，双方应遵照执行。</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任何一方当事人不接受争议评审小组决定或不履行争议评审小组决定的，双方可选择采用其他争议解决方式。</w:t>
      </w:r>
    </w:p>
    <w:p>
      <w:pPr>
        <w:adjustRightInd w:val="0"/>
        <w:spacing w:line="360" w:lineRule="auto"/>
        <w:ind w:firstLine="420" w:firstLineChars="200"/>
        <w:jc w:val="left"/>
        <w:textAlignment w:val="baseline"/>
        <w:rPr>
          <w:rFonts w:cs="宋体"/>
          <w:color w:val="auto"/>
          <w:sz w:val="21"/>
          <w:szCs w:val="21"/>
          <w:highlight w:val="none"/>
        </w:rPr>
      </w:pPr>
      <w:bookmarkStart w:id="1337" w:name="_Toc351203630"/>
      <w:bookmarkStart w:id="1338" w:name="_Toc337558844"/>
      <w:bookmarkStart w:id="1339" w:name="_Toc296346651"/>
      <w:bookmarkStart w:id="1340" w:name="_Toc296503150"/>
      <w:r>
        <w:rPr>
          <w:rFonts w:hint="eastAsia" w:cs="宋体"/>
          <w:color w:val="auto"/>
          <w:sz w:val="21"/>
          <w:szCs w:val="21"/>
          <w:highlight w:val="none"/>
        </w:rPr>
        <w:t>20.4仲裁或诉讼</w:t>
      </w:r>
      <w:bookmarkEnd w:id="1337"/>
    </w:p>
    <w:bookmarkEnd w:id="1338"/>
    <w:bookmarkEnd w:id="1339"/>
    <w:bookmarkEnd w:id="1340"/>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因合同及合同有关事项产生的争议，合同当事人可以在专用合同条款中约定以下一种方式解决争议：</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（1）向约定的仲裁委员会申请仲裁；</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（2）向有管辖权的人民法院起诉。</w:t>
      </w:r>
    </w:p>
    <w:p>
      <w:pPr>
        <w:adjustRightInd w:val="0"/>
        <w:spacing w:line="360" w:lineRule="auto"/>
        <w:ind w:firstLine="420" w:firstLineChars="200"/>
        <w:jc w:val="left"/>
        <w:textAlignment w:val="baseline"/>
        <w:rPr>
          <w:rFonts w:cs="宋体"/>
          <w:color w:val="auto"/>
          <w:sz w:val="21"/>
          <w:szCs w:val="21"/>
          <w:highlight w:val="none"/>
        </w:rPr>
      </w:pPr>
      <w:bookmarkStart w:id="1341" w:name="_Toc351203631"/>
      <w:bookmarkStart w:id="1342" w:name="_Toc337558845"/>
      <w:bookmarkStart w:id="1343" w:name="_Toc296346653"/>
      <w:bookmarkStart w:id="1344" w:name="_Toc296503152"/>
      <w:r>
        <w:rPr>
          <w:rFonts w:hint="eastAsia" w:cs="宋体"/>
          <w:color w:val="auto"/>
          <w:sz w:val="21"/>
          <w:szCs w:val="21"/>
          <w:highlight w:val="none"/>
        </w:rPr>
        <w:t>20.5争议解决条款效力</w:t>
      </w:r>
      <w:bookmarkEnd w:id="1341"/>
    </w:p>
    <w:bookmarkEnd w:id="1342"/>
    <w:bookmarkEnd w:id="1343"/>
    <w:bookmarkEnd w:id="1344"/>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合同有关争议解决的条款独立存在，合同的变更、解除、终止、无效或者被撤销均不影响其效力。</w:t>
      </w:r>
    </w:p>
    <w:p>
      <w:pPr>
        <w:keepNext/>
        <w:keepLines/>
        <w:spacing w:beforeLines="100" w:afterLines="100" w:line="360" w:lineRule="auto"/>
        <w:jc w:val="center"/>
        <w:outlineLvl w:val="1"/>
        <w:rPr>
          <w:rFonts w:ascii="黑体" w:hAnsi="黑体" w:eastAsia="黑体"/>
          <w:color w:val="auto"/>
          <w:kern w:val="1"/>
          <w:sz w:val="28"/>
          <w:szCs w:val="28"/>
          <w:highlight w:val="none"/>
          <w:lang w:val="zh-CN"/>
        </w:rPr>
      </w:pPr>
      <w:r>
        <w:rPr>
          <w:rFonts w:ascii="黑体" w:hAnsi="黑体" w:eastAsia="黑体"/>
          <w:color w:val="auto"/>
          <w:kern w:val="1"/>
          <w:sz w:val="28"/>
          <w:szCs w:val="28"/>
          <w:highlight w:val="none"/>
          <w:lang w:val="zh-CN"/>
        </w:rPr>
        <w:br w:type="page"/>
      </w:r>
      <w:bookmarkStart w:id="1345" w:name="_Toc28611"/>
      <w:bookmarkStart w:id="1346" w:name="_Toc106703308"/>
      <w:bookmarkStart w:id="1347" w:name="_Toc16814"/>
      <w:r>
        <w:rPr>
          <w:rFonts w:hint="eastAsia" w:ascii="黑体" w:hAnsi="黑体" w:eastAsia="黑体"/>
          <w:color w:val="auto"/>
          <w:kern w:val="1"/>
          <w:sz w:val="28"/>
          <w:szCs w:val="28"/>
          <w:highlight w:val="none"/>
          <w:lang w:val="zh-CN"/>
        </w:rPr>
        <w:t>专用合同条款</w:t>
      </w:r>
      <w:r>
        <w:rPr>
          <w:rFonts w:hint="eastAsia" w:ascii="黑体" w:hAnsi="黑体" w:eastAsia="黑体"/>
          <w:color w:val="auto"/>
          <w:kern w:val="1"/>
          <w:sz w:val="21"/>
          <w:szCs w:val="21"/>
          <w:highlight w:val="none"/>
          <w:lang w:val="zh-CN"/>
        </w:rPr>
        <w:t>（</w:t>
      </w:r>
      <w:r>
        <w:rPr>
          <w:rFonts w:hint="eastAsia" w:ascii="黑体" w:hAnsi="黑体" w:eastAsia="黑体"/>
          <w:color w:val="auto"/>
          <w:kern w:val="1"/>
          <w:sz w:val="21"/>
          <w:szCs w:val="21"/>
          <w:highlight w:val="none"/>
          <w:lang w:val="zh-CN" w:eastAsia="zh-CN"/>
        </w:rPr>
        <w:t>非</w:t>
      </w:r>
      <w:r>
        <w:rPr>
          <w:rFonts w:hint="eastAsia" w:ascii="黑体" w:hAnsi="黑体" w:eastAsia="黑体"/>
          <w:color w:val="auto"/>
          <w:kern w:val="1"/>
          <w:sz w:val="21"/>
          <w:szCs w:val="21"/>
          <w:highlight w:val="none"/>
          <w:lang w:val="zh-CN"/>
        </w:rPr>
        <w:t>财政参考条款）</w:t>
      </w:r>
      <w:bookmarkEnd w:id="895"/>
      <w:bookmarkEnd w:id="896"/>
      <w:bookmarkEnd w:id="897"/>
      <w:bookmarkEnd w:id="898"/>
      <w:bookmarkEnd w:id="1345"/>
      <w:bookmarkEnd w:id="1346"/>
      <w:bookmarkEnd w:id="1347"/>
    </w:p>
    <w:p>
      <w:pPr>
        <w:keepNext/>
        <w:keepLines/>
        <w:adjustRightInd w:val="0"/>
        <w:spacing w:beforeLines="50" w:line="360" w:lineRule="auto"/>
        <w:textAlignment w:val="baseline"/>
        <w:outlineLvl w:val="4"/>
        <w:rPr>
          <w:rFonts w:cs="宋体"/>
          <w:b/>
          <w:bCs/>
          <w:color w:val="auto"/>
          <w:sz w:val="21"/>
          <w:szCs w:val="21"/>
          <w:highlight w:val="none"/>
        </w:rPr>
      </w:pPr>
      <w:r>
        <w:rPr>
          <w:rFonts w:hint="eastAsia" w:cs="宋体"/>
          <w:b/>
          <w:bCs/>
          <w:color w:val="auto"/>
          <w:sz w:val="21"/>
          <w:szCs w:val="21"/>
          <w:highlight w:val="none"/>
        </w:rPr>
        <w:t>1</w:t>
      </w:r>
      <w:bookmarkStart w:id="1348" w:name="_Toc13309385"/>
      <w:bookmarkStart w:id="1349" w:name="_Toc63471467"/>
      <w:r>
        <w:rPr>
          <w:rFonts w:hint="eastAsia" w:cs="宋体"/>
          <w:b/>
          <w:bCs/>
          <w:color w:val="auto"/>
          <w:sz w:val="21"/>
          <w:szCs w:val="21"/>
          <w:highlight w:val="none"/>
        </w:rPr>
        <w:t>. 一般约定</w:t>
      </w:r>
    </w:p>
    <w:bookmarkEnd w:id="1348"/>
    <w:bookmarkEnd w:id="1349"/>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1.1 词语定义</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1.1.1合同</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1.1.1.10其他合同文件包括：</w:t>
      </w:r>
      <w:r>
        <w:rPr>
          <w:rFonts w:hint="eastAsia" w:cs="宋体"/>
          <w:color w:val="0000FF"/>
          <w:sz w:val="21"/>
          <w:szCs w:val="21"/>
          <w:highlight w:val="none"/>
          <w:u w:val="single"/>
        </w:rPr>
        <w:t>招标文件及其附件，投标文件及其附件，本合同签订后双方约定的与工程施工有关的具有合同约束力的其他文件或书面协议</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1.1.2 合同当事人及其他相关方</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1.1.2.4监理人：</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名    称：</w:t>
      </w:r>
      <w:r>
        <w:rPr>
          <w:rFonts w:hint="eastAsia" w:cs="宋体"/>
          <w:color w:val="auto"/>
          <w:sz w:val="21"/>
          <w:szCs w:val="21"/>
          <w:highlight w:val="none"/>
          <w:u w:val="single"/>
        </w:rPr>
        <w:t></w:t>
      </w:r>
      <w:r>
        <w:rPr>
          <w:rFonts w:hint="eastAsia" w:cs="宋体"/>
          <w:color w:val="0000FF"/>
          <w:sz w:val="21"/>
          <w:szCs w:val="21"/>
          <w:highlight w:val="none"/>
          <w:u w:val="single"/>
        </w:rPr>
        <w:t>（签订合同时填写）</w:t>
      </w:r>
      <w:r>
        <w:rPr>
          <w:rFonts w:hint="eastAsia" w:cs="宋体"/>
          <w:color w:val="auto"/>
          <w:sz w:val="21"/>
          <w:szCs w:val="21"/>
          <w:highlight w:val="none"/>
          <w:u w:val="single"/>
        </w:rPr>
        <w:t xml:space="preserve">  </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资质类别和等级：</w:t>
      </w:r>
      <w:r>
        <w:rPr>
          <w:rFonts w:hint="eastAsia" w:cs="宋体"/>
          <w:color w:val="auto"/>
          <w:sz w:val="21"/>
          <w:szCs w:val="21"/>
          <w:highlight w:val="none"/>
          <w:u w:val="single"/>
        </w:rPr>
        <w:t></w:t>
      </w:r>
      <w:r>
        <w:rPr>
          <w:rFonts w:hint="eastAsia" w:cs="宋体"/>
          <w:color w:val="0000FF"/>
          <w:sz w:val="21"/>
          <w:szCs w:val="21"/>
          <w:highlight w:val="none"/>
          <w:u w:val="single"/>
        </w:rPr>
        <w:t>（签订合同时填写）</w:t>
      </w:r>
      <w:r>
        <w:rPr>
          <w:rFonts w:hint="eastAsia" w:cs="宋体"/>
          <w:color w:val="auto"/>
          <w:sz w:val="21"/>
          <w:szCs w:val="21"/>
          <w:highlight w:val="none"/>
          <w:u w:val="single"/>
        </w:rPr>
        <w:t></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联系电话：</w:t>
      </w:r>
      <w:r>
        <w:rPr>
          <w:rFonts w:hint="eastAsia" w:cs="宋体"/>
          <w:color w:val="auto"/>
          <w:sz w:val="21"/>
          <w:szCs w:val="21"/>
          <w:highlight w:val="none"/>
          <w:u w:val="single"/>
        </w:rPr>
        <w:t></w:t>
      </w:r>
      <w:r>
        <w:rPr>
          <w:rFonts w:hint="eastAsia" w:cs="宋体"/>
          <w:color w:val="0000FF"/>
          <w:sz w:val="21"/>
          <w:szCs w:val="21"/>
          <w:highlight w:val="none"/>
          <w:u w:val="single"/>
        </w:rPr>
        <w:t>（签订合同时填写）</w:t>
      </w:r>
      <w:r>
        <w:rPr>
          <w:rFonts w:hint="eastAsia" w:cs="宋体"/>
          <w:color w:val="auto"/>
          <w:sz w:val="21"/>
          <w:szCs w:val="21"/>
          <w:highlight w:val="none"/>
          <w:u w:val="single"/>
        </w:rPr>
        <w:t></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电子信箱：</w:t>
      </w:r>
      <w:r>
        <w:rPr>
          <w:rFonts w:hint="eastAsia" w:cs="宋体"/>
          <w:color w:val="auto"/>
          <w:sz w:val="21"/>
          <w:szCs w:val="21"/>
          <w:highlight w:val="none"/>
          <w:u w:val="single"/>
        </w:rPr>
        <w:t></w:t>
      </w:r>
      <w:r>
        <w:rPr>
          <w:rFonts w:hint="eastAsia" w:cs="宋体"/>
          <w:color w:val="0000FF"/>
          <w:sz w:val="21"/>
          <w:szCs w:val="21"/>
          <w:highlight w:val="none"/>
          <w:u w:val="single"/>
        </w:rPr>
        <w:t>（签订合同时填写）</w:t>
      </w:r>
      <w:r>
        <w:rPr>
          <w:rFonts w:hint="eastAsia" w:cs="宋体"/>
          <w:color w:val="auto"/>
          <w:sz w:val="21"/>
          <w:szCs w:val="21"/>
          <w:highlight w:val="none"/>
          <w:u w:val="single"/>
        </w:rPr>
        <w:t></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通信地址：</w:t>
      </w:r>
      <w:r>
        <w:rPr>
          <w:rFonts w:hint="eastAsia" w:cs="宋体"/>
          <w:color w:val="auto"/>
          <w:sz w:val="21"/>
          <w:szCs w:val="21"/>
          <w:highlight w:val="none"/>
          <w:u w:val="single"/>
        </w:rPr>
        <w:t></w:t>
      </w:r>
      <w:r>
        <w:rPr>
          <w:rFonts w:hint="eastAsia" w:cs="宋体"/>
          <w:color w:val="0000FF"/>
          <w:sz w:val="21"/>
          <w:szCs w:val="21"/>
          <w:highlight w:val="none"/>
          <w:u w:val="single"/>
        </w:rPr>
        <w:t>（签订合同时填写）</w:t>
      </w:r>
      <w:r>
        <w:rPr>
          <w:rFonts w:hint="eastAsia" w:cs="宋体"/>
          <w:color w:val="auto"/>
          <w:sz w:val="21"/>
          <w:szCs w:val="21"/>
          <w:highlight w:val="none"/>
          <w:u w:val="single"/>
        </w:rPr>
        <w:t xml:space="preserve"> </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1.1.2.5 设计人：</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名    称：</w:t>
      </w:r>
      <w:r>
        <w:rPr>
          <w:rFonts w:hint="eastAsia" w:cs="宋体"/>
          <w:color w:val="0000FF"/>
          <w:sz w:val="21"/>
          <w:szCs w:val="21"/>
          <w:highlight w:val="none"/>
          <w:u w:val="single"/>
        </w:rPr>
        <w:t>（签订合同时填写）</w:t>
      </w:r>
      <w:r>
        <w:rPr>
          <w:rFonts w:hint="eastAsia" w:cs="宋体"/>
          <w:color w:val="auto"/>
          <w:sz w:val="21"/>
          <w:szCs w:val="21"/>
          <w:highlight w:val="none"/>
          <w:u w:val="single"/>
        </w:rPr>
        <w:t></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资质类别和等级：</w:t>
      </w:r>
      <w:r>
        <w:rPr>
          <w:rFonts w:hint="eastAsia" w:cs="宋体"/>
          <w:color w:val="0000FF"/>
          <w:sz w:val="21"/>
          <w:szCs w:val="21"/>
          <w:highlight w:val="none"/>
          <w:u w:val="single"/>
        </w:rPr>
        <w:t>（签订合同时填写）</w:t>
      </w:r>
      <w:r>
        <w:rPr>
          <w:rFonts w:hint="eastAsia" w:cs="宋体"/>
          <w:color w:val="auto"/>
          <w:sz w:val="21"/>
          <w:szCs w:val="21"/>
          <w:highlight w:val="none"/>
          <w:u w:val="single"/>
        </w:rPr>
        <w:t></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联系电话：</w:t>
      </w:r>
      <w:r>
        <w:rPr>
          <w:rFonts w:hint="eastAsia" w:cs="宋体"/>
          <w:color w:val="auto"/>
          <w:sz w:val="21"/>
          <w:szCs w:val="21"/>
          <w:highlight w:val="none"/>
          <w:u w:val="single"/>
        </w:rPr>
        <w:t></w:t>
      </w:r>
      <w:r>
        <w:rPr>
          <w:rFonts w:hint="eastAsia" w:cs="宋体"/>
          <w:color w:val="0000FF"/>
          <w:sz w:val="21"/>
          <w:szCs w:val="21"/>
          <w:highlight w:val="none"/>
          <w:u w:val="single"/>
        </w:rPr>
        <w:t>（签订合同时填写）</w:t>
      </w:r>
      <w:r>
        <w:rPr>
          <w:rFonts w:hint="eastAsia" w:cs="宋体"/>
          <w:color w:val="auto"/>
          <w:sz w:val="21"/>
          <w:szCs w:val="21"/>
          <w:highlight w:val="none"/>
          <w:u w:val="single"/>
        </w:rPr>
        <w:t xml:space="preserve"> </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电子信箱：</w:t>
      </w:r>
      <w:r>
        <w:rPr>
          <w:rFonts w:hint="eastAsia" w:cs="宋体"/>
          <w:color w:val="auto"/>
          <w:sz w:val="21"/>
          <w:szCs w:val="21"/>
          <w:highlight w:val="none"/>
          <w:u w:val="single"/>
        </w:rPr>
        <w:t></w:t>
      </w:r>
      <w:r>
        <w:rPr>
          <w:rFonts w:hint="eastAsia" w:cs="宋体"/>
          <w:color w:val="0000FF"/>
          <w:sz w:val="21"/>
          <w:szCs w:val="21"/>
          <w:highlight w:val="none"/>
          <w:u w:val="single"/>
        </w:rPr>
        <w:t>（签订合同时填写）</w:t>
      </w:r>
      <w:r>
        <w:rPr>
          <w:rFonts w:hint="eastAsia" w:cs="宋体"/>
          <w:color w:val="auto"/>
          <w:sz w:val="21"/>
          <w:szCs w:val="21"/>
          <w:highlight w:val="none"/>
          <w:u w:val="single"/>
        </w:rPr>
        <w:t xml:space="preserve">  </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通信地址：</w:t>
      </w:r>
      <w:r>
        <w:rPr>
          <w:rFonts w:hint="eastAsia" w:cs="宋体"/>
          <w:color w:val="auto"/>
          <w:sz w:val="21"/>
          <w:szCs w:val="21"/>
          <w:highlight w:val="none"/>
          <w:u w:val="single"/>
        </w:rPr>
        <w:t></w:t>
      </w:r>
      <w:r>
        <w:rPr>
          <w:rFonts w:hint="eastAsia" w:cs="宋体"/>
          <w:color w:val="0000FF"/>
          <w:sz w:val="21"/>
          <w:szCs w:val="21"/>
          <w:highlight w:val="none"/>
          <w:u w:val="single"/>
        </w:rPr>
        <w:t>（签订合同时填写）</w:t>
      </w:r>
      <w:r>
        <w:rPr>
          <w:rFonts w:hint="eastAsia" w:cs="宋体"/>
          <w:color w:val="auto"/>
          <w:sz w:val="21"/>
          <w:szCs w:val="21"/>
          <w:highlight w:val="none"/>
          <w:u w:val="single"/>
        </w:rPr>
        <w:t></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1.1.3 工程和设备</w:t>
      </w:r>
    </w:p>
    <w:p>
      <w:pPr>
        <w:adjustRightInd w:val="0"/>
        <w:spacing w:line="360" w:lineRule="auto"/>
        <w:textAlignment w:val="baseline"/>
        <w:rPr>
          <w:rFonts w:cs="宋体"/>
          <w:color w:val="auto"/>
          <w:sz w:val="21"/>
          <w:szCs w:val="21"/>
          <w:highlight w:val="none"/>
        </w:rPr>
      </w:pPr>
      <w:r>
        <w:rPr>
          <w:rFonts w:hint="eastAsia" w:cs="宋体"/>
          <w:color w:val="auto"/>
          <w:sz w:val="21"/>
          <w:szCs w:val="21"/>
          <w:highlight w:val="none"/>
        </w:rPr>
        <w:t>1.1.3.7 作为施工现场组成部分的其他场所包括：</w:t>
      </w:r>
      <w:r>
        <w:rPr>
          <w:rFonts w:hint="eastAsia" w:ascii="宋体" w:hAnsi="宋体" w:cs="宋体"/>
          <w:color w:val="0000FF"/>
          <w:sz w:val="21"/>
          <w:szCs w:val="21"/>
          <w:highlight w:val="none"/>
          <w:u w:val="single"/>
        </w:rPr>
        <w:t>施工现场或附近实施与工程有关的工作提供满足办公条件的场所，包括永久占地和临时占地</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1.1.3.9 永久占地包括：</w:t>
      </w:r>
      <w:r>
        <w:rPr>
          <w:rFonts w:hint="eastAsia" w:ascii="宋体" w:hAnsi="宋体" w:cs="宋体"/>
          <w:color w:val="0000FF"/>
          <w:sz w:val="21"/>
          <w:szCs w:val="21"/>
          <w:highlight w:val="none"/>
          <w:u w:val="single"/>
        </w:rPr>
        <w:t>本工程所有永久工程永久占用的土地</w:t>
      </w:r>
      <w:r>
        <w:rPr>
          <w:rFonts w:hint="eastAsia" w:cs="宋体"/>
          <w:color w:val="auto"/>
          <w:sz w:val="21"/>
          <w:szCs w:val="21"/>
          <w:highlight w:val="none"/>
          <w:u w:val="single"/>
        </w:rPr>
        <w:t></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1.1.3.10 临时占地包括：</w:t>
      </w:r>
      <w:r>
        <w:rPr>
          <w:rFonts w:hint="eastAsia" w:cs="宋体"/>
          <w:color w:val="auto"/>
          <w:sz w:val="21"/>
          <w:szCs w:val="21"/>
          <w:highlight w:val="none"/>
          <w:lang w:val="en-US" w:eastAsia="zh-CN"/>
        </w:rPr>
        <w:t>1）</w:t>
      </w:r>
      <w:r>
        <w:rPr>
          <w:rFonts w:hint="eastAsia" w:ascii="宋体" w:hAnsi="宋体" w:eastAsia="宋体" w:cs="宋体"/>
          <w:color w:val="0000FF"/>
          <w:sz w:val="21"/>
          <w:szCs w:val="21"/>
          <w:highlight w:val="none"/>
          <w:u w:val="single"/>
        </w:rPr>
        <w:t>实施本工程而需要的一切临时占用的土地，包括施工所用的临时便道和现场的临时出入通道，取、弃土场，预制场，钢筋加工场，机械设备停放场，材料堆放场以及办公、生活等临时设施等</w:t>
      </w:r>
      <w:r>
        <w:rPr>
          <w:rFonts w:hint="eastAsia" w:cs="宋体"/>
          <w:color w:val="0000FF"/>
          <w:sz w:val="21"/>
          <w:szCs w:val="21"/>
          <w:highlight w:val="none"/>
          <w:u w:val="single"/>
        </w:rPr>
        <w:t>以及在工程完工后不影响原地表用途且归还土地原使用单位的占用等。2）临时占地的租用、道路开口，均由承包人自行办理租用及占用手续，承担相关使用、管理责任及相关费用，发包人不再另行支付费用</w:t>
      </w:r>
      <w:r>
        <w:rPr>
          <w:rFonts w:hint="eastAsia" w:cs="宋体"/>
          <w:color w:val="auto"/>
          <w:sz w:val="21"/>
          <w:szCs w:val="21"/>
          <w:highlight w:val="none"/>
        </w:rPr>
        <w:t>。</w:t>
      </w:r>
    </w:p>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 xml:space="preserve">1.3法律 </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适用于合同的其他规范性文件：</w:t>
      </w:r>
      <w:r>
        <w:rPr>
          <w:rFonts w:hint="eastAsia"/>
          <w:color w:val="auto"/>
          <w:sz w:val="21"/>
          <w:szCs w:val="21"/>
          <w:highlight w:val="none"/>
          <w:u w:val="single"/>
        </w:rPr>
        <w:t>厦门市建设管理相关规范性文件均适用于本合同</w:t>
      </w:r>
      <w:r>
        <w:rPr>
          <w:rFonts w:hint="eastAsia" w:cs="宋体"/>
          <w:color w:val="auto"/>
          <w:sz w:val="21"/>
          <w:szCs w:val="21"/>
          <w:highlight w:val="none"/>
        </w:rPr>
        <w:t>。</w:t>
      </w:r>
    </w:p>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1.4 标准和规范</w:t>
      </w:r>
    </w:p>
    <w:p>
      <w:pPr>
        <w:adjustRightInd w:val="0"/>
        <w:spacing w:line="360" w:lineRule="auto"/>
        <w:ind w:firstLine="371" w:firstLineChars="177"/>
        <w:textAlignment w:val="baseline"/>
        <w:rPr>
          <w:rFonts w:cs="宋体"/>
          <w:color w:val="auto"/>
          <w:sz w:val="21"/>
          <w:szCs w:val="21"/>
          <w:highlight w:val="none"/>
        </w:rPr>
      </w:pPr>
      <w:r>
        <w:rPr>
          <w:rFonts w:hint="eastAsia" w:cs="宋体"/>
          <w:color w:val="auto"/>
          <w:sz w:val="21"/>
          <w:szCs w:val="21"/>
          <w:highlight w:val="none"/>
        </w:rPr>
        <w:t>1.4.1适用于工程的标准规范包括：</w:t>
      </w:r>
      <w:r>
        <w:rPr>
          <w:rFonts w:hint="eastAsia"/>
          <w:color w:val="auto"/>
          <w:sz w:val="21"/>
          <w:szCs w:val="21"/>
          <w:highlight w:val="none"/>
          <w:u w:val="single"/>
        </w:rPr>
        <w:t>按照《招标文件》规定执行</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1.4.2 发包人提供国外标准、规范的名称：</w:t>
      </w:r>
      <w:r>
        <w:rPr>
          <w:rFonts w:hint="eastAsia" w:cs="宋体"/>
          <w:color w:val="auto"/>
          <w:sz w:val="21"/>
          <w:szCs w:val="21"/>
          <w:highlight w:val="none"/>
          <w:u w:val="single"/>
        </w:rPr>
        <w:t xml:space="preserve"> </w:t>
      </w:r>
      <w:r>
        <w:rPr>
          <w:rFonts w:hint="eastAsia" w:cs="宋体"/>
          <w:color w:val="0000FF"/>
          <w:sz w:val="21"/>
          <w:szCs w:val="21"/>
          <w:highlight w:val="none"/>
          <w:u w:val="single"/>
          <w:lang w:val="en-US" w:eastAsia="zh-CN"/>
        </w:rPr>
        <w:t>/</w:t>
      </w:r>
      <w:r>
        <w:rPr>
          <w:rFonts w:hint="eastAsia" w:cs="宋体"/>
          <w:color w:val="auto"/>
          <w:sz w:val="21"/>
          <w:szCs w:val="21"/>
          <w:highlight w:val="none"/>
          <w:u w:val="single"/>
        </w:rPr>
        <w:t xml:space="preserve"> </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发包人提供国外标准、规范的份数：</w:t>
      </w:r>
      <w:r>
        <w:rPr>
          <w:rFonts w:hint="eastAsia" w:cs="宋体"/>
          <w:color w:val="auto"/>
          <w:sz w:val="21"/>
          <w:szCs w:val="21"/>
          <w:highlight w:val="none"/>
          <w:u w:val="single"/>
        </w:rPr>
        <w:t xml:space="preserve">  </w:t>
      </w:r>
      <w:r>
        <w:rPr>
          <w:rFonts w:hint="eastAsia" w:cs="宋体"/>
          <w:color w:val="0000FF"/>
          <w:sz w:val="21"/>
          <w:szCs w:val="21"/>
          <w:highlight w:val="none"/>
          <w:u w:val="single"/>
          <w:lang w:val="en-US" w:eastAsia="zh-CN"/>
        </w:rPr>
        <w:t>/</w:t>
      </w:r>
      <w:r>
        <w:rPr>
          <w:rFonts w:hint="eastAsia" w:cs="宋体"/>
          <w:color w:val="auto"/>
          <w:sz w:val="21"/>
          <w:szCs w:val="21"/>
          <w:highlight w:val="none"/>
          <w:u w:val="single"/>
        </w:rPr>
        <w:t xml:space="preserve">  </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发包人提供国外标准、规范的名称：</w:t>
      </w:r>
      <w:r>
        <w:rPr>
          <w:rFonts w:hint="eastAsia" w:cs="宋体"/>
          <w:color w:val="auto"/>
          <w:sz w:val="21"/>
          <w:szCs w:val="21"/>
          <w:highlight w:val="none"/>
          <w:u w:val="single"/>
        </w:rPr>
        <w:t xml:space="preserve"> </w:t>
      </w:r>
      <w:r>
        <w:rPr>
          <w:rFonts w:hint="eastAsia" w:cs="宋体"/>
          <w:color w:val="auto"/>
          <w:sz w:val="21"/>
          <w:szCs w:val="21"/>
          <w:highlight w:val="none"/>
          <w:u w:val="single"/>
          <w:lang w:val="en-US" w:eastAsia="zh-CN"/>
        </w:rPr>
        <w:t xml:space="preserve"> </w:t>
      </w:r>
      <w:r>
        <w:rPr>
          <w:rFonts w:hint="eastAsia" w:cs="宋体"/>
          <w:color w:val="0000FF"/>
          <w:sz w:val="21"/>
          <w:szCs w:val="21"/>
          <w:highlight w:val="none"/>
          <w:u w:val="single"/>
          <w:lang w:val="en-US" w:eastAsia="zh-CN"/>
        </w:rPr>
        <w:t xml:space="preserve">/ </w:t>
      </w:r>
      <w:r>
        <w:rPr>
          <w:rFonts w:hint="eastAsia" w:cs="宋体"/>
          <w:color w:val="auto"/>
          <w:sz w:val="21"/>
          <w:szCs w:val="21"/>
          <w:highlight w:val="none"/>
          <w:u w:val="single"/>
        </w:rPr>
        <w:t xml:space="preserve"> </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1.4.3发包人对工程的技术标准和功能要求的特殊要求：</w:t>
      </w:r>
      <w:r>
        <w:rPr>
          <w:rFonts w:hint="eastAsia" w:ascii="宋体" w:hAnsi="宋体" w:eastAsia="宋体" w:cs="宋体"/>
          <w:color w:val="0000FF"/>
          <w:sz w:val="21"/>
          <w:szCs w:val="21"/>
          <w:highlight w:val="none"/>
          <w:u w:val="single"/>
        </w:rPr>
        <w:t>（1）国家及地方政府没有规定的，或者发包人的要求高于国家及地方政府规定的，按发包人指定的规范、标准或要求执行。（2）国内没有相应标准、规范、规程的，承包人应立即通知发包人及监理工程师，并提供拟采用相应标准（如承包人企业标准、国外标准等）、规范或经验做法、需要的理由和时间，由承包人与发包人、监理人、设计单位协商或征求相关部门确定</w:t>
      </w:r>
      <w:r>
        <w:rPr>
          <w:rFonts w:hint="eastAsia" w:cs="宋体"/>
          <w:color w:val="auto"/>
          <w:sz w:val="21"/>
          <w:szCs w:val="21"/>
          <w:highlight w:val="none"/>
        </w:rPr>
        <w:t>。</w:t>
      </w:r>
    </w:p>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1.5 合同文件的优先顺序</w:t>
      </w:r>
    </w:p>
    <w:p>
      <w:pPr>
        <w:adjustRightInd w:val="0"/>
        <w:spacing w:line="360" w:lineRule="auto"/>
        <w:ind w:firstLine="420" w:firstLineChars="200"/>
        <w:textAlignment w:val="baseline"/>
        <w:rPr>
          <w:rFonts w:hint="eastAsia" w:cs="宋体"/>
          <w:color w:val="auto"/>
          <w:sz w:val="21"/>
          <w:szCs w:val="21"/>
          <w:highlight w:val="none"/>
          <w:u w:val="single"/>
        </w:rPr>
      </w:pPr>
      <w:r>
        <w:rPr>
          <w:rFonts w:hint="eastAsia" w:cs="宋体"/>
          <w:color w:val="auto"/>
          <w:sz w:val="21"/>
          <w:szCs w:val="21"/>
          <w:highlight w:val="none"/>
        </w:rPr>
        <w:t>合同文件组成及优先顺序为：</w:t>
      </w:r>
      <w:r>
        <w:rPr>
          <w:rFonts w:hint="eastAsia" w:cs="宋体"/>
          <w:color w:val="auto"/>
          <w:sz w:val="21"/>
          <w:szCs w:val="21"/>
          <w:highlight w:val="none"/>
          <w:u w:val="single"/>
        </w:rPr>
        <w:t>（1）本合同协议书；（2）合同专用条款（含数据表和招标文件补充答疑书中与此有关的部分）；（3）合同通用条款；（4）中标通知书；（5）招标文件及其附件（含招标文件补充答疑书）、投标文件及其附件（含承包人在评标期间递交和确认并经业主同意的对有关问题的补充资料和澄清文件等）；（6）图纸（含招标文件补充答疑书中与此有关的部分）；（7）工程报价书或预算书；（8）已标价工程量清单或预算书；（9）标准、规范及有关技术文件（含招标文件补充答疑书中与此有关的部分）。</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u w:val="single"/>
        </w:rPr>
        <w:t>上述各项合同文件包括合同当事人就该项合同文件所作出的补充和修改，属于同一类内容的文件，应以最新签署的为准。</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u w:val="single"/>
        </w:rPr>
        <w:t>在合同订立及履行过程中形成的与合同有关的文件均构成合同文件组成部分，并根据其性质确定优先解释顺序</w:t>
      </w:r>
      <w:r>
        <w:rPr>
          <w:rFonts w:hint="eastAsia" w:cs="宋体"/>
          <w:color w:val="auto"/>
          <w:sz w:val="21"/>
          <w:szCs w:val="21"/>
          <w:highlight w:val="none"/>
        </w:rPr>
        <w:t>。</w:t>
      </w:r>
    </w:p>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1.6 图纸和承包人文件</w:t>
      </w:r>
      <w:r>
        <w:rPr>
          <w:rFonts w:hint="eastAsia" w:cs="宋体"/>
          <w:color w:val="auto"/>
          <w:sz w:val="21"/>
          <w:szCs w:val="21"/>
          <w:highlight w:val="none"/>
        </w:rPr>
        <w:tab/>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1.6.1 图纸的提供</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发包人向承包人提供图纸的期限：</w:t>
      </w:r>
      <w:r>
        <w:rPr>
          <w:rFonts w:hint="eastAsia" w:ascii="宋体" w:hAnsi="宋体" w:eastAsia="宋体" w:cs="宋体"/>
          <w:color w:val="0000FF"/>
          <w:kern w:val="2"/>
          <w:sz w:val="21"/>
          <w:szCs w:val="21"/>
          <w:highlight w:val="none"/>
          <w:u w:val="single" w:color="000000"/>
        </w:rPr>
        <w:t>合同签订后</w:t>
      </w:r>
      <w:r>
        <w:rPr>
          <w:rFonts w:hint="eastAsia" w:cs="宋体"/>
          <w:color w:val="0000FF"/>
          <w:kern w:val="2"/>
          <w:sz w:val="21"/>
          <w:szCs w:val="21"/>
          <w:highlight w:val="none"/>
          <w:u w:val="single" w:color="000000"/>
          <w:lang w:val="en-US" w:eastAsia="zh-CN"/>
        </w:rPr>
        <w:t>10</w:t>
      </w:r>
      <w:r>
        <w:rPr>
          <w:rFonts w:hint="eastAsia" w:ascii="宋体" w:hAnsi="宋体" w:eastAsia="宋体" w:cs="宋体"/>
          <w:color w:val="0000FF"/>
          <w:kern w:val="2"/>
          <w:sz w:val="21"/>
          <w:szCs w:val="21"/>
          <w:highlight w:val="none"/>
          <w:u w:val="single" w:color="000000"/>
        </w:rPr>
        <w:t>日内提供图纸</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发包人向承包人提供图纸的数量：</w:t>
      </w:r>
      <w:r>
        <w:rPr>
          <w:rFonts w:hint="eastAsia" w:ascii="宋体"/>
          <w:color w:val="0000FF"/>
          <w:sz w:val="21"/>
          <w:szCs w:val="21"/>
          <w:highlight w:val="none"/>
          <w:u w:val="single"/>
        </w:rPr>
        <w:t>包含竣工图使用图纸在内</w:t>
      </w:r>
      <w:r>
        <w:rPr>
          <w:rFonts w:hint="eastAsia"/>
          <w:color w:val="0000FF"/>
          <w:sz w:val="21"/>
          <w:szCs w:val="21"/>
          <w:highlight w:val="none"/>
          <w:u w:val="single"/>
          <w:lang w:val="en-US" w:eastAsia="zh-CN"/>
        </w:rPr>
        <w:t>8</w:t>
      </w:r>
      <w:r>
        <w:rPr>
          <w:rFonts w:hint="eastAsia" w:ascii="宋体"/>
          <w:color w:val="0000FF"/>
          <w:sz w:val="21"/>
          <w:szCs w:val="21"/>
          <w:highlight w:val="none"/>
          <w:u w:val="single"/>
        </w:rPr>
        <w:t>套。承包人需要增加施工图套数的，与发包人联系，费用由承包人承担</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发包人向承包人提供图纸的内容：</w:t>
      </w:r>
      <w:r>
        <w:rPr>
          <w:rFonts w:hint="eastAsia" w:ascii="宋体"/>
          <w:color w:val="0000FF"/>
          <w:sz w:val="21"/>
          <w:szCs w:val="21"/>
          <w:highlight w:val="none"/>
          <w:u w:val="single"/>
        </w:rPr>
        <w:t>承包人完成本工程所需要的全部施工图纸内容</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1.6.4 承包人文件</w:t>
      </w:r>
    </w:p>
    <w:p>
      <w:pPr>
        <w:adjustRightInd w:val="0"/>
        <w:spacing w:line="360" w:lineRule="auto"/>
        <w:ind w:firstLine="371" w:firstLineChars="177"/>
        <w:jc w:val="left"/>
        <w:textAlignment w:val="baseline"/>
        <w:rPr>
          <w:rFonts w:cs="宋体"/>
          <w:color w:val="auto"/>
          <w:sz w:val="21"/>
          <w:szCs w:val="21"/>
          <w:highlight w:val="none"/>
        </w:rPr>
      </w:pPr>
      <w:r>
        <w:rPr>
          <w:rFonts w:hint="eastAsia" w:cs="宋体"/>
          <w:color w:val="auto"/>
          <w:sz w:val="21"/>
          <w:szCs w:val="21"/>
          <w:highlight w:val="none"/>
        </w:rPr>
        <w:t>需要由承包人提供的文件，包括：</w:t>
      </w:r>
      <w:r>
        <w:rPr>
          <w:rFonts w:hint="eastAsia" w:ascii="宋体" w:hAnsi="宋体"/>
          <w:color w:val="0000FF"/>
          <w:sz w:val="21"/>
          <w:szCs w:val="21"/>
          <w:highlight w:val="none"/>
          <w:u w:val="single" w:color="000000"/>
        </w:rPr>
        <w:t>施工组织设计和施工总进度计划（横道图和网络图）；当月完成工程量统计表和下月进度计划表</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承包人提供的文件的期限为：</w:t>
      </w:r>
      <w:r>
        <w:rPr>
          <w:rFonts w:hint="eastAsia" w:ascii="宋体"/>
          <w:color w:val="0000FF"/>
          <w:sz w:val="21"/>
          <w:szCs w:val="21"/>
          <w:highlight w:val="none"/>
          <w:u w:val="single"/>
        </w:rPr>
        <w:t>开工前7天内提交施工组织设计和施工总进度计划；每月25日前提交当月完成工程量统计表和下月进度计划表</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承包人提供的文件的数量为：</w:t>
      </w:r>
      <w:r>
        <w:rPr>
          <w:rFonts w:hint="eastAsia" w:ascii="宋体" w:hAnsi="宋体" w:eastAsia="宋体" w:cs="Times New Roman"/>
          <w:color w:val="0000FF"/>
          <w:sz w:val="21"/>
          <w:szCs w:val="21"/>
          <w:highlight w:val="none"/>
          <w:u w:val="single"/>
        </w:rPr>
        <w:t>不少于5份</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承包人提供的文件的形式为：</w:t>
      </w:r>
      <w:r>
        <w:rPr>
          <w:rFonts w:hint="eastAsia" w:ascii="宋体" w:hAnsi="宋体" w:eastAsia="宋体" w:cs="Times New Roman"/>
          <w:color w:val="0000FF"/>
          <w:sz w:val="21"/>
          <w:szCs w:val="21"/>
          <w:highlight w:val="none"/>
          <w:u w:val="single"/>
        </w:rPr>
        <w:t>书面形式</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发包人审批承包人文件的期限：</w:t>
      </w:r>
      <w:r>
        <w:rPr>
          <w:rFonts w:hint="eastAsia" w:ascii="宋体" w:hAnsi="宋体" w:eastAsia="宋体" w:cs="Times New Roman"/>
          <w:color w:val="0000FF"/>
          <w:sz w:val="21"/>
          <w:szCs w:val="21"/>
          <w:highlight w:val="none"/>
          <w:u w:val="single"/>
        </w:rPr>
        <w:t>承包人提交监理工程师后，监理工程师应当在3天内审核完毕并报送发包人，发包人在收到</w:t>
      </w:r>
      <w:r>
        <w:rPr>
          <w:rFonts w:hint="eastAsia"/>
          <w:color w:val="0000FF"/>
          <w:sz w:val="21"/>
          <w:szCs w:val="21"/>
          <w:highlight w:val="none"/>
          <w:u w:val="single"/>
        </w:rPr>
        <w:t>符合约定的完整文件资料（包括承包人出具的完整文件及监理工程师的书面审核意见等）</w:t>
      </w:r>
      <w:r>
        <w:rPr>
          <w:rFonts w:hint="eastAsia" w:ascii="宋体" w:hAnsi="宋体" w:eastAsia="宋体" w:cs="Times New Roman"/>
          <w:color w:val="0000FF"/>
          <w:sz w:val="21"/>
          <w:szCs w:val="21"/>
          <w:highlight w:val="none"/>
          <w:u w:val="single"/>
        </w:rPr>
        <w:t>后</w:t>
      </w:r>
      <w:r>
        <w:rPr>
          <w:rFonts w:hint="eastAsia" w:cs="Times New Roman"/>
          <w:color w:val="0000FF"/>
          <w:sz w:val="21"/>
          <w:szCs w:val="21"/>
          <w:highlight w:val="none"/>
          <w:u w:val="single"/>
          <w:lang w:val="en-US" w:eastAsia="zh-CN"/>
        </w:rPr>
        <w:t>3</w:t>
      </w:r>
      <w:r>
        <w:rPr>
          <w:rFonts w:hint="eastAsia" w:ascii="宋体" w:hAnsi="宋体" w:eastAsia="宋体" w:cs="Times New Roman"/>
          <w:color w:val="0000FF"/>
          <w:sz w:val="21"/>
          <w:szCs w:val="21"/>
          <w:highlight w:val="none"/>
          <w:u w:val="single"/>
        </w:rPr>
        <w:t>天内审核确认</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1.6.5 现场图纸准备</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关于现场图纸准备的约定：</w:t>
      </w:r>
      <w:r>
        <w:rPr>
          <w:rFonts w:hint="eastAsia" w:ascii="宋体" w:hAnsi="宋体" w:eastAsia="宋体" w:cs="Times New Roman"/>
          <w:color w:val="0000FF"/>
          <w:sz w:val="21"/>
          <w:szCs w:val="21"/>
          <w:highlight w:val="none"/>
          <w:u w:val="single"/>
        </w:rPr>
        <w:t>承包人应当在现场准备2套完整施工图纸，供发包人、监理人及有关人员进行工程检查时使用</w:t>
      </w:r>
      <w:r>
        <w:rPr>
          <w:rFonts w:hint="eastAsia" w:cs="宋体"/>
          <w:color w:val="auto"/>
          <w:sz w:val="21"/>
          <w:szCs w:val="21"/>
          <w:highlight w:val="none"/>
        </w:rPr>
        <w:t>。</w:t>
      </w:r>
    </w:p>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1.7 联络</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1.7.1发包人和承包人应当将与合同有关的通知、批准、证明、证书、指示、指令、要求、请求、同意、意见、确定和决定等书面函件自作出之日起7天内送达对方当事人。</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1.7.2 发包人接收文件的地点：</w:t>
      </w:r>
      <w:r>
        <w:rPr>
          <w:rFonts w:hint="eastAsia" w:ascii="宋体" w:hAnsi="宋体" w:cs="宋体"/>
          <w:color w:val="0000FF"/>
          <w:sz w:val="21"/>
          <w:szCs w:val="21"/>
          <w:highlight w:val="none"/>
          <w:u w:val="single"/>
        </w:rPr>
        <w:t>（签订合同时填写）</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发包人指定的接收人为：</w:t>
      </w:r>
      <w:r>
        <w:rPr>
          <w:rFonts w:hint="eastAsia" w:ascii="宋体" w:hAnsi="宋体" w:cs="宋体"/>
          <w:color w:val="0000FF"/>
          <w:sz w:val="21"/>
          <w:szCs w:val="21"/>
          <w:highlight w:val="none"/>
          <w:u w:val="single"/>
        </w:rPr>
        <w:t>（签订合同时填写）</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承包人接收文件的地点：</w:t>
      </w:r>
      <w:r>
        <w:rPr>
          <w:rFonts w:hint="eastAsia" w:ascii="宋体" w:hAnsi="宋体" w:cs="宋体"/>
          <w:color w:val="0000FF"/>
          <w:sz w:val="21"/>
          <w:szCs w:val="21"/>
          <w:highlight w:val="none"/>
          <w:u w:val="single"/>
        </w:rPr>
        <w:t>（签订合同时填写）</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承包人指定的接收人为：</w:t>
      </w:r>
      <w:r>
        <w:rPr>
          <w:rFonts w:hint="eastAsia" w:ascii="宋体" w:hAnsi="宋体" w:cs="宋体"/>
          <w:color w:val="0000FF"/>
          <w:sz w:val="21"/>
          <w:szCs w:val="21"/>
          <w:highlight w:val="none"/>
          <w:u w:val="single"/>
        </w:rPr>
        <w:t>（签订合同时填写）</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监理人接收文件的地点：</w:t>
      </w:r>
      <w:r>
        <w:rPr>
          <w:rFonts w:hint="eastAsia" w:ascii="宋体" w:hAnsi="宋体" w:cs="宋体"/>
          <w:color w:val="0000FF"/>
          <w:sz w:val="21"/>
          <w:szCs w:val="21"/>
          <w:highlight w:val="none"/>
          <w:u w:val="single"/>
        </w:rPr>
        <w:t>（签订合同时填写）</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监理人指定的接收人为：</w:t>
      </w:r>
      <w:r>
        <w:rPr>
          <w:rFonts w:hint="eastAsia" w:ascii="宋体" w:hAnsi="宋体" w:cs="宋体"/>
          <w:color w:val="0000FF"/>
          <w:sz w:val="21"/>
          <w:szCs w:val="21"/>
          <w:highlight w:val="none"/>
          <w:u w:val="single"/>
        </w:rPr>
        <w:t>（签订合同时填写）</w:t>
      </w:r>
      <w:r>
        <w:rPr>
          <w:rFonts w:hint="eastAsia" w:cs="宋体"/>
          <w:color w:val="auto"/>
          <w:sz w:val="21"/>
          <w:szCs w:val="21"/>
          <w:highlight w:val="none"/>
        </w:rPr>
        <w:t>。</w:t>
      </w:r>
    </w:p>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1.10 交通运输</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1.10.1 出入现场的权利</w:t>
      </w:r>
    </w:p>
    <w:p>
      <w:pPr>
        <w:adjustRightInd w:val="0"/>
        <w:spacing w:line="360" w:lineRule="auto"/>
        <w:ind w:left="966" w:leftChars="284"/>
        <w:textAlignment w:val="baseline"/>
        <w:rPr>
          <w:rFonts w:cs="宋体"/>
          <w:color w:val="auto"/>
          <w:sz w:val="21"/>
          <w:szCs w:val="21"/>
          <w:highlight w:val="none"/>
        </w:rPr>
      </w:pPr>
      <w:r>
        <w:rPr>
          <w:rFonts w:hint="eastAsia" w:cs="宋体"/>
          <w:color w:val="auto"/>
          <w:sz w:val="21"/>
          <w:szCs w:val="21"/>
          <w:highlight w:val="none"/>
        </w:rPr>
        <w:t>关于出入现场的权利的约定：</w:t>
      </w:r>
      <w:r>
        <w:rPr>
          <w:rFonts w:hint="eastAsia" w:hAnsi="Times New Roman"/>
          <w:color w:val="auto"/>
          <w:sz w:val="21"/>
          <w:szCs w:val="21"/>
          <w:highlight w:val="none"/>
          <w:u w:val="single"/>
        </w:rPr>
        <w:t>执行通用合同条款</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1.10.3 场内交通</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关于场外交通和场内交通的边界的约定：</w:t>
      </w:r>
      <w:r>
        <w:rPr>
          <w:rFonts w:hint="eastAsia" w:ascii="宋体" w:hAnsi="宋体" w:cs="宋体"/>
          <w:color w:val="0000FF"/>
          <w:sz w:val="21"/>
          <w:szCs w:val="21"/>
          <w:highlight w:val="none"/>
          <w:u w:val="single"/>
        </w:rPr>
        <w:t>以附件平面图所划的边界为准</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关于发包人向承包人免费提供满足工程施工需要的场内道路和交通设施的约定：</w:t>
      </w:r>
      <w:r>
        <w:rPr>
          <w:rFonts w:hint="eastAsia" w:ascii="宋体" w:hAnsi="宋体" w:cs="宋体"/>
          <w:b w:val="0"/>
          <w:bCs w:val="0"/>
          <w:color w:val="0000FF"/>
          <w:sz w:val="21"/>
          <w:szCs w:val="21"/>
          <w:highlight w:val="none"/>
          <w:u w:val="single"/>
          <w:lang w:val="zh-CN" w:eastAsia="zh-CN"/>
        </w:rPr>
        <w:t>发包人按现状移交，</w:t>
      </w:r>
      <w:r>
        <w:rPr>
          <w:rFonts w:hint="eastAsia" w:cs="宋体"/>
          <w:color w:val="0000FF"/>
          <w:sz w:val="21"/>
          <w:szCs w:val="21"/>
          <w:highlight w:val="none"/>
          <w:u w:val="single"/>
          <w:lang w:val="zh-CN"/>
        </w:rPr>
        <w:t>由承包人自行解决施工所需场内道路和交通设施的修建、维修、养护和管理，以满足其施工方案所需全部大型机械设备和运输车辆进出现场及通行的需要，并承担全部的费用和开支，上述费用包含在签约合同价款中</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1.10.4超大件和超重件的运输</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运输超大件或超重件所需的道路和桥梁临时加固改造费用和其他有关费用由</w:t>
      </w:r>
      <w:r>
        <w:rPr>
          <w:rFonts w:hint="eastAsia" w:ascii="宋体" w:hAnsi="宋体" w:cs="宋体"/>
          <w:color w:val="0000FF"/>
          <w:sz w:val="21"/>
          <w:szCs w:val="21"/>
          <w:highlight w:val="none"/>
          <w:u w:val="single"/>
        </w:rPr>
        <w:t>承包人</w:t>
      </w:r>
      <w:r>
        <w:rPr>
          <w:rFonts w:hint="eastAsia" w:cs="宋体"/>
          <w:color w:val="auto"/>
          <w:sz w:val="21"/>
          <w:szCs w:val="21"/>
          <w:highlight w:val="none"/>
        </w:rPr>
        <w:t>承担。</w:t>
      </w:r>
    </w:p>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1.11 知识产权</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1.11.1关于发包人提供给承包人的图纸、发包人为实施工程自行编制或委托编制的技术规范以及反映发包人关于合同要求或其他类似性质的文件的著作权的归属：</w:t>
      </w:r>
      <w:r>
        <w:rPr>
          <w:rFonts w:hint="eastAsia"/>
          <w:color w:val="0000FF"/>
          <w:sz w:val="21"/>
          <w:szCs w:val="21"/>
          <w:highlight w:val="none"/>
          <w:u w:val="single"/>
        </w:rPr>
        <w:t>执行通用合同条款</w:t>
      </w:r>
      <w:r>
        <w:rPr>
          <w:rFonts w:hint="eastAsia" w:cs="宋体"/>
          <w:color w:val="auto"/>
          <w:sz w:val="21"/>
          <w:szCs w:val="21"/>
          <w:highlight w:val="none"/>
        </w:rPr>
        <w:t>。</w:t>
      </w:r>
    </w:p>
    <w:p>
      <w:pPr>
        <w:adjustRightInd w:val="0"/>
        <w:spacing w:line="360" w:lineRule="auto"/>
        <w:ind w:firstLine="371" w:firstLineChars="177"/>
        <w:textAlignment w:val="baseline"/>
        <w:rPr>
          <w:rFonts w:cs="宋体"/>
          <w:color w:val="auto"/>
          <w:sz w:val="21"/>
          <w:szCs w:val="21"/>
          <w:highlight w:val="none"/>
        </w:rPr>
      </w:pPr>
      <w:r>
        <w:rPr>
          <w:rFonts w:hint="eastAsia" w:cs="宋体"/>
          <w:color w:val="auto"/>
          <w:sz w:val="21"/>
          <w:szCs w:val="21"/>
          <w:highlight w:val="none"/>
        </w:rPr>
        <w:t>关于发包人提供的上述文件的使用限制的要求：</w:t>
      </w:r>
      <w:r>
        <w:rPr>
          <w:rFonts w:hint="eastAsia" w:ascii="宋体" w:hAnsi="宋体" w:eastAsia="宋体" w:cs="Times New Roman"/>
          <w:color w:val="0000FF"/>
          <w:sz w:val="21"/>
          <w:szCs w:val="21"/>
          <w:highlight w:val="none"/>
          <w:u w:val="single"/>
        </w:rPr>
        <w:t>不能用于与合同无关的其他事项。未经发包人书面同意，承包人不得为了合同以外的目的而复制、使用上述文件或将之提供给任何第三方</w:t>
      </w:r>
      <w:r>
        <w:rPr>
          <w:rFonts w:hint="eastAsia" w:cs="Times New Roman"/>
          <w:color w:val="0000FF"/>
          <w:sz w:val="21"/>
          <w:szCs w:val="21"/>
          <w:highlight w:val="none"/>
          <w:u w:val="single"/>
          <w:lang w:eastAsia="zh-CN"/>
        </w:rPr>
        <w:t>，或以不利于发包人的方式使用之；否则因此产生的责任和后果概由承包人承担；如因此给发包人造成损失的，承包人还应承担赔偿责任</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1.11.2 关于承包人为实施工程所编制文件的著作权的归属：</w:t>
      </w:r>
      <w:r>
        <w:rPr>
          <w:rFonts w:hint="eastAsia"/>
          <w:color w:val="0000FF"/>
          <w:sz w:val="21"/>
          <w:szCs w:val="21"/>
          <w:highlight w:val="none"/>
          <w:u w:val="single"/>
          <w:lang w:eastAsia="zh-CN"/>
        </w:rPr>
        <w:t>属于发包人</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关于承包人提供的上述文件的使用限制的要求：</w:t>
      </w:r>
      <w:r>
        <w:rPr>
          <w:rFonts w:hint="eastAsia" w:ascii="宋体" w:hAnsi="宋体" w:eastAsia="宋体" w:cs="Times New Roman"/>
          <w:color w:val="0000FF"/>
          <w:sz w:val="21"/>
          <w:szCs w:val="21"/>
          <w:highlight w:val="none"/>
          <w:u w:val="single"/>
        </w:rPr>
        <w:t>不能用于与合同无关的其他事项。未经发包人书面同意，承包人不得为了合同以外的目的而复制、使用上述文件或将之提供给任何第三方</w:t>
      </w:r>
      <w:r>
        <w:rPr>
          <w:rFonts w:hint="eastAsia" w:cs="Times New Roman"/>
          <w:color w:val="0000FF"/>
          <w:sz w:val="21"/>
          <w:szCs w:val="21"/>
          <w:highlight w:val="none"/>
          <w:u w:val="single"/>
          <w:lang w:eastAsia="zh-CN"/>
        </w:rPr>
        <w:t>，或以不利于发包人的方式使用之；否则因此产生的责任和后果概由承包人承担；如因此给发包人造成损失的，承包人还应承担赔偿责任</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1.11.4 承包人在施工过程中所采用的专利、专有技术、技术秘密的使用费的承担方式：</w:t>
      </w:r>
      <w:r>
        <w:rPr>
          <w:rFonts w:hint="eastAsia" w:cs="宋体"/>
          <w:color w:val="auto"/>
          <w:sz w:val="21"/>
          <w:szCs w:val="21"/>
          <w:highlight w:val="none"/>
          <w:u w:val="single"/>
        </w:rPr>
        <w:t>除发包人在合同签订后，另行确定采用的专利、专有技术、技术秘密外，专利、专有技术、技术秘密外的使用费已包含在投标报价中，均由承包人承担</w:t>
      </w:r>
      <w:r>
        <w:rPr>
          <w:rFonts w:hint="eastAsia" w:cs="宋体"/>
          <w:color w:val="auto"/>
          <w:sz w:val="21"/>
          <w:szCs w:val="21"/>
          <w:highlight w:val="none"/>
        </w:rPr>
        <w:t>。</w:t>
      </w:r>
    </w:p>
    <w:p>
      <w:pPr>
        <w:adjustRightInd w:val="0"/>
        <w:spacing w:after="120" w:line="360" w:lineRule="auto"/>
        <w:ind w:firstLine="420" w:firstLineChars="200"/>
        <w:textAlignment w:val="baseline"/>
        <w:rPr>
          <w:rFonts w:hAnsi="Times New Roman"/>
          <w:color w:val="auto"/>
          <w:sz w:val="21"/>
          <w:szCs w:val="21"/>
          <w:highlight w:val="none"/>
        </w:rPr>
      </w:pPr>
      <w:r>
        <w:rPr>
          <w:rFonts w:hint="eastAsia" w:hAnsi="Times New Roman"/>
          <w:color w:val="auto"/>
          <w:sz w:val="21"/>
          <w:szCs w:val="21"/>
          <w:highlight w:val="none"/>
        </w:rPr>
        <w:t>1.13工程量清单错误的修正</w:t>
      </w:r>
    </w:p>
    <w:p>
      <w:pPr>
        <w:adjustRightInd w:val="0"/>
        <w:spacing w:line="360" w:lineRule="auto"/>
        <w:ind w:firstLine="420" w:firstLineChars="200"/>
        <w:textAlignment w:val="baseline"/>
        <w:rPr>
          <w:rFonts w:hAnsi="Times New Roman"/>
          <w:color w:val="auto"/>
          <w:sz w:val="21"/>
          <w:szCs w:val="21"/>
          <w:highlight w:val="none"/>
          <w:u w:val="single"/>
        </w:rPr>
      </w:pPr>
      <w:r>
        <w:rPr>
          <w:rFonts w:hint="eastAsia" w:hAnsi="Times New Roman"/>
          <w:color w:val="auto"/>
          <w:sz w:val="21"/>
          <w:szCs w:val="21"/>
          <w:highlight w:val="none"/>
        </w:rPr>
        <w:t>工程量清单错误修正的其他情形：</w:t>
      </w:r>
      <w:r>
        <w:rPr>
          <w:rFonts w:hint="eastAsia" w:cs="宋体"/>
          <w:color w:val="auto"/>
          <w:sz w:val="21"/>
          <w:szCs w:val="21"/>
          <w:highlight w:val="none"/>
          <w:u w:val="single"/>
        </w:rPr>
        <w:t>工程量清单错误超出约定风险范围时，予以修正工程量清单并调整合同价格</w:t>
      </w:r>
      <w:r>
        <w:rPr>
          <w:rFonts w:hint="eastAsia" w:hAnsi="Times New Roman"/>
          <w:color w:val="auto"/>
          <w:sz w:val="21"/>
          <w:szCs w:val="21"/>
          <w:highlight w:val="none"/>
          <w:u w:val="single"/>
        </w:rPr>
        <w:t>。</w:t>
      </w:r>
    </w:p>
    <w:p>
      <w:pPr>
        <w:adjustRightInd w:val="0"/>
        <w:spacing w:line="360" w:lineRule="auto"/>
        <w:ind w:firstLine="420" w:firstLineChars="200"/>
        <w:textAlignment w:val="baseline"/>
        <w:rPr>
          <w:rFonts w:hAnsi="Times New Roman"/>
          <w:color w:val="auto"/>
          <w:sz w:val="21"/>
          <w:szCs w:val="21"/>
          <w:highlight w:val="none"/>
          <w:u w:val="single"/>
        </w:rPr>
      </w:pPr>
      <w:r>
        <w:rPr>
          <w:rFonts w:hint="eastAsia" w:cs="宋体"/>
          <w:color w:val="auto"/>
          <w:sz w:val="21"/>
          <w:szCs w:val="21"/>
          <w:highlight w:val="none"/>
        </w:rPr>
        <w:t>允许调整合同价格的工程量偏差范围：</w:t>
      </w:r>
      <w:r>
        <w:rPr>
          <w:rFonts w:hint="eastAsia" w:cs="宋体"/>
          <w:color w:val="auto"/>
          <w:sz w:val="21"/>
          <w:szCs w:val="21"/>
          <w:highlight w:val="none"/>
          <w:u w:val="single"/>
        </w:rPr>
        <w:t>工程量清单错误导致增加或者减少的合同价款超过签约合同价的3%时，就超过部分的合同价款可以调整合同价格，3%以内（含）部分不予调整。承包人应当在收到中标通知书后28天</w:t>
      </w:r>
      <w:r>
        <w:rPr>
          <w:rFonts w:hint="eastAsia" w:cs="宋体"/>
          <w:color w:val="auto"/>
          <w:sz w:val="21"/>
          <w:szCs w:val="21"/>
          <w:highlight w:val="none"/>
          <w:u w:val="single"/>
          <w:lang w:val="en-US" w:eastAsia="zh-CN"/>
        </w:rPr>
        <w:t>内</w:t>
      </w:r>
      <w:r>
        <w:rPr>
          <w:rFonts w:hint="eastAsia" w:cs="宋体"/>
          <w:color w:val="auto"/>
          <w:sz w:val="21"/>
          <w:szCs w:val="21"/>
          <w:highlight w:val="none"/>
          <w:u w:val="single"/>
        </w:rPr>
        <w:t>向发包人提出工程量清单错误的核对申请，并在提出核对申请后20日内完成工程量清单核对工作；如有调整，发包人须将调整后的工程量清单向按业主单位及其上级集团公司有关程序进行报备；承包人没有在规定期限内提出核对申请</w:t>
      </w:r>
      <w:r>
        <w:rPr>
          <w:rFonts w:hint="eastAsia" w:cs="宋体"/>
          <w:color w:val="auto"/>
          <w:sz w:val="21"/>
          <w:szCs w:val="21"/>
          <w:highlight w:val="none"/>
          <w:u w:val="single"/>
          <w:lang w:val="en-US" w:eastAsia="zh-CN"/>
        </w:rPr>
        <w:t>及核对工作</w:t>
      </w:r>
      <w:r>
        <w:rPr>
          <w:rFonts w:hint="eastAsia" w:cs="宋体"/>
          <w:color w:val="auto"/>
          <w:sz w:val="21"/>
          <w:szCs w:val="21"/>
          <w:highlight w:val="none"/>
          <w:u w:val="single"/>
        </w:rPr>
        <w:t>的，视为工程量清单没有错误</w:t>
      </w:r>
      <w:r>
        <w:rPr>
          <w:rFonts w:hint="eastAsia" w:hAnsi="Times New Roman"/>
          <w:color w:val="auto"/>
          <w:sz w:val="21"/>
          <w:szCs w:val="21"/>
          <w:highlight w:val="none"/>
          <w:u w:val="single"/>
        </w:rPr>
        <w:t>。</w:t>
      </w:r>
    </w:p>
    <w:p>
      <w:pPr>
        <w:adjustRightInd w:val="0"/>
        <w:spacing w:line="360" w:lineRule="auto"/>
        <w:ind w:firstLine="420" w:firstLineChars="200"/>
        <w:textAlignment w:val="baseline"/>
        <w:rPr>
          <w:rFonts w:hAnsi="Times New Roman"/>
          <w:color w:val="auto"/>
          <w:sz w:val="21"/>
          <w:szCs w:val="21"/>
          <w:highlight w:val="none"/>
        </w:rPr>
      </w:pPr>
      <w:r>
        <w:rPr>
          <w:rFonts w:hint="eastAsia" w:hAnsi="Times New Roman"/>
          <w:color w:val="auto"/>
          <w:sz w:val="21"/>
          <w:szCs w:val="21"/>
          <w:highlight w:val="none"/>
        </w:rPr>
        <w:t>1.14 招标控制价错误的修正</w:t>
      </w:r>
    </w:p>
    <w:p>
      <w:pPr>
        <w:adjustRightInd w:val="0"/>
        <w:spacing w:line="360" w:lineRule="auto"/>
        <w:ind w:firstLine="420" w:firstLineChars="200"/>
        <w:textAlignment w:val="baseline"/>
        <w:rPr>
          <w:rFonts w:hAnsi="Times New Roman"/>
          <w:color w:val="auto"/>
          <w:sz w:val="21"/>
          <w:szCs w:val="21"/>
          <w:highlight w:val="none"/>
        </w:rPr>
      </w:pPr>
      <w:r>
        <w:rPr>
          <w:rFonts w:hint="eastAsia" w:hAnsi="Times New Roman"/>
          <w:color w:val="auto"/>
          <w:sz w:val="21"/>
          <w:szCs w:val="21"/>
          <w:highlight w:val="none"/>
        </w:rPr>
        <w:t>关于招标控制价错误修正的其他约定：</w:t>
      </w:r>
      <w:r>
        <w:rPr>
          <w:rFonts w:hint="eastAsia" w:cs="宋体"/>
          <w:color w:val="auto"/>
          <w:sz w:val="21"/>
          <w:szCs w:val="21"/>
          <w:highlight w:val="none"/>
          <w:u w:val="single"/>
        </w:rPr>
        <w:t>不予修正</w:t>
      </w:r>
      <w:r>
        <w:rPr>
          <w:rFonts w:hint="eastAsia" w:hAnsi="Times New Roman"/>
          <w:color w:val="auto"/>
          <w:sz w:val="21"/>
          <w:szCs w:val="21"/>
          <w:highlight w:val="none"/>
        </w:rPr>
        <w:t>。</w:t>
      </w:r>
    </w:p>
    <w:p>
      <w:pPr>
        <w:keepNext/>
        <w:keepLines/>
        <w:adjustRightInd w:val="0"/>
        <w:spacing w:beforeLines="50" w:line="360" w:lineRule="auto"/>
        <w:textAlignment w:val="baseline"/>
        <w:outlineLvl w:val="4"/>
        <w:rPr>
          <w:rFonts w:cs="宋体"/>
          <w:b/>
          <w:bCs/>
          <w:color w:val="auto"/>
          <w:sz w:val="21"/>
          <w:szCs w:val="21"/>
          <w:highlight w:val="none"/>
        </w:rPr>
      </w:pPr>
      <w:r>
        <w:rPr>
          <w:rFonts w:hint="eastAsia" w:cs="宋体"/>
          <w:b/>
          <w:bCs/>
          <w:color w:val="auto"/>
          <w:sz w:val="21"/>
          <w:szCs w:val="21"/>
          <w:highlight w:val="none"/>
        </w:rPr>
        <w:t>2</w:t>
      </w:r>
      <w:bookmarkStart w:id="1350" w:name="_Toc13309386"/>
      <w:bookmarkStart w:id="1351" w:name="_Toc63471468"/>
      <w:r>
        <w:rPr>
          <w:rFonts w:hint="eastAsia" w:cs="宋体"/>
          <w:b/>
          <w:bCs/>
          <w:color w:val="auto"/>
          <w:sz w:val="21"/>
          <w:szCs w:val="21"/>
          <w:highlight w:val="none"/>
        </w:rPr>
        <w:t>. 发包人</w:t>
      </w:r>
    </w:p>
    <w:bookmarkEnd w:id="1350"/>
    <w:bookmarkEnd w:id="1351"/>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2.2 发包人代表</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发包人代表：</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姓    名：</w:t>
      </w:r>
      <w:r>
        <w:rPr>
          <w:rFonts w:hint="eastAsia" w:ascii="宋体" w:hAnsi="宋体" w:cs="宋体"/>
          <w:color w:val="0000FF"/>
          <w:sz w:val="21"/>
          <w:szCs w:val="21"/>
          <w:highlight w:val="none"/>
          <w:u w:val="single"/>
        </w:rPr>
        <w:t>（签订合同时填写）</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身份证号：</w:t>
      </w:r>
      <w:r>
        <w:rPr>
          <w:rFonts w:hint="eastAsia" w:ascii="宋体" w:hAnsi="宋体" w:cs="宋体"/>
          <w:color w:val="0000FF"/>
          <w:sz w:val="21"/>
          <w:szCs w:val="21"/>
          <w:highlight w:val="none"/>
          <w:u w:val="single"/>
        </w:rPr>
        <w:t>（签订合同时填写）</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职    务：</w:t>
      </w:r>
      <w:r>
        <w:rPr>
          <w:rFonts w:hint="eastAsia" w:ascii="宋体" w:hAnsi="宋体" w:cs="宋体"/>
          <w:color w:val="0000FF"/>
          <w:sz w:val="21"/>
          <w:szCs w:val="21"/>
          <w:highlight w:val="none"/>
          <w:u w:val="single"/>
        </w:rPr>
        <w:t>（签订合同时填写）</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联系电话：</w:t>
      </w:r>
      <w:r>
        <w:rPr>
          <w:rFonts w:hint="eastAsia" w:ascii="宋体" w:hAnsi="宋体" w:cs="宋体"/>
          <w:color w:val="0000FF"/>
          <w:sz w:val="21"/>
          <w:szCs w:val="21"/>
          <w:highlight w:val="none"/>
          <w:u w:val="single"/>
        </w:rPr>
        <w:t>（签订合同时填写）</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电子信箱：</w:t>
      </w:r>
      <w:r>
        <w:rPr>
          <w:rFonts w:hint="eastAsia" w:ascii="宋体" w:hAnsi="宋体" w:cs="宋体"/>
          <w:color w:val="0000FF"/>
          <w:sz w:val="21"/>
          <w:szCs w:val="21"/>
          <w:highlight w:val="none"/>
          <w:u w:val="single"/>
        </w:rPr>
        <w:t>（签订合同时填写）</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通信地址：</w:t>
      </w:r>
      <w:r>
        <w:rPr>
          <w:rFonts w:hint="eastAsia" w:ascii="宋体" w:hAnsi="宋体" w:cs="宋体"/>
          <w:color w:val="0000FF"/>
          <w:sz w:val="21"/>
          <w:szCs w:val="21"/>
          <w:highlight w:val="none"/>
          <w:u w:val="single"/>
        </w:rPr>
        <w:t>（签订合同时填写）</w:t>
      </w:r>
      <w:r>
        <w:rPr>
          <w:rFonts w:hint="eastAsia" w:cs="宋体"/>
          <w:color w:val="auto"/>
          <w:sz w:val="21"/>
          <w:szCs w:val="21"/>
          <w:highlight w:val="none"/>
        </w:rPr>
        <w:t>。</w:t>
      </w:r>
    </w:p>
    <w:p>
      <w:pPr>
        <w:adjustRightInd w:val="0"/>
        <w:spacing w:line="360" w:lineRule="auto"/>
        <w:ind w:firstLine="420" w:firstLineChars="200"/>
        <w:textAlignment w:val="baseline"/>
        <w:rPr>
          <w:rFonts w:cs="宋体"/>
          <w:b/>
          <w:color w:val="auto"/>
          <w:sz w:val="21"/>
          <w:szCs w:val="21"/>
          <w:highlight w:val="none"/>
        </w:rPr>
      </w:pPr>
      <w:r>
        <w:rPr>
          <w:rFonts w:hint="eastAsia" w:cs="宋体"/>
          <w:color w:val="auto"/>
          <w:sz w:val="21"/>
          <w:szCs w:val="21"/>
          <w:highlight w:val="none"/>
        </w:rPr>
        <w:t>发包人对发包人代表的授权范围如下：</w:t>
      </w:r>
      <w:r>
        <w:rPr>
          <w:rFonts w:hint="eastAsia" w:ascii="宋体" w:hAnsi="宋体"/>
          <w:color w:val="0000FF"/>
          <w:sz w:val="21"/>
          <w:szCs w:val="21"/>
          <w:highlight w:val="none"/>
          <w:u w:val="single"/>
        </w:rPr>
        <w:t>发包人现场的全权负责人，行使本工程施工合同、监理合同所赋予的职权和工作</w:t>
      </w:r>
      <w:r>
        <w:rPr>
          <w:rFonts w:hint="eastAsia" w:ascii="宋体" w:hAnsi="宋体"/>
          <w:color w:val="0000FF"/>
          <w:sz w:val="21"/>
          <w:szCs w:val="21"/>
          <w:highlight w:val="none"/>
          <w:u w:val="single"/>
          <w:lang w:eastAsia="zh-CN"/>
        </w:rPr>
        <w:t>。任何须经发包人确认后生效的事项，包括但不限于：设计变更、工期延误索赔或签证、工程量及费用增减的索赔或签证、工程款/工程量的核定、工程款的支付、停工通知、复工通知、分包商的确定、主要材料的确定与主材进场审核、承包人主要管理人员更换、检验试验单位资质审核以及其他重大突发事件处理等。属发包人派驻工程师授权范围内的，必须经发包人派驻工程师书面签署后方生效；发包人派驻工程师授权范围外的，必须经发包人单位盖章或发包人代表签字后方生效；任何其他人签署均不发生效力、对发包人无约束力。承包人及监理人不得就无效、未生效或对发包人不产生约束力的文件等向发包人主张任何权利</w:t>
      </w:r>
      <w:r>
        <w:rPr>
          <w:rFonts w:hint="eastAsia" w:cs="宋体"/>
          <w:color w:val="auto"/>
          <w:sz w:val="21"/>
          <w:szCs w:val="21"/>
          <w:highlight w:val="none"/>
        </w:rPr>
        <w:t>。</w:t>
      </w:r>
    </w:p>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2.4 施工现场、施工条件和基础资料的提供</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2.4.1 提供施工现场</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关于发包人移交施工现场的期限要求：</w:t>
      </w:r>
      <w:r>
        <w:rPr>
          <w:rFonts w:hint="eastAsia" w:ascii="宋体" w:hAnsi="宋体" w:eastAsia="宋体" w:cs="Times New Roman"/>
          <w:color w:val="0000FF"/>
          <w:sz w:val="21"/>
          <w:szCs w:val="21"/>
          <w:highlight w:val="none"/>
          <w:u w:val="single"/>
          <w:lang w:eastAsia="zh-CN"/>
        </w:rPr>
        <w:t>发包人应最迟于开工日期7天前向承包人移交施工现场</w:t>
      </w:r>
      <w:r>
        <w:rPr>
          <w:rFonts w:hint="eastAsia" w:cs="Times New Roman"/>
          <w:color w:val="0000FF"/>
          <w:sz w:val="21"/>
          <w:szCs w:val="21"/>
          <w:highlight w:val="none"/>
          <w:u w:val="single"/>
          <w:lang w:eastAsia="zh-CN"/>
        </w:rPr>
        <w:t>。</w:t>
      </w:r>
      <w:r>
        <w:rPr>
          <w:rFonts w:hint="eastAsia"/>
          <w:color w:val="0000FF"/>
          <w:sz w:val="21"/>
          <w:szCs w:val="21"/>
          <w:highlight w:val="none"/>
          <w:u w:val="single"/>
        </w:rPr>
        <w:t>遇有下列情况，发包人提供的施工场地足以保证承包人分段作业或单项作业的，视为具备施工条件：个别地段因发包人意志以外的自然原因尚不具备施工条件，但可在 15 个工作日内排除该原因，且该地段已不影响</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2.4.2 提供施工条件</w:t>
      </w:r>
    </w:p>
    <w:p>
      <w:pPr>
        <w:adjustRightInd w:val="0"/>
        <w:spacing w:line="360" w:lineRule="auto"/>
        <w:ind w:firstLine="420" w:firstLineChars="200"/>
        <w:jc w:val="left"/>
        <w:textAlignment w:val="baseline"/>
        <w:rPr>
          <w:rFonts w:hint="eastAsia" w:ascii="宋体" w:hAnsi="宋体" w:eastAsia="宋体" w:cs="Times New Roman"/>
          <w:color w:val="0000FF"/>
          <w:sz w:val="21"/>
          <w:szCs w:val="21"/>
          <w:highlight w:val="none"/>
          <w:u w:val="single"/>
          <w:lang w:eastAsia="zh-CN"/>
        </w:rPr>
      </w:pPr>
      <w:r>
        <w:rPr>
          <w:rFonts w:hint="eastAsia" w:cs="宋体"/>
          <w:color w:val="auto"/>
          <w:sz w:val="21"/>
          <w:szCs w:val="21"/>
          <w:highlight w:val="none"/>
        </w:rPr>
        <w:t>关于发包人应负责提供施工所需要的条件，包括：</w:t>
      </w:r>
      <w:r>
        <w:rPr>
          <w:rFonts w:hint="eastAsia" w:ascii="宋体" w:hAnsi="宋体" w:eastAsia="宋体" w:cs="Times New Roman"/>
          <w:color w:val="0000FF"/>
          <w:sz w:val="21"/>
          <w:szCs w:val="21"/>
          <w:highlight w:val="none"/>
          <w:u w:val="single"/>
          <w:lang w:eastAsia="zh-CN"/>
        </w:rPr>
        <w:t>（1）发包人移交的施工现场已具备施工条件。同时发包人所提供的施工场地足以保证承包人分段作业或单项作业的，视为具备施工条件，承包人不得以没有全部移交为由向发包人提出任何费用和工期索赔。承包人已自行通过现场实地考察，若临时用电容量不能满足现场施工或赶工之需求，承包人需采取租赁发电机等其他一切供电措施以保证现场用电需求的，均由承包人自行负责，考虑在投标报价中，发包人不予增补费用。电讯由承包人与电讯部门联系，通讯费用由承包人支付。承包人须自行承担本项目的水、电、电讯等相关费用，并按时缴纳费用，如因迟延缴费所导致的责任及后果等（包括但不限于被暂停水电、被追缴滞纳金等）均由承包人自行负责。</w:t>
      </w:r>
    </w:p>
    <w:p>
      <w:pPr>
        <w:adjustRightInd w:val="0"/>
        <w:spacing w:line="360" w:lineRule="auto"/>
        <w:ind w:firstLine="420" w:firstLineChars="200"/>
        <w:jc w:val="left"/>
        <w:textAlignment w:val="baseline"/>
        <w:rPr>
          <w:rFonts w:hint="eastAsia" w:ascii="宋体" w:hAnsi="宋体" w:eastAsia="宋体" w:cs="Times New Roman"/>
          <w:color w:val="0000FF"/>
          <w:sz w:val="21"/>
          <w:szCs w:val="21"/>
          <w:highlight w:val="none"/>
          <w:u w:val="single"/>
          <w:lang w:eastAsia="zh-CN"/>
        </w:rPr>
      </w:pPr>
      <w:r>
        <w:rPr>
          <w:rFonts w:hint="eastAsia" w:ascii="宋体" w:hAnsi="宋体" w:eastAsia="宋体" w:cs="Times New Roman"/>
          <w:color w:val="0000FF"/>
          <w:sz w:val="21"/>
          <w:szCs w:val="21"/>
          <w:highlight w:val="none"/>
          <w:u w:val="single"/>
          <w:lang w:eastAsia="zh-CN"/>
        </w:rPr>
        <w:t>（2）本工程施工用电在工程开工前已接通至项目红线内，场内及接引至场外临时生活区用电的接引工 作由承包人自行解决，费用已包括在合同总价中。承包人负责从指定的市政用水接驳点且按发包人批准的接驳方案接驳施工用水，发生的相关费用由承包人承担，发包人不再另行支付。</w:t>
      </w:r>
    </w:p>
    <w:p>
      <w:pPr>
        <w:adjustRightInd w:val="0"/>
        <w:spacing w:line="360" w:lineRule="auto"/>
        <w:ind w:firstLine="420" w:firstLineChars="200"/>
        <w:jc w:val="left"/>
        <w:textAlignment w:val="baseline"/>
        <w:rPr>
          <w:rFonts w:hint="eastAsia" w:ascii="宋体" w:hAnsi="宋体" w:eastAsia="宋体" w:cs="Times New Roman"/>
          <w:color w:val="0000FF"/>
          <w:sz w:val="21"/>
          <w:szCs w:val="21"/>
          <w:highlight w:val="none"/>
          <w:u w:val="single"/>
          <w:lang w:eastAsia="zh-CN"/>
        </w:rPr>
      </w:pPr>
      <w:r>
        <w:rPr>
          <w:rFonts w:hint="eastAsia" w:ascii="宋体" w:hAnsi="宋体" w:eastAsia="宋体" w:cs="Times New Roman"/>
          <w:color w:val="0000FF"/>
          <w:sz w:val="21"/>
          <w:szCs w:val="21"/>
          <w:highlight w:val="none"/>
          <w:u w:val="single"/>
          <w:lang w:eastAsia="zh-CN"/>
        </w:rPr>
        <w:t>水：由发包人申请开户并按要求安装总管计量装置，承包人每月根据水务部门的收费凭证向水务部门缴交水费。</w:t>
      </w:r>
    </w:p>
    <w:p>
      <w:pPr>
        <w:adjustRightInd w:val="0"/>
        <w:spacing w:line="360" w:lineRule="auto"/>
        <w:ind w:firstLine="420" w:firstLineChars="200"/>
        <w:jc w:val="left"/>
        <w:textAlignment w:val="baseline"/>
        <w:rPr>
          <w:rFonts w:hint="eastAsia" w:ascii="宋体" w:hAnsi="宋体" w:eastAsia="宋体" w:cs="Times New Roman"/>
          <w:color w:val="0000FF"/>
          <w:sz w:val="21"/>
          <w:szCs w:val="21"/>
          <w:highlight w:val="none"/>
          <w:u w:val="single"/>
          <w:lang w:eastAsia="zh-CN"/>
        </w:rPr>
      </w:pPr>
      <w:r>
        <w:rPr>
          <w:rFonts w:hint="eastAsia" w:ascii="宋体" w:hAnsi="宋体" w:eastAsia="宋体" w:cs="Times New Roman"/>
          <w:color w:val="0000FF"/>
          <w:sz w:val="21"/>
          <w:szCs w:val="21"/>
          <w:highlight w:val="none"/>
          <w:u w:val="single"/>
          <w:lang w:eastAsia="zh-CN"/>
        </w:rPr>
        <w:t xml:space="preserve">电：由发包人申请开户，承包人应按要求安装计量装置，承包人每月根据电力部门的收费凭证向电力部门缴交。各分包单位用水、用电计量由承包人负责管理，水损、电损费用由承包人统一缴交，该费用的分摊，由承包人与各分包单位协商解决。 </w:t>
      </w:r>
    </w:p>
    <w:p>
      <w:pPr>
        <w:adjustRightInd w:val="0"/>
        <w:spacing w:line="360" w:lineRule="auto"/>
        <w:ind w:firstLine="420" w:firstLineChars="200"/>
        <w:jc w:val="left"/>
        <w:textAlignment w:val="baseline"/>
        <w:rPr>
          <w:rFonts w:hint="eastAsia" w:ascii="宋体" w:hAnsi="宋体" w:eastAsia="宋体" w:cs="Times New Roman"/>
          <w:color w:val="0000FF"/>
          <w:sz w:val="21"/>
          <w:szCs w:val="21"/>
          <w:highlight w:val="none"/>
          <w:u w:val="single"/>
          <w:lang w:val="en-US" w:eastAsia="zh-CN"/>
        </w:rPr>
      </w:pPr>
      <w:r>
        <w:rPr>
          <w:rFonts w:hint="eastAsia" w:ascii="宋体" w:hAnsi="宋体" w:eastAsia="宋体" w:cs="Times New Roman"/>
          <w:color w:val="0000FF"/>
          <w:sz w:val="21"/>
          <w:szCs w:val="21"/>
          <w:highlight w:val="none"/>
          <w:u w:val="single"/>
          <w:lang w:eastAsia="zh-CN"/>
        </w:rPr>
        <w:t>水电费由承包人自行缴交的，承包人应在接到缴费通知 5 日内缴交，否则发包人有权代为缴交并于次月从应付承包人进度款中扣除，对此承包人不得提出任何异议。若因水电费没有按时缴交，产生的违约金或滞纳金由承包人承担，被停水、停电的，造成的损失均由承包人承担，导致工期延误的，不予顺延。</w:t>
      </w:r>
    </w:p>
    <w:p>
      <w:pPr>
        <w:adjustRightInd w:val="0"/>
        <w:spacing w:line="360" w:lineRule="auto"/>
        <w:ind w:firstLine="420" w:firstLineChars="200"/>
        <w:jc w:val="left"/>
        <w:textAlignment w:val="baseline"/>
        <w:rPr>
          <w:rFonts w:hint="eastAsia" w:ascii="宋体" w:hAnsi="宋体" w:eastAsia="宋体" w:cs="Times New Roman"/>
          <w:color w:val="0000FF"/>
          <w:sz w:val="21"/>
          <w:szCs w:val="21"/>
          <w:highlight w:val="none"/>
          <w:u w:val="single"/>
          <w:lang w:eastAsia="zh-CN"/>
        </w:rPr>
      </w:pPr>
      <w:r>
        <w:rPr>
          <w:rFonts w:hint="eastAsia" w:ascii="宋体" w:hAnsi="宋体" w:eastAsia="宋体" w:cs="Times New Roman"/>
          <w:color w:val="0000FF"/>
          <w:sz w:val="21"/>
          <w:szCs w:val="21"/>
          <w:highlight w:val="none"/>
          <w:u w:val="single"/>
          <w:lang w:eastAsia="zh-CN"/>
        </w:rPr>
        <w:t xml:space="preserve">临时供水、用电设备在承包人进场后均移交承包人管理，施工用电安全责任由承包人负责，工程竣工验收完成后应完整交回发包人。 </w:t>
      </w:r>
    </w:p>
    <w:p>
      <w:pPr>
        <w:adjustRightInd w:val="0"/>
        <w:spacing w:line="360" w:lineRule="auto"/>
        <w:ind w:firstLine="420" w:firstLineChars="200"/>
        <w:jc w:val="left"/>
        <w:textAlignment w:val="baseline"/>
        <w:rPr>
          <w:rFonts w:hint="eastAsia" w:ascii="宋体" w:hAnsi="宋体" w:eastAsia="宋体" w:cs="Times New Roman"/>
          <w:color w:val="0000FF"/>
          <w:sz w:val="21"/>
          <w:szCs w:val="21"/>
          <w:highlight w:val="none"/>
          <w:u w:val="single"/>
          <w:lang w:eastAsia="zh-CN"/>
        </w:rPr>
      </w:pPr>
      <w:r>
        <w:rPr>
          <w:rFonts w:hint="eastAsia" w:ascii="宋体" w:hAnsi="宋体" w:eastAsia="宋体" w:cs="Times New Roman"/>
          <w:color w:val="0000FF"/>
          <w:sz w:val="21"/>
          <w:szCs w:val="21"/>
          <w:highlight w:val="none"/>
          <w:u w:val="single"/>
          <w:lang w:eastAsia="zh-CN"/>
        </w:rPr>
        <w:t>通讯：由承包人自行解决。</w:t>
      </w:r>
    </w:p>
    <w:p>
      <w:pPr>
        <w:adjustRightInd w:val="0"/>
        <w:spacing w:line="360" w:lineRule="auto"/>
        <w:ind w:firstLine="420" w:firstLineChars="200"/>
        <w:jc w:val="left"/>
        <w:textAlignment w:val="baseline"/>
        <w:rPr>
          <w:rFonts w:hint="eastAsia" w:ascii="宋体" w:hAnsi="宋体" w:eastAsia="宋体" w:cs="Times New Roman"/>
          <w:color w:val="0000FF"/>
          <w:sz w:val="21"/>
          <w:szCs w:val="21"/>
          <w:highlight w:val="none"/>
          <w:u w:val="single"/>
          <w:lang w:eastAsia="zh-CN"/>
        </w:rPr>
      </w:pPr>
      <w:r>
        <w:rPr>
          <w:rFonts w:hint="eastAsia" w:ascii="宋体" w:hAnsi="宋体" w:eastAsia="宋体" w:cs="Times New Roman"/>
          <w:color w:val="0000FF"/>
          <w:sz w:val="21"/>
          <w:szCs w:val="21"/>
          <w:highlight w:val="none"/>
          <w:u w:val="single"/>
          <w:lang w:eastAsia="zh-CN"/>
        </w:rPr>
        <w:t>（3）施工场地与公共道路的通道开通时间和要求：承包人应充分了解项目现场周边情况，若未能满足施工交通要求或在施工过程中需多次改道修建临时道路，承包人应自行解决，发包人给予协助，由此产生的相关费用由承包人承担，并满足文明施工要求，但承包人仍应遵守厦门市交通管理部门限制通行的有关规定。公共道路至施工现场的临时通道由承包人自行解决，其费用已包含在合同总价中，且承包人应综合考虑了可能出现的多次改道修建、运距加长、坡度加大、路面质量降低</w:t>
      </w:r>
      <w:r>
        <w:rPr>
          <w:rFonts w:hint="eastAsia" w:cs="Times New Roman"/>
          <w:color w:val="0000FF"/>
          <w:sz w:val="21"/>
          <w:szCs w:val="21"/>
          <w:highlight w:val="none"/>
          <w:u w:val="single"/>
          <w:lang w:eastAsia="zh-CN"/>
        </w:rPr>
        <w:t>、</w:t>
      </w:r>
      <w:r>
        <w:rPr>
          <w:rFonts w:hint="eastAsia" w:cs="Times New Roman"/>
          <w:color w:val="FF0000"/>
          <w:sz w:val="21"/>
          <w:szCs w:val="21"/>
          <w:highlight w:val="none"/>
          <w:u w:val="single"/>
          <w:lang w:val="en-US" w:eastAsia="zh-CN"/>
        </w:rPr>
        <w:t>既有障碍物破除</w:t>
      </w:r>
      <w:r>
        <w:rPr>
          <w:rFonts w:hint="eastAsia" w:ascii="宋体" w:hAnsi="宋体" w:eastAsia="宋体" w:cs="Times New Roman"/>
          <w:color w:val="0000FF"/>
          <w:sz w:val="21"/>
          <w:szCs w:val="21"/>
          <w:highlight w:val="none"/>
          <w:u w:val="single"/>
          <w:lang w:eastAsia="zh-CN"/>
        </w:rPr>
        <w:t>等情况</w:t>
      </w:r>
      <w:r>
        <w:rPr>
          <w:rFonts w:hint="eastAsia" w:cs="Times New Roman"/>
          <w:color w:val="0000FF"/>
          <w:sz w:val="21"/>
          <w:szCs w:val="21"/>
          <w:highlight w:val="none"/>
          <w:u w:val="single"/>
          <w:lang w:eastAsia="zh-CN"/>
        </w:rPr>
        <w:t>，</w:t>
      </w:r>
      <w:r>
        <w:rPr>
          <w:rFonts w:hint="eastAsia" w:cs="Times New Roman"/>
          <w:color w:val="FF0000"/>
          <w:sz w:val="21"/>
          <w:szCs w:val="21"/>
          <w:highlight w:val="none"/>
          <w:u w:val="single"/>
          <w:lang w:val="en-US" w:eastAsia="zh-CN"/>
        </w:rPr>
        <w:t>直至满足发包人以及主管部门对项目安全文明施工的要求</w:t>
      </w:r>
      <w:r>
        <w:rPr>
          <w:rFonts w:hint="eastAsia" w:ascii="宋体" w:hAnsi="宋体" w:eastAsia="宋体" w:cs="Times New Roman"/>
          <w:color w:val="0000FF"/>
          <w:sz w:val="21"/>
          <w:szCs w:val="21"/>
          <w:highlight w:val="none"/>
          <w:u w:val="single"/>
          <w:lang w:eastAsia="zh-CN"/>
        </w:rPr>
        <w:t>。</w:t>
      </w:r>
    </w:p>
    <w:p>
      <w:pPr>
        <w:adjustRightInd w:val="0"/>
        <w:spacing w:line="360" w:lineRule="auto"/>
        <w:ind w:firstLine="420" w:firstLineChars="200"/>
        <w:jc w:val="left"/>
        <w:textAlignment w:val="baseline"/>
        <w:rPr>
          <w:rFonts w:hint="eastAsia" w:ascii="宋体" w:hAnsi="宋体" w:eastAsia="宋体" w:cs="Times New Roman"/>
          <w:color w:val="0000FF"/>
          <w:sz w:val="21"/>
          <w:szCs w:val="21"/>
          <w:highlight w:val="none"/>
          <w:u w:val="single"/>
          <w:lang w:eastAsia="zh-CN"/>
        </w:rPr>
      </w:pPr>
      <w:r>
        <w:rPr>
          <w:rFonts w:hint="eastAsia" w:ascii="宋体" w:hAnsi="宋体" w:eastAsia="宋体" w:cs="Times New Roman"/>
          <w:color w:val="0000FF"/>
          <w:sz w:val="21"/>
          <w:szCs w:val="21"/>
          <w:highlight w:val="none"/>
          <w:u w:val="single"/>
          <w:lang w:eastAsia="zh-CN"/>
        </w:rPr>
        <w:t>（4）工程开工日期前不少于7天发包人将周边地下管线现状书面通知承包人，并办理交接手续。但发包人不承担因实际地下管线与发包人提供的地下管线图不一致的责任及因此产生的任何费用,承包人在进行地下工程施工时应再次向专业管线单位（燃气、自来水、供电、电信等）咨询确认，通过现场实地考察及必要的技术分析，对其进一步做出独立判断和结论，并采取措施确保地下管线不受到损坏，否则，由此造成的损失由承包人自行承担。发包人应将施工场地周围需要保护的建筑物、构筑物（含文物保护建筑）、古树名木和地下管线的名称和要求书面告知承包人，承包人负责保护施工场地周围需要保护的建筑物、构筑物（含文物保护建筑）、古树名木和地下管线，并承担与此相关的费用、责任及风险。承包人施工前，应自行通过现场实地考察及必要的技术分析，避免因发包人提供的资料存在错、漏等情况，引起实际偏差而产生的损失，否则相应损失概由承包人承担。</w:t>
      </w:r>
    </w:p>
    <w:p>
      <w:pPr>
        <w:adjustRightInd w:val="0"/>
        <w:spacing w:line="360" w:lineRule="auto"/>
        <w:ind w:firstLine="420" w:firstLineChars="200"/>
        <w:jc w:val="left"/>
        <w:textAlignment w:val="baseline"/>
        <w:rPr>
          <w:rFonts w:hint="eastAsia" w:ascii="宋体" w:hAnsi="宋体" w:eastAsia="宋体" w:cs="Times New Roman"/>
          <w:color w:val="0000FF"/>
          <w:sz w:val="21"/>
          <w:szCs w:val="21"/>
          <w:highlight w:val="none"/>
          <w:u w:val="single"/>
          <w:lang w:eastAsia="zh-CN"/>
        </w:rPr>
      </w:pPr>
      <w:r>
        <w:rPr>
          <w:rFonts w:hint="eastAsia" w:ascii="宋体" w:hAnsi="宋体" w:eastAsia="宋体" w:cs="Times New Roman"/>
          <w:color w:val="0000FF"/>
          <w:sz w:val="21"/>
          <w:szCs w:val="21"/>
          <w:highlight w:val="none"/>
          <w:u w:val="single"/>
          <w:lang w:eastAsia="zh-CN"/>
        </w:rPr>
        <w:t>（5）由发包人办理的施工所需证件、批件的名称和完成时间：发包人委托承包人代办质量监督申报、施工许可证、开工备案等开工所需手续，承包人必须在收到中标通知书起10日历天内办理完成施工许可证；办理上述手续过程中，政府文件规定应由发包人承担的规费由发包人承担，未见明文规定由发包人缴纳或者预缴的费用，须由承包人自行缴纳。属承包人原因未及时办理好施工所需证件、批件而延误开工，发包人有权将开工延误时间从工程总工期中扣减。</w:t>
      </w:r>
    </w:p>
    <w:p>
      <w:pPr>
        <w:adjustRightInd w:val="0"/>
        <w:spacing w:line="360" w:lineRule="auto"/>
        <w:ind w:firstLine="420" w:firstLineChars="200"/>
        <w:jc w:val="left"/>
        <w:textAlignment w:val="baseline"/>
        <w:rPr>
          <w:rFonts w:hint="eastAsia" w:ascii="宋体" w:hAnsi="宋体" w:eastAsia="宋体" w:cs="Times New Roman"/>
          <w:color w:val="0000FF"/>
          <w:sz w:val="21"/>
          <w:szCs w:val="21"/>
          <w:highlight w:val="none"/>
          <w:u w:val="single"/>
          <w:lang w:eastAsia="zh-CN"/>
        </w:rPr>
      </w:pPr>
      <w:r>
        <w:rPr>
          <w:rFonts w:hint="eastAsia" w:ascii="宋体" w:hAnsi="宋体" w:eastAsia="宋体" w:cs="Times New Roman"/>
          <w:color w:val="0000FF"/>
          <w:sz w:val="21"/>
          <w:szCs w:val="21"/>
          <w:highlight w:val="none"/>
          <w:u w:val="single"/>
          <w:lang w:eastAsia="zh-CN"/>
        </w:rPr>
        <w:t>（6）水准点与坐标控制点交验要求：施工合同签订后5日历天内发包人将水准点、坐标控制点以书面形式提交承包人并至现场交验，双方进行现场交验，承包人接收后应对交验的坐标控制点与水准点进行复核并报监理审核。承包人对水准点与坐标点承担保护责任，如施工过程中损坏或遗失，发包人联系原放样单位复位，所发生的费用由承包人承担，且工期不予顺延。承包人进场后应无条件配合发包人对本项目周边市政雨污水接入点进行现场测量，并经监理复核确认形成书面报告报送发包人，且不得以此为由要求任何费用赔偿或工期顺延。</w:t>
      </w:r>
    </w:p>
    <w:p>
      <w:pPr>
        <w:adjustRightInd w:val="0"/>
        <w:spacing w:line="360" w:lineRule="auto"/>
        <w:ind w:firstLine="420" w:firstLineChars="200"/>
        <w:jc w:val="left"/>
        <w:textAlignment w:val="baseline"/>
        <w:rPr>
          <w:rFonts w:hint="eastAsia" w:ascii="宋体" w:hAnsi="宋体" w:eastAsia="宋体" w:cs="Times New Roman"/>
          <w:color w:val="0000FF"/>
          <w:sz w:val="21"/>
          <w:szCs w:val="21"/>
          <w:highlight w:val="none"/>
          <w:u w:val="single"/>
          <w:lang w:eastAsia="zh-CN"/>
        </w:rPr>
      </w:pPr>
      <w:r>
        <w:rPr>
          <w:rFonts w:hint="eastAsia" w:ascii="宋体" w:hAnsi="宋体" w:eastAsia="宋体" w:cs="Times New Roman"/>
          <w:color w:val="0000FF"/>
          <w:sz w:val="21"/>
          <w:szCs w:val="21"/>
          <w:highlight w:val="none"/>
          <w:u w:val="single"/>
          <w:lang w:eastAsia="zh-CN"/>
        </w:rPr>
        <w:t>（7）图纸会审和设计交底时间</w:t>
      </w:r>
      <w:r>
        <w:rPr>
          <w:rFonts w:hint="eastAsia" w:cs="Times New Roman"/>
          <w:color w:val="0000FF"/>
          <w:sz w:val="21"/>
          <w:szCs w:val="21"/>
          <w:highlight w:val="none"/>
          <w:u w:val="single"/>
          <w:lang w:eastAsia="zh-CN"/>
        </w:rPr>
        <w:t>在</w:t>
      </w:r>
      <w:r>
        <w:rPr>
          <w:rFonts w:hint="eastAsia" w:ascii="宋体" w:hAnsi="宋体" w:eastAsia="宋体" w:cs="Times New Roman"/>
          <w:color w:val="0000FF"/>
          <w:sz w:val="21"/>
          <w:szCs w:val="21"/>
          <w:highlight w:val="none"/>
          <w:u w:val="single"/>
          <w:lang w:eastAsia="zh-CN"/>
        </w:rPr>
        <w:t>施工合同签订后，向承包人提供施工图纸后5日</w:t>
      </w:r>
      <w:r>
        <w:rPr>
          <w:rFonts w:hint="eastAsia" w:cs="Times New Roman"/>
          <w:color w:val="0000FF"/>
          <w:sz w:val="21"/>
          <w:szCs w:val="21"/>
          <w:highlight w:val="none"/>
          <w:u w:val="single"/>
          <w:lang w:eastAsia="zh-CN"/>
        </w:rPr>
        <w:t>内举行</w:t>
      </w:r>
      <w:r>
        <w:rPr>
          <w:rFonts w:hint="eastAsia" w:ascii="宋体" w:hAnsi="宋体" w:eastAsia="宋体" w:cs="Times New Roman"/>
          <w:color w:val="0000FF"/>
          <w:sz w:val="21"/>
          <w:szCs w:val="21"/>
          <w:highlight w:val="none"/>
          <w:u w:val="single"/>
          <w:lang w:eastAsia="zh-CN"/>
        </w:rPr>
        <w:t>。</w:t>
      </w:r>
    </w:p>
    <w:p>
      <w:pPr>
        <w:adjustRightInd w:val="0"/>
        <w:spacing w:line="360" w:lineRule="auto"/>
        <w:ind w:firstLine="420" w:firstLineChars="200"/>
        <w:jc w:val="left"/>
        <w:textAlignment w:val="baseline"/>
        <w:rPr>
          <w:rFonts w:cs="宋体"/>
          <w:color w:val="auto"/>
          <w:sz w:val="21"/>
          <w:szCs w:val="21"/>
          <w:highlight w:val="none"/>
          <w:u w:val="single"/>
        </w:rPr>
      </w:pPr>
      <w:r>
        <w:rPr>
          <w:rFonts w:hint="eastAsia" w:ascii="宋体" w:hAnsi="宋体" w:eastAsia="宋体" w:cs="Times New Roman"/>
          <w:color w:val="0000FF"/>
          <w:sz w:val="21"/>
          <w:szCs w:val="21"/>
          <w:highlight w:val="none"/>
          <w:u w:val="single"/>
          <w:lang w:eastAsia="zh-CN"/>
        </w:rPr>
        <w:t>（8）双方约定发包人应做的其他工作：①协助解决本项目与政府部门相关的协调工作；②及时通报发包人关于本项目管理人员分工及人员变动情况；③协调其它专业承包人的进度计划</w:t>
      </w:r>
      <w:r>
        <w:rPr>
          <w:rFonts w:hint="eastAsia" w:cs="宋体"/>
          <w:color w:val="auto"/>
          <w:sz w:val="21"/>
          <w:szCs w:val="21"/>
          <w:highlight w:val="none"/>
        </w:rPr>
        <w:t>。</w:t>
      </w:r>
    </w:p>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2.5 资金来源证明及支付担保</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发包人提供资金来源证明的期限要求：</w:t>
      </w:r>
      <w:r>
        <w:rPr>
          <w:rFonts w:hint="eastAsia" w:cs="Times New Roman"/>
          <w:color w:val="0000FF"/>
          <w:sz w:val="21"/>
          <w:szCs w:val="21"/>
          <w:highlight w:val="none"/>
          <w:u w:val="single"/>
          <w:lang w:val="en-US" w:eastAsia="zh-CN"/>
        </w:rPr>
        <w:t>/</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u w:val="single"/>
        </w:rPr>
      </w:pPr>
      <w:r>
        <w:rPr>
          <w:rFonts w:hint="eastAsia" w:cs="宋体"/>
          <w:color w:val="auto"/>
          <w:sz w:val="21"/>
          <w:szCs w:val="21"/>
          <w:highlight w:val="none"/>
        </w:rPr>
        <w:t>发包人提供支付担保的形式：</w:t>
      </w:r>
      <w:r>
        <w:rPr>
          <w:rFonts w:hint="eastAsia" w:cs="宋体"/>
          <w:color w:val="0000FF"/>
          <w:sz w:val="21"/>
          <w:szCs w:val="21"/>
          <w:highlight w:val="none"/>
          <w:u w:val="single"/>
        </w:rPr>
        <w:t>支付担保的形式由发包人自行选择</w:t>
      </w:r>
      <w:r>
        <w:rPr>
          <w:rFonts w:hint="eastAsia" w:cs="宋体"/>
          <w:color w:val="auto"/>
          <w:sz w:val="21"/>
          <w:szCs w:val="21"/>
          <w:highlight w:val="none"/>
        </w:rPr>
        <w:t>。</w:t>
      </w:r>
    </w:p>
    <w:p>
      <w:pPr>
        <w:keepNext/>
        <w:keepLines/>
        <w:adjustRightInd w:val="0"/>
        <w:spacing w:beforeLines="50" w:line="360" w:lineRule="auto"/>
        <w:textAlignment w:val="baseline"/>
        <w:outlineLvl w:val="4"/>
        <w:rPr>
          <w:rFonts w:cs="宋体"/>
          <w:b/>
          <w:bCs/>
          <w:color w:val="auto"/>
          <w:sz w:val="21"/>
          <w:szCs w:val="21"/>
          <w:highlight w:val="none"/>
        </w:rPr>
      </w:pPr>
      <w:r>
        <w:rPr>
          <w:rFonts w:hint="eastAsia" w:cs="宋体"/>
          <w:b/>
          <w:bCs/>
          <w:color w:val="auto"/>
          <w:sz w:val="21"/>
          <w:szCs w:val="21"/>
          <w:highlight w:val="none"/>
        </w:rPr>
        <w:t>3</w:t>
      </w:r>
      <w:bookmarkStart w:id="1352" w:name="_Toc63471469"/>
      <w:bookmarkStart w:id="1353" w:name="_Toc13309387"/>
      <w:r>
        <w:rPr>
          <w:rFonts w:hint="eastAsia" w:cs="宋体"/>
          <w:b/>
          <w:bCs/>
          <w:color w:val="auto"/>
          <w:sz w:val="21"/>
          <w:szCs w:val="21"/>
          <w:highlight w:val="none"/>
        </w:rPr>
        <w:t>. 承包人</w:t>
      </w:r>
    </w:p>
    <w:bookmarkEnd w:id="1352"/>
    <w:bookmarkEnd w:id="1353"/>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3.1 承包人的一般义务</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color w:val="0000FF"/>
          <w:sz w:val="21"/>
          <w:szCs w:val="21"/>
          <w:highlight w:val="none"/>
          <w:u w:val="single"/>
        </w:rPr>
      </w:pPr>
      <w:r>
        <w:rPr>
          <w:rFonts w:hint="eastAsia" w:cs="宋体"/>
          <w:color w:val="auto"/>
          <w:sz w:val="21"/>
          <w:szCs w:val="21"/>
          <w:highlight w:val="none"/>
        </w:rPr>
        <w:t>（9）承包人提交的竣工资料的内容：</w:t>
      </w:r>
      <w:r>
        <w:rPr>
          <w:rFonts w:hint="eastAsia" w:ascii="宋体" w:hAnsi="宋体" w:eastAsia="宋体" w:cs="Times New Roman"/>
          <w:color w:val="0000FF"/>
          <w:sz w:val="21"/>
          <w:szCs w:val="21"/>
          <w:highlight w:val="none"/>
          <w:u w:val="single"/>
          <w:lang w:eastAsia="zh-CN"/>
        </w:rPr>
        <w:t>包含发包人的前期报建资料、监理单位的监理资料和承包人施工资料在内的全部工程竣工资料</w:t>
      </w:r>
      <w:r>
        <w:rPr>
          <w:rFonts w:hint="eastAsia"/>
          <w:color w:val="0000FF"/>
          <w:sz w:val="21"/>
          <w:szCs w:val="21"/>
          <w:highlight w:val="none"/>
          <w:u w:val="single"/>
        </w:rPr>
        <w:t>（含分包工程施工资料）</w:t>
      </w:r>
      <w:r>
        <w:rPr>
          <w:rFonts w:hint="eastAsia" w:ascii="宋体" w:hAnsi="宋体" w:eastAsia="宋体" w:cs="Times New Roman"/>
          <w:color w:val="0000FF"/>
          <w:sz w:val="21"/>
          <w:szCs w:val="21"/>
          <w:highlight w:val="none"/>
          <w:u w:val="single"/>
          <w:lang w:eastAsia="zh-CN"/>
        </w:rPr>
        <w:t>。发包人和监理单位应当按照合同要求和城建档案馆归档要求积极配合移交自己资料给承包人，为承包人提交竣工资料提供配合</w:t>
      </w:r>
      <w:r>
        <w:rPr>
          <w:rFonts w:hint="eastAsia" w:cs="Times New Roman"/>
          <w:color w:val="0000FF"/>
          <w:sz w:val="21"/>
          <w:szCs w:val="21"/>
          <w:highlight w:val="none"/>
          <w:u w:val="single"/>
          <w:lang w:eastAsia="zh-CN"/>
        </w:rPr>
        <w:t>。</w:t>
      </w:r>
      <w:r>
        <w:rPr>
          <w:rFonts w:hint="eastAsia"/>
          <w:color w:val="0000FF"/>
          <w:sz w:val="21"/>
          <w:szCs w:val="21"/>
          <w:highlight w:val="none"/>
          <w:u w:val="single"/>
        </w:rPr>
        <w:t>承包人编制的工程档案，</w:t>
      </w:r>
      <w:r>
        <w:rPr>
          <w:rFonts w:hint="eastAsia"/>
          <w:color w:val="0000FF"/>
          <w:sz w:val="21"/>
          <w:szCs w:val="21"/>
          <w:highlight w:val="none"/>
          <w:u w:val="single"/>
          <w:lang w:val="en-US" w:eastAsia="zh-CN"/>
        </w:rPr>
        <w:t>需</w:t>
      </w:r>
      <w:r>
        <w:rPr>
          <w:rFonts w:hint="eastAsia"/>
          <w:color w:val="0000FF"/>
          <w:sz w:val="21"/>
          <w:szCs w:val="21"/>
          <w:highlight w:val="none"/>
          <w:u w:val="single"/>
        </w:rPr>
        <w:t>符合城建档案馆及发包人档案管理规定的竣工资料归档要求。</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color w:val="0000FF"/>
          <w:sz w:val="21"/>
          <w:szCs w:val="21"/>
          <w:highlight w:val="none"/>
          <w:u w:val="single"/>
        </w:rPr>
      </w:pPr>
      <w:r>
        <w:rPr>
          <w:rFonts w:hint="eastAsia"/>
          <w:color w:val="0000FF"/>
          <w:sz w:val="21"/>
          <w:szCs w:val="21"/>
          <w:highlight w:val="none"/>
          <w:u w:val="single"/>
        </w:rPr>
        <w:t>①若工程已按设计图纸和施工合同的要求施工完毕，并经监理单位检查符合竣工验收条件，由监理单位填写工程预验收监督通知单报送质安站及相关部门，并组织相关单位进行工程质量预验收，验收通过的，监理单位在收到承包人出具的发包人已按合同约定支付工程款的工程款支付情况证明后，签署工程预验收合格有关证明并确定签署日为竣工日期；验收不通过，应由承包人对其承包范围进行整改，并在整改完成后提交整改报告，由监理单位组织重新验收。</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cs="宋体"/>
          <w:color w:val="auto"/>
          <w:sz w:val="21"/>
          <w:szCs w:val="21"/>
          <w:highlight w:val="none"/>
        </w:rPr>
      </w:pPr>
      <w:r>
        <w:rPr>
          <w:rFonts w:hint="eastAsia"/>
          <w:color w:val="0000FF"/>
          <w:sz w:val="21"/>
          <w:szCs w:val="21"/>
          <w:highlight w:val="none"/>
          <w:u w:val="single"/>
        </w:rPr>
        <w:t>②竣工资料是指：按有关规定必须提交的全部资料(含分包工程和发包人单独发包工程的竣工资料)</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承包人需要提交的竣工资料套数：</w:t>
      </w:r>
      <w:r>
        <w:rPr>
          <w:rFonts w:hint="eastAsia" w:ascii="宋体" w:hAnsi="宋体" w:eastAsia="宋体" w:cs="Times New Roman"/>
          <w:color w:val="0000FF"/>
          <w:sz w:val="21"/>
          <w:szCs w:val="21"/>
          <w:highlight w:val="none"/>
          <w:u w:val="single"/>
          <w:lang w:eastAsia="zh-CN"/>
        </w:rPr>
        <w:t>向发包人移交</w:t>
      </w:r>
      <w:r>
        <w:rPr>
          <w:rFonts w:hint="eastAsia" w:cs="Times New Roman"/>
          <w:color w:val="0000FF"/>
          <w:sz w:val="21"/>
          <w:szCs w:val="21"/>
          <w:highlight w:val="none"/>
          <w:u w:val="single"/>
          <w:lang w:val="en-US" w:eastAsia="zh-CN"/>
        </w:rPr>
        <w:t>4</w:t>
      </w:r>
      <w:r>
        <w:rPr>
          <w:rFonts w:hint="eastAsia" w:ascii="宋体" w:hAnsi="宋体" w:eastAsia="宋体" w:cs="Times New Roman"/>
          <w:color w:val="0000FF"/>
          <w:sz w:val="21"/>
          <w:szCs w:val="21"/>
          <w:highlight w:val="none"/>
          <w:u w:val="single"/>
          <w:lang w:eastAsia="zh-CN"/>
        </w:rPr>
        <w:t>套，向城建档案馆移交1套</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承包人提交的竣工资料的费用承担：</w:t>
      </w:r>
      <w:r>
        <w:rPr>
          <w:rFonts w:hint="eastAsia" w:ascii="宋体" w:hAnsi="宋体" w:eastAsia="宋体" w:cs="Times New Roman"/>
          <w:color w:val="0000FF"/>
          <w:sz w:val="21"/>
          <w:szCs w:val="21"/>
          <w:highlight w:val="none"/>
          <w:u w:val="single"/>
          <w:lang w:eastAsia="zh-CN"/>
        </w:rPr>
        <w:t>承包人承担</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承包人提交的竣工资料移交时间：</w:t>
      </w:r>
      <w:r>
        <w:rPr>
          <w:rFonts w:hint="eastAsia" w:ascii="宋体" w:hAnsi="宋体" w:eastAsia="宋体" w:cs="Times New Roman"/>
          <w:color w:val="0000FF"/>
          <w:sz w:val="21"/>
          <w:szCs w:val="21"/>
          <w:highlight w:val="none"/>
          <w:u w:val="single"/>
          <w:lang w:eastAsia="zh-CN"/>
        </w:rPr>
        <w:t>工程经竣工验收评定合格后 28 天内</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承包人提交的竣工资料形式要求：</w:t>
      </w:r>
      <w:r>
        <w:rPr>
          <w:rFonts w:hint="eastAsia" w:ascii="宋体" w:hAnsi="宋体" w:eastAsia="宋体" w:cs="Times New Roman"/>
          <w:color w:val="0000FF"/>
          <w:sz w:val="21"/>
          <w:szCs w:val="21"/>
          <w:highlight w:val="none"/>
          <w:u w:val="single"/>
          <w:lang w:eastAsia="zh-CN"/>
        </w:rPr>
        <w:t>书面形式和电子文档一起移交</w:t>
      </w:r>
      <w:r>
        <w:rPr>
          <w:rFonts w:hint="eastAsia" w:cs="宋体"/>
          <w:color w:val="auto"/>
          <w:sz w:val="21"/>
          <w:szCs w:val="21"/>
          <w:highlight w:val="none"/>
        </w:rPr>
        <w:t>。</w:t>
      </w:r>
    </w:p>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Cs w:val="21"/>
          <w:highlight w:val="none"/>
          <w:u w:val="single"/>
          <w:lang w:val="zh-CN"/>
        </w:rPr>
      </w:pPr>
      <w:r>
        <w:rPr>
          <w:rFonts w:hint="eastAsia" w:cs="宋体"/>
          <w:color w:val="auto"/>
          <w:sz w:val="21"/>
          <w:szCs w:val="21"/>
          <w:highlight w:val="none"/>
        </w:rPr>
        <w:t>（10）承包人应履行的其他义务：</w:t>
      </w:r>
      <w:r>
        <w:rPr>
          <w:rFonts w:hint="eastAsia" w:ascii="宋体" w:hAnsi="宋体" w:eastAsia="宋体" w:cs="宋体"/>
          <w:b w:val="0"/>
          <w:bCs w:val="0"/>
          <w:color w:val="0000FF"/>
          <w:szCs w:val="21"/>
          <w:highlight w:val="none"/>
          <w:u w:val="single"/>
          <w:lang w:val="zh-CN"/>
        </w:rPr>
        <w:t>1）因厦门市每年均有举办的重大节日、文明城市创建、中高考、金鸡奖、马拉松等重要活动，而进行的暂时停工、文明施工、安全防护、临时设施、宣传、现场协调和配合工作等产生的费用已包含在合同价款且工期不予顺延。</w:t>
      </w:r>
    </w:p>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Cs w:val="21"/>
          <w:highlight w:val="none"/>
          <w:u w:val="single"/>
          <w:lang w:val="zh-CN"/>
        </w:rPr>
      </w:pPr>
      <w:r>
        <w:rPr>
          <w:rFonts w:hint="eastAsia" w:ascii="宋体" w:hAnsi="宋体" w:eastAsia="宋体" w:cs="宋体"/>
          <w:b w:val="0"/>
          <w:bCs w:val="0"/>
          <w:color w:val="0000FF"/>
          <w:szCs w:val="21"/>
          <w:highlight w:val="none"/>
          <w:u w:val="single"/>
          <w:lang w:val="zh-CN"/>
        </w:rPr>
        <w:t>2）需由设计资质等级和业务范围允许的承包人完成的设计文件提交时间：承包人必须在确保不影响工期的前提下，在需二次设计的项目开工前提供有关设计文件，并经审图单位及政府相关主管部门（若需）审批通过。若有发生，届时双方协商另行签订《委托设计协议》。</w:t>
      </w:r>
    </w:p>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Cs w:val="21"/>
          <w:highlight w:val="none"/>
          <w:u w:val="single"/>
          <w:lang w:val="zh-CN"/>
        </w:rPr>
      </w:pPr>
      <w:r>
        <w:rPr>
          <w:rFonts w:hint="eastAsia" w:ascii="宋体" w:hAnsi="宋体" w:eastAsia="宋体" w:cs="宋体"/>
          <w:b w:val="0"/>
          <w:bCs w:val="0"/>
          <w:color w:val="0000FF"/>
          <w:szCs w:val="21"/>
          <w:highlight w:val="none"/>
          <w:u w:val="single"/>
          <w:lang w:val="zh-CN"/>
        </w:rPr>
        <w:t>3）承包人在工程实施过程中承担施工安全及施工照明的责任，承包人应按如下要求执行：</w:t>
      </w:r>
    </w:p>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Cs w:val="21"/>
          <w:highlight w:val="none"/>
          <w:u w:val="single"/>
          <w:lang w:val="zh-CN"/>
        </w:rPr>
      </w:pPr>
      <w:r>
        <w:rPr>
          <w:rFonts w:hint="eastAsia" w:ascii="宋体" w:hAnsi="宋体" w:eastAsia="宋体" w:cs="宋体"/>
          <w:b w:val="0"/>
          <w:bCs w:val="0"/>
          <w:color w:val="0000FF"/>
          <w:szCs w:val="21"/>
          <w:highlight w:val="none"/>
          <w:u w:val="single"/>
          <w:lang w:val="zh-CN"/>
        </w:rPr>
        <w:t>①对施工现场内所有人员、材料、机械设备和施工操作的安全管理负全部责任。</w:t>
      </w:r>
    </w:p>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Cs w:val="21"/>
          <w:highlight w:val="none"/>
          <w:u w:val="single"/>
          <w:lang w:val="zh-CN"/>
        </w:rPr>
      </w:pPr>
      <w:r>
        <w:rPr>
          <w:rFonts w:hint="eastAsia" w:ascii="宋体" w:hAnsi="宋体" w:eastAsia="宋体" w:cs="宋体"/>
          <w:b w:val="0"/>
          <w:bCs w:val="0"/>
          <w:color w:val="0000FF"/>
          <w:szCs w:val="21"/>
          <w:highlight w:val="none"/>
          <w:u w:val="single"/>
          <w:lang w:val="zh-CN"/>
        </w:rPr>
        <w:t>②保持施工现场和施工过程中井然有序，避免发生人身事故。为了保护工程或为了公众及其他人员的安全，承包人应按照国家、福建省、厦门市建设主管部门和其它相关部门的有关要求规定结合工程需要，提供和维护施工使用（含夜间、非夜间）的照明、看护、围栏、围墙、警告标志、守卫设施和安全保卫（如警卫）等工作，并由承包人承担一切费用。承包人应采取一切合理措施，保护工地及工地周围的环境，避免污染、噪音、排放或由于其施工方法不当造成对公共人员和财产的危害或干扰。承包人同意无条件接受发包人在安全、文明施工方面的管理规定。</w:t>
      </w:r>
    </w:p>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Cs w:val="21"/>
          <w:highlight w:val="none"/>
          <w:u w:val="single"/>
          <w:lang w:val="zh-CN"/>
        </w:rPr>
      </w:pPr>
      <w:r>
        <w:rPr>
          <w:rFonts w:hint="eastAsia" w:ascii="宋体" w:hAnsi="宋体" w:eastAsia="宋体" w:cs="宋体"/>
          <w:b w:val="0"/>
          <w:bCs w:val="0"/>
          <w:color w:val="0000FF"/>
          <w:szCs w:val="21"/>
          <w:highlight w:val="none"/>
          <w:u w:val="single"/>
          <w:lang w:val="zh-CN"/>
        </w:rPr>
        <w:t>③承包人应确保所采取的措施足以满足施工安全工作及施工照明（含夜间、非夜间）的需要，并为施工现场提供一切便利。</w:t>
      </w:r>
    </w:p>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Cs w:val="21"/>
          <w:highlight w:val="none"/>
          <w:u w:val="single"/>
          <w:lang w:val="zh-CN"/>
        </w:rPr>
      </w:pPr>
      <w:r>
        <w:rPr>
          <w:rFonts w:hint="eastAsia" w:ascii="宋体" w:hAnsi="宋体" w:eastAsia="宋体" w:cs="宋体"/>
          <w:b w:val="0"/>
          <w:bCs w:val="0"/>
          <w:color w:val="0000FF"/>
          <w:szCs w:val="21"/>
          <w:highlight w:val="none"/>
          <w:u w:val="single"/>
          <w:lang w:val="zh-CN"/>
        </w:rPr>
        <w:t>4）承包人须按照国家、福建省、厦门市的有关文件规定办理施工场地交通、环卫和施工噪音管理等相关手续，包括但不限于：</w:t>
      </w:r>
    </w:p>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Cs w:val="21"/>
          <w:highlight w:val="none"/>
          <w:u w:val="single"/>
          <w:lang w:val="zh-CN"/>
        </w:rPr>
      </w:pPr>
      <w:r>
        <w:rPr>
          <w:rFonts w:hint="eastAsia" w:ascii="宋体" w:hAnsi="宋体" w:eastAsia="宋体" w:cs="宋体"/>
          <w:b w:val="0"/>
          <w:bCs w:val="0"/>
          <w:color w:val="0000FF"/>
          <w:szCs w:val="21"/>
          <w:highlight w:val="none"/>
          <w:u w:val="single"/>
          <w:lang w:val="zh-CN"/>
        </w:rPr>
        <w:t>①需要办理交通特别通行证时，由承包人负责办理有关手续及承担费用；</w:t>
      </w:r>
    </w:p>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Cs w:val="21"/>
          <w:highlight w:val="none"/>
          <w:u w:val="single"/>
          <w:lang w:val="zh-CN"/>
        </w:rPr>
      </w:pPr>
      <w:r>
        <w:rPr>
          <w:rFonts w:hint="eastAsia" w:ascii="宋体" w:hAnsi="宋体" w:eastAsia="宋体" w:cs="宋体"/>
          <w:b w:val="0"/>
          <w:bCs w:val="0"/>
          <w:color w:val="0000FF"/>
          <w:szCs w:val="21"/>
          <w:highlight w:val="none"/>
          <w:u w:val="single"/>
          <w:lang w:val="zh-CN"/>
        </w:rPr>
        <w:t>②施工现场需要排放有害污水时，由承包人负责办理有关手续并承担费用，发包人配合；</w:t>
      </w:r>
    </w:p>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Cs w:val="21"/>
          <w:highlight w:val="none"/>
          <w:u w:val="single"/>
          <w:lang w:val="zh-CN"/>
        </w:rPr>
      </w:pPr>
      <w:r>
        <w:rPr>
          <w:rFonts w:hint="eastAsia" w:ascii="宋体" w:hAnsi="宋体" w:eastAsia="宋体" w:cs="宋体"/>
          <w:b w:val="0"/>
          <w:bCs w:val="0"/>
          <w:color w:val="0000FF"/>
          <w:szCs w:val="21"/>
          <w:highlight w:val="none"/>
          <w:u w:val="single"/>
          <w:lang w:val="zh-CN"/>
        </w:rPr>
        <w:t>③施工噪音超过厦门市相关规定时，由承包人提出相应的解决措施，并承担相应的罚款及整改等相关费用；</w:t>
      </w:r>
    </w:p>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Cs w:val="21"/>
          <w:highlight w:val="none"/>
          <w:u w:val="single"/>
          <w:lang w:val="zh-CN"/>
        </w:rPr>
      </w:pPr>
      <w:r>
        <w:rPr>
          <w:rFonts w:hint="eastAsia" w:ascii="宋体" w:hAnsi="宋体" w:eastAsia="宋体" w:cs="宋体"/>
          <w:b w:val="0"/>
          <w:bCs w:val="0"/>
          <w:color w:val="0000FF"/>
          <w:szCs w:val="21"/>
          <w:highlight w:val="none"/>
          <w:u w:val="single"/>
          <w:lang w:val="zh-CN"/>
        </w:rPr>
        <w:t>④承包人在施工过程中应采取一切措施防止对施工现场及其周边建筑、区域的污染，并根据环保部门的规定制定保护方案并予以实施。由于承包人措施不力或未采取相应的措施造成的一切责任、损失及相应罚款均由承包人承担。如承包人未及时清运的，发包人有权委托其他单位清运，因此产生的所有费用从应付承包人工程款中代为扣除，支付给实际的清运单位。</w:t>
      </w:r>
    </w:p>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Cs w:val="21"/>
          <w:highlight w:val="none"/>
          <w:u w:val="single"/>
          <w:lang w:val="zh-CN"/>
        </w:rPr>
      </w:pPr>
      <w:r>
        <w:rPr>
          <w:rFonts w:hint="eastAsia" w:ascii="宋体" w:hAnsi="宋体" w:eastAsia="宋体" w:cs="宋体"/>
          <w:b w:val="0"/>
          <w:bCs w:val="0"/>
          <w:color w:val="0000FF"/>
          <w:szCs w:val="21"/>
          <w:highlight w:val="none"/>
          <w:u w:val="single"/>
          <w:lang w:val="zh-CN"/>
        </w:rPr>
        <w:t>⑤建筑垃圾处理清运、土头受纳、环保噪音等有关手续均由承包人办理，与上述有关的费用及责任概由承包人承担。因承包人不及时办理有关手续、不及时缴纳办理相关手续所需费用的以及违反相关规定等导致的责任、后果、罚款及滞纳金等均由承包人承担。承包人应保障发包人免于承担由此引起的任何索赔、诉讼或其他费用等，若因此给发包人造成负面影响或损失的，发包人有权评估损失并直接从当月工程进度款或其他应付承包人的款项中扣除。</w:t>
      </w:r>
    </w:p>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Cs w:val="21"/>
          <w:highlight w:val="none"/>
          <w:u w:val="single"/>
          <w:lang w:val="zh-CN"/>
        </w:rPr>
      </w:pPr>
      <w:r>
        <w:rPr>
          <w:rFonts w:hint="eastAsia" w:ascii="宋体" w:hAnsi="宋体" w:eastAsia="宋体" w:cs="宋体"/>
          <w:b w:val="0"/>
          <w:bCs w:val="0"/>
          <w:color w:val="0000FF"/>
          <w:szCs w:val="21"/>
          <w:highlight w:val="none"/>
          <w:u w:val="single"/>
          <w:lang w:val="zh-CN"/>
        </w:rPr>
        <w:t>5）已完工程成品保护的特殊要求及费用承担：</w:t>
      </w:r>
    </w:p>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Cs w:val="21"/>
          <w:highlight w:val="none"/>
          <w:u w:val="single"/>
          <w:lang w:val="zh-CN"/>
        </w:rPr>
      </w:pPr>
      <w:r>
        <w:rPr>
          <w:rFonts w:hint="eastAsia" w:ascii="宋体" w:hAnsi="宋体" w:eastAsia="宋体" w:cs="宋体"/>
          <w:b w:val="0"/>
          <w:bCs w:val="0"/>
          <w:color w:val="0000FF"/>
          <w:szCs w:val="21"/>
          <w:highlight w:val="none"/>
          <w:u w:val="single"/>
          <w:lang w:val="zh-CN"/>
        </w:rPr>
        <w:t>①承包人承担本工程所有产品保护及照管的责任和费用（包括但不限于维修、保洁、保安、水电等费用，或统称为“相关费用”）；</w:t>
      </w:r>
    </w:p>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Cs w:val="21"/>
          <w:highlight w:val="none"/>
          <w:u w:val="single"/>
          <w:lang w:val="zh-CN"/>
        </w:rPr>
      </w:pPr>
      <w:r>
        <w:rPr>
          <w:rFonts w:hint="eastAsia" w:ascii="宋体" w:hAnsi="宋体" w:eastAsia="宋体" w:cs="宋体"/>
          <w:b w:val="0"/>
          <w:bCs w:val="0"/>
          <w:color w:val="0000FF"/>
          <w:szCs w:val="21"/>
          <w:highlight w:val="none"/>
          <w:u w:val="single"/>
          <w:lang w:val="zh-CN"/>
        </w:rPr>
        <w:t>②对每个中间验收合格工程，承包人应对这些中间验收工程做好保护工作并承担相关费用及责任。</w:t>
      </w:r>
    </w:p>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Cs w:val="21"/>
          <w:highlight w:val="none"/>
          <w:u w:val="single"/>
          <w:lang w:val="zh-CN"/>
        </w:rPr>
      </w:pPr>
      <w:r>
        <w:rPr>
          <w:rFonts w:hint="eastAsia" w:ascii="宋体" w:hAnsi="宋体" w:eastAsia="宋体" w:cs="宋体"/>
          <w:b w:val="0"/>
          <w:bCs w:val="0"/>
          <w:color w:val="0000FF"/>
          <w:szCs w:val="21"/>
          <w:highlight w:val="none"/>
          <w:u w:val="single"/>
          <w:lang w:val="zh-CN"/>
        </w:rPr>
        <w:t>③自承包人进场之日起至整个工程竣工验收合格移交给发包人之日止，承包人负责对施工现场的一切设施、施工材料和工程成品、半成品、水准点、坐标点等进行保护，负责与本工程有关的维护维修、保洁、安全等全部工作，并承担与此相关的全部费用及风险。如出现丢失或毁损等情形的，承包人负责出资修复或照原价赔偿，并承担因此给发包人造成的其他相关损失。竣工验收并移交发包人后的工程维护、保洁、安全工作由发包人负责，但若发包人需要委托承包人实施的，承包人不得拒绝，其费用经发包人书面审核确认后由发包人负责。</w:t>
      </w:r>
    </w:p>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Cs w:val="21"/>
          <w:highlight w:val="none"/>
          <w:u w:val="single"/>
          <w:lang w:val="zh-CN"/>
        </w:rPr>
      </w:pPr>
      <w:r>
        <w:rPr>
          <w:rFonts w:hint="eastAsia" w:ascii="宋体" w:hAnsi="宋体" w:eastAsia="宋体" w:cs="宋体"/>
          <w:b w:val="0"/>
          <w:bCs w:val="0"/>
          <w:color w:val="0000FF"/>
          <w:szCs w:val="21"/>
          <w:highlight w:val="none"/>
          <w:u w:val="single"/>
          <w:lang w:val="zh-CN"/>
        </w:rPr>
        <w:t>6）施工场地的周围地下管线和邻近建筑物、构筑物（含文物、保护建筑）、古树名木的保护要求及费用承担：</w:t>
      </w:r>
    </w:p>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Cs w:val="21"/>
          <w:highlight w:val="none"/>
          <w:u w:val="single"/>
          <w:lang w:val="zh-CN"/>
        </w:rPr>
      </w:pPr>
      <w:r>
        <w:rPr>
          <w:rFonts w:hint="eastAsia" w:ascii="宋体" w:hAnsi="宋体" w:eastAsia="宋体" w:cs="宋体"/>
          <w:b w:val="0"/>
          <w:bCs w:val="0"/>
          <w:color w:val="0000FF"/>
          <w:szCs w:val="21"/>
          <w:highlight w:val="none"/>
          <w:u w:val="single"/>
          <w:lang w:val="zh-CN"/>
        </w:rPr>
        <w:t>①承包人应当采取有效措施切实做好施工场地周围需要保护的建筑物、构筑物（含文物、保护建筑）、周边道路和地下管线管廊等的保护工作，并承担与此相关的费用、责任及风险；如因承包人原因发生任何毁损或事故的，则承包人应负责妥善处理，并承担一切责任及经济损失，且工期不予顺延。</w:t>
      </w:r>
    </w:p>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Cs w:val="21"/>
          <w:highlight w:val="none"/>
          <w:u w:val="single"/>
          <w:lang w:val="zh-CN"/>
        </w:rPr>
      </w:pPr>
      <w:r>
        <w:rPr>
          <w:rFonts w:hint="eastAsia" w:ascii="宋体" w:hAnsi="宋体" w:eastAsia="宋体" w:cs="宋体"/>
          <w:b w:val="0"/>
          <w:bCs w:val="0"/>
          <w:color w:val="0000FF"/>
          <w:szCs w:val="21"/>
          <w:highlight w:val="none"/>
          <w:u w:val="single"/>
          <w:lang w:val="zh-CN"/>
        </w:rPr>
        <w:t>②发现城市地下管线信息数据未作记录的地下管线，承包人应及时报告发包人现场工程师或监理工程师，并及时报市城建档案馆或建设行政主管部门。</w:t>
      </w:r>
    </w:p>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Cs w:val="21"/>
          <w:highlight w:val="none"/>
          <w:u w:val="single"/>
          <w:lang w:val="zh-CN"/>
        </w:rPr>
      </w:pPr>
      <w:r>
        <w:rPr>
          <w:rFonts w:hint="eastAsia" w:ascii="宋体" w:hAnsi="宋体" w:eastAsia="宋体" w:cs="宋体"/>
          <w:b w:val="0"/>
          <w:bCs w:val="0"/>
          <w:color w:val="0000FF"/>
          <w:szCs w:val="21"/>
          <w:highlight w:val="none"/>
          <w:u w:val="single"/>
          <w:lang w:val="zh-CN"/>
        </w:rPr>
        <w:t>7）施工场地的安全文明的要求：按通用条款规定及厦门市有关安全生产、文明施工和城市管理的规定执行。承包人应保证现场不出现不必要的障碍，及时排除雨水和污水，并应将承包人的设备和材料妥善安放；及时从现场清理并运走任何废料、垃圾及不再需要的临时工程设施；工程完工交接前，承包人需将自身的人员及材料设备、临时设施拆除、清退出场并打扫干净。上述所述费用及承包人违反规定而发生的费用均由承包人承担。</w:t>
      </w:r>
    </w:p>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Cs w:val="21"/>
          <w:highlight w:val="none"/>
          <w:u w:val="single"/>
          <w:lang w:val="zh-CN"/>
        </w:rPr>
      </w:pPr>
      <w:r>
        <w:rPr>
          <w:rFonts w:hint="eastAsia" w:ascii="宋体" w:hAnsi="宋体" w:eastAsia="宋体" w:cs="宋体"/>
          <w:b w:val="0"/>
          <w:bCs w:val="0"/>
          <w:color w:val="0000FF"/>
          <w:szCs w:val="21"/>
          <w:highlight w:val="none"/>
          <w:u w:val="single"/>
          <w:lang w:val="zh-CN"/>
        </w:rPr>
        <w:t>8）双方约定承包人应负责的其他工作：</w:t>
      </w:r>
    </w:p>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Cs w:val="21"/>
          <w:highlight w:val="none"/>
          <w:u w:val="single"/>
          <w:lang w:val="zh-CN"/>
        </w:rPr>
      </w:pPr>
      <w:r>
        <w:rPr>
          <w:rFonts w:hint="eastAsia" w:ascii="宋体" w:hAnsi="宋体" w:eastAsia="宋体" w:cs="宋体"/>
          <w:b w:val="0"/>
          <w:bCs w:val="0"/>
          <w:color w:val="0000FF"/>
          <w:szCs w:val="21"/>
          <w:highlight w:val="none"/>
          <w:u w:val="single"/>
          <w:lang w:val="zh-CN"/>
        </w:rPr>
        <w:t>①承包人应对设计图纸中的场地标高、道路、支路、各种管线的位置、标高、接口与现状道路、管线进行复核、测量，发现设计与现状不符的，应在施工前以书面形式报监理人及发包人并与设计单位进行协调、修改。若承包人对设计图纸不进行校核，擅自施工，造成返工的，一切损失由承包人负责，且工期不予顺延。</w:t>
      </w:r>
    </w:p>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Cs w:val="21"/>
          <w:highlight w:val="none"/>
          <w:u w:val="single"/>
          <w:lang w:val="zh-CN"/>
        </w:rPr>
      </w:pPr>
      <w:r>
        <w:rPr>
          <w:rFonts w:hint="eastAsia" w:ascii="宋体" w:hAnsi="宋体" w:eastAsia="宋体" w:cs="宋体"/>
          <w:b w:val="0"/>
          <w:bCs w:val="0"/>
          <w:color w:val="0000FF"/>
          <w:szCs w:val="21"/>
          <w:highlight w:val="none"/>
          <w:u w:val="single"/>
          <w:lang w:val="zh-CN"/>
        </w:rPr>
        <w:t>②因厦门地区受台风影响频繁，承包人应在施工组织设计建议书中制定台风、雨季施工安全等任何可能的紧急情况的方案和措施，并在工程实施过程中切实执行，与此相关的费用及责任均由承包人承担。发包人对承包人违反本合同约定进行施工而造成的一切损失或后果等不承担任何责任。</w:t>
      </w:r>
    </w:p>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Cs w:val="21"/>
          <w:highlight w:val="none"/>
          <w:u w:val="single"/>
          <w:lang w:val="zh-CN"/>
        </w:rPr>
      </w:pPr>
      <w:r>
        <w:rPr>
          <w:rFonts w:hint="eastAsia" w:ascii="宋体" w:hAnsi="宋体" w:eastAsia="宋体" w:cs="宋体"/>
          <w:b w:val="0"/>
          <w:bCs w:val="0"/>
          <w:color w:val="0000FF"/>
          <w:szCs w:val="21"/>
          <w:highlight w:val="none"/>
          <w:u w:val="single"/>
          <w:lang w:val="zh-CN"/>
        </w:rPr>
        <w:t>③承包人的施工组织设计中应充分考虑施工期间的交通组织、建筑废土砂石、材料运输过程中的运输管理、运输距离、安全问题、施工干扰问题等，制定社会交通组织以及建筑废土的处置等方案，按照制定的详细保证措施建立安全生产责任制并在施工中予以实施，由此产生的一切费用承包人均已计入在相关项目的单价和合同总价中，发包人不另行支付。承包人的临时占地（含预制厂、料厂、拌和站、借弃土场、项目部驻地等）租用费（含拆迁补偿）、场地恢复、道路修复、周边围墙拆除及恢复、临时用地的环保、保护、恢复，场地内树木的迁移及所有临时性占地的青苗补偿及地面附着物发生的费用以及由于施工场地过窄而租借市政道路施工的费用均由承包人负责承担。承包人还应考虑因各种因素导致进场时项目现场临时用电不能及时接通的情况，</w:t>
      </w:r>
      <w:r>
        <w:rPr>
          <w:rFonts w:hint="eastAsia" w:ascii="宋体" w:hAnsi="宋体" w:cs="宋体"/>
          <w:b w:val="0"/>
          <w:bCs w:val="0"/>
          <w:color w:val="0000FF"/>
          <w:szCs w:val="21"/>
          <w:highlight w:val="none"/>
          <w:u w:val="single"/>
          <w:lang w:val="en-US" w:eastAsia="zh-CN"/>
        </w:rPr>
        <w:t>承包</w:t>
      </w:r>
      <w:r>
        <w:rPr>
          <w:rFonts w:hint="eastAsia" w:ascii="宋体" w:hAnsi="宋体" w:eastAsia="宋体" w:cs="宋体"/>
          <w:b w:val="0"/>
          <w:bCs w:val="0"/>
          <w:color w:val="0000FF"/>
          <w:szCs w:val="21"/>
          <w:highlight w:val="none"/>
          <w:u w:val="single"/>
          <w:lang w:val="zh-CN"/>
        </w:rPr>
        <w:t>人应制定相应处置方案，自行准备发电设备或自行解决临时用电问题，不得影响开工时间及后续工程进度，由此产生的一切费用在由承包人在合同报价的相关项目中综合考虑，发包人不另行支付。考虑现场可能出现的停水停电情况，施工期间应准备备用发电机、抽取地下水或水池等措施，用于满足施工临时用水用电的需要，所需费用在由承包人在合同报价的相关项目中综合考虑，发包人不另行支付。</w:t>
      </w:r>
      <w:r>
        <w:rPr>
          <w:rFonts w:hint="eastAsia" w:ascii="宋体" w:hAnsi="宋体" w:cs="宋体"/>
          <w:b w:val="0"/>
          <w:bCs w:val="0"/>
          <w:color w:val="0000FF"/>
          <w:szCs w:val="21"/>
          <w:highlight w:val="none"/>
          <w:u w:val="single"/>
          <w:lang w:val="en-US" w:eastAsia="zh-CN"/>
        </w:rPr>
        <w:t>承包人已充分了解项目地块及周边现状情况，在项目建设期间因周边开闭所建设、市政道路建设或临近地块建设等可能导致临时施工围挡、项目部驻地等临时设施拆改及恢复，由此</w:t>
      </w:r>
      <w:r>
        <w:rPr>
          <w:rFonts w:hint="eastAsia" w:ascii="宋体" w:hAnsi="宋体" w:eastAsia="宋体" w:cs="宋体"/>
          <w:b w:val="0"/>
          <w:bCs w:val="0"/>
          <w:color w:val="0000FF"/>
          <w:szCs w:val="21"/>
          <w:highlight w:val="none"/>
          <w:u w:val="single"/>
          <w:lang w:val="zh-CN"/>
        </w:rPr>
        <w:t>产生的一切费用在由承包人在合同报价的相关项目中综合考虑，发包人不另行支付</w:t>
      </w:r>
      <w:r>
        <w:rPr>
          <w:rFonts w:hint="eastAsia" w:ascii="宋体" w:hAnsi="宋体" w:cs="宋体"/>
          <w:b w:val="0"/>
          <w:bCs w:val="0"/>
          <w:color w:val="0000FF"/>
          <w:szCs w:val="21"/>
          <w:highlight w:val="none"/>
          <w:u w:val="single"/>
          <w:lang w:val="en-US" w:eastAsia="zh-CN"/>
        </w:rPr>
        <w:t>。发包人在承包人进场前为及时封闭场地，可能先行组织实施的临时围挡，承包人在进场后应无条件按现状接收，费用以发包人确认为准并由承包人承担</w:t>
      </w:r>
      <w:r>
        <w:rPr>
          <w:rFonts w:hint="eastAsia" w:ascii="宋体" w:hAnsi="宋体" w:cs="宋体"/>
          <w:b w:val="0"/>
          <w:bCs w:val="0"/>
          <w:color w:val="0000FF"/>
          <w:szCs w:val="21"/>
          <w:highlight w:val="none"/>
          <w:u w:val="single"/>
          <w:lang w:val="zh-CN"/>
        </w:rPr>
        <w:t>，</w:t>
      </w:r>
      <w:r>
        <w:rPr>
          <w:rFonts w:hint="eastAsia" w:ascii="宋体" w:hAnsi="宋体" w:cs="宋体"/>
          <w:b w:val="0"/>
          <w:bCs w:val="0"/>
          <w:color w:val="0000FF"/>
          <w:szCs w:val="21"/>
          <w:highlight w:val="none"/>
          <w:u w:val="single"/>
          <w:lang w:val="en-US" w:eastAsia="zh-CN"/>
        </w:rPr>
        <w:t>且承包人需根据实际需要进一步完善临时围挡设施，满足有关主管部门及发包人管理要求。</w:t>
      </w:r>
    </w:p>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Cs w:val="21"/>
          <w:highlight w:val="none"/>
          <w:u w:val="single"/>
          <w:lang w:val="zh-CN"/>
        </w:rPr>
      </w:pPr>
      <w:r>
        <w:rPr>
          <w:rFonts w:hint="eastAsia" w:ascii="宋体" w:hAnsi="宋体" w:eastAsia="宋体" w:cs="宋体"/>
          <w:b w:val="0"/>
          <w:bCs w:val="0"/>
          <w:color w:val="0000FF"/>
          <w:szCs w:val="21"/>
          <w:highlight w:val="none"/>
          <w:u w:val="single"/>
          <w:lang w:val="zh-CN"/>
        </w:rPr>
        <w:t>④包括安全、质量、外观在内的所有永久性工程的施工，承包人必须提前一周提供专门的施工组织计划和施工方案报监理人审批同意后方可实施。</w:t>
      </w:r>
    </w:p>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Cs w:val="21"/>
          <w:highlight w:val="none"/>
          <w:u w:val="single"/>
          <w:lang w:val="zh-CN"/>
        </w:rPr>
      </w:pPr>
      <w:r>
        <w:rPr>
          <w:rFonts w:hint="eastAsia" w:ascii="宋体" w:hAnsi="宋体" w:eastAsia="宋体" w:cs="宋体"/>
          <w:b w:val="0"/>
          <w:bCs w:val="0"/>
          <w:color w:val="0000FF"/>
          <w:szCs w:val="21"/>
          <w:highlight w:val="none"/>
          <w:u w:val="single"/>
          <w:lang w:val="zh-CN"/>
        </w:rPr>
        <w:t>⑤承包人必须对本工程履行合同的主要管理成员进行书面授权，并将书面授权书报监理人审批后送发包人备案。</w:t>
      </w:r>
    </w:p>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Cs w:val="21"/>
          <w:highlight w:val="none"/>
          <w:u w:val="single"/>
          <w:lang w:val="zh-CN"/>
        </w:rPr>
      </w:pPr>
      <w:r>
        <w:rPr>
          <w:rFonts w:hint="eastAsia" w:ascii="宋体" w:hAnsi="宋体" w:eastAsia="宋体" w:cs="宋体"/>
          <w:b w:val="0"/>
          <w:bCs w:val="0"/>
          <w:color w:val="0000FF"/>
          <w:szCs w:val="21"/>
          <w:highlight w:val="none"/>
          <w:u w:val="single"/>
          <w:lang w:val="zh-CN"/>
        </w:rPr>
        <w:t>⑥因市政府有关部门行政干预（包括暂停工、赶工及工期变更）</w:t>
      </w:r>
      <w:r>
        <w:rPr>
          <w:rFonts w:hint="eastAsia" w:ascii="宋体" w:hAnsi="宋体" w:cs="宋体"/>
          <w:b w:val="0"/>
          <w:bCs w:val="0"/>
          <w:color w:val="0000FF"/>
          <w:szCs w:val="21"/>
          <w:highlight w:val="none"/>
          <w:u w:val="single"/>
          <w:lang w:val="zh-CN"/>
        </w:rPr>
        <w:t>、</w:t>
      </w:r>
      <w:r>
        <w:rPr>
          <w:rFonts w:hint="eastAsia" w:ascii="宋体" w:hAnsi="宋体" w:cs="宋体"/>
          <w:b w:val="0"/>
          <w:bCs w:val="0"/>
          <w:color w:val="0000FF"/>
          <w:szCs w:val="21"/>
          <w:highlight w:val="none"/>
          <w:u w:val="single"/>
          <w:lang w:val="en-US" w:eastAsia="zh-CN"/>
        </w:rPr>
        <w:t>周边规划市政道路建设滞后</w:t>
      </w:r>
      <w:r>
        <w:rPr>
          <w:rFonts w:hint="eastAsia" w:ascii="宋体" w:hAnsi="宋体" w:eastAsia="宋体" w:cs="宋体"/>
          <w:b w:val="0"/>
          <w:bCs w:val="0"/>
          <w:color w:val="0000FF"/>
          <w:szCs w:val="21"/>
          <w:highlight w:val="none"/>
          <w:u w:val="single"/>
          <w:lang w:val="zh-CN"/>
        </w:rPr>
        <w:t>导致实质影响关键线路施工进度的，经监理人和发包人批准可以相应顺延工期，但承包人不得以此要求任何费用或索赔。</w:t>
      </w:r>
    </w:p>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Cs w:val="21"/>
          <w:highlight w:val="none"/>
          <w:u w:val="single"/>
          <w:lang w:val="zh-CN"/>
        </w:rPr>
      </w:pPr>
      <w:r>
        <w:rPr>
          <w:rFonts w:hint="eastAsia" w:ascii="宋体" w:hAnsi="宋体" w:eastAsia="宋体" w:cs="宋体"/>
          <w:b w:val="0"/>
          <w:bCs w:val="0"/>
          <w:color w:val="0000FF"/>
          <w:szCs w:val="21"/>
          <w:highlight w:val="none"/>
          <w:u w:val="single"/>
          <w:lang w:val="zh-CN"/>
        </w:rPr>
        <w:t>⑦承包人施工后的弃方、残方等不得随意弃在红线内外，且须满足发包人及国家、省、厦门市各项的现场安全文明及废土砂石的处置要求，同时满足指挥部管理要求。</w:t>
      </w:r>
    </w:p>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Cs w:val="21"/>
          <w:highlight w:val="none"/>
          <w:u w:val="single"/>
          <w:lang w:val="zh-CN"/>
        </w:rPr>
      </w:pPr>
      <w:r>
        <w:rPr>
          <w:rFonts w:hint="eastAsia" w:ascii="宋体" w:hAnsi="宋体" w:eastAsia="宋体" w:cs="宋体"/>
          <w:b w:val="0"/>
          <w:bCs w:val="0"/>
          <w:color w:val="0000FF"/>
          <w:szCs w:val="21"/>
          <w:highlight w:val="none"/>
          <w:u w:val="single"/>
          <w:lang w:val="zh-CN"/>
        </w:rPr>
        <w:t>⑧a、</w:t>
      </w:r>
      <w:r>
        <w:rPr>
          <w:rFonts w:hint="eastAsia" w:ascii="宋体" w:hAnsi="宋体" w:cs="宋体"/>
          <w:color w:val="0000FF"/>
          <w:szCs w:val="21"/>
          <w:highlight w:val="none"/>
          <w:u w:val="single"/>
          <w:lang w:val="zh-CN"/>
        </w:rPr>
        <w:t>各种检测费用及管线测量费用、铝合金门窗及幕墙检测费（含三性、四性试验和避雷试验等一切相关试验费）、防雷检测费、外墙淋水试验费、试桩费及基本试验费等检测及测量费用（包括但不限于检测费、测量费、配合费、管理费及施工便道铺设等满足检测所需发生的施工内容等相关费用）、室外雨污水管测绘费等，除清单有单独列项外，</w:t>
      </w:r>
      <w:r>
        <w:rPr>
          <w:rFonts w:hint="eastAsia" w:ascii="宋体" w:hAnsi="宋体" w:eastAsia="宋体" w:cs="宋体"/>
          <w:b w:val="0"/>
          <w:bCs w:val="0"/>
          <w:color w:val="0000FF"/>
          <w:szCs w:val="21"/>
          <w:highlight w:val="none"/>
          <w:u w:val="single"/>
          <w:lang w:val="zh-CN"/>
        </w:rPr>
        <w:t>均已包含在相应措施费或综合单价中，发包人不再另行支付；b、各类施工专项方案编制、专家论证费用及相关的配合费及管理费，均已综合考虑在合同总价中，发包人不再另行支付；c、不在本工程承包范围内的工程内容(包括但不限于</w:t>
      </w:r>
      <w:r>
        <w:rPr>
          <w:rFonts w:hint="eastAsia" w:ascii="宋体" w:hAnsi="宋体" w:cs="宋体"/>
          <w:b w:val="0"/>
          <w:bCs w:val="0"/>
          <w:color w:val="0000FF"/>
          <w:szCs w:val="21"/>
          <w:highlight w:val="none"/>
          <w:u w:val="single"/>
          <w:lang w:val="en-US" w:eastAsia="zh-CN"/>
        </w:rPr>
        <w:t>无尘车间装修工程、</w:t>
      </w:r>
      <w:r>
        <w:rPr>
          <w:rFonts w:hint="eastAsia" w:ascii="宋体" w:hAnsi="宋体" w:eastAsia="宋体" w:cs="宋体"/>
          <w:b w:val="0"/>
          <w:bCs w:val="0"/>
          <w:color w:val="0000FF"/>
          <w:szCs w:val="21"/>
          <w:highlight w:val="none"/>
          <w:u w:val="single"/>
          <w:lang w:val="zh-CN"/>
        </w:rPr>
        <w:t>白蚁防治工程、消防检测、桩基检测、基坑监测等工程)，承包人须无条件配合，且合同价款已考虑相关配合费用d、本工程室内空气检测费，该费用含在相关子目中，投标单位综合考虑报价，要求竣工后室内环境质量检测需要满足《民用建筑工程室内环境污染控制范围》，若不满足该标准，相关环境治理费用由施工单位承担，直到室内环境质量满足标准；</w:t>
      </w:r>
      <w:r>
        <w:rPr>
          <w:rFonts w:hint="eastAsia" w:ascii="宋体" w:hAnsi="宋体" w:cs="宋体"/>
          <w:color w:val="0000FF"/>
          <w:szCs w:val="21"/>
          <w:highlight w:val="none"/>
          <w:u w:val="single"/>
          <w:lang w:val="zh-CN"/>
        </w:rPr>
        <w:t>e本工程有关检测费用、铝合金门窗及幕墙的相关检测费用、预埋件和螺栓拉拔试验费、胶相溶性试验费、防雷测试费、三性、四性试验及其他各项基础试验费等满足验收要求的各项检测，均由投标人综合考虑到投标报价中，中标后不再增补。根据《建设工程质量检测管理办法》（住建部令第57号）、《厦门市建设局关于开展全市建设工程质量检测机构专项整治的通知》（厦建工[2023]36号）和《关于进一步规范建设工程检测质量管理工作的通知》（厦建质安[2022]49号）等现行文件要求，建设（代建）单位应严格落实质量管理首要责任，与具备相应资质的工程质量检测机构签订工程质量检测合同，且建设（代建）单位应按时足额支付检测费用。因工程材料检测等费用已含在本项目施工合同中无法分离，为保证项目的顺利推进，本项目所涉及的工程材料检测费用先由建设单位先行支付再从承包人进度款、结算款中扣除。</w:t>
      </w:r>
    </w:p>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Cs w:val="21"/>
          <w:highlight w:val="none"/>
          <w:u w:val="single"/>
          <w:lang w:val="zh-CN"/>
        </w:rPr>
      </w:pPr>
      <w:r>
        <w:rPr>
          <w:rFonts w:hint="eastAsia" w:ascii="宋体" w:hAnsi="宋体" w:eastAsia="宋体" w:cs="宋体"/>
          <w:b w:val="0"/>
          <w:bCs w:val="0"/>
          <w:color w:val="0000FF"/>
          <w:szCs w:val="21"/>
          <w:highlight w:val="none"/>
          <w:u w:val="single"/>
          <w:lang w:val="zh-CN"/>
        </w:rPr>
        <w:t>⑨建筑废土砂石的处置和运输按照《厦门市建设与管理局关于规范建筑废土砂石运输发包工作的通知》(厦建工[2014]15 号)规定和《关于进一步加强建筑废土管理的通知》（厦渣土办[2019]1 号）</w:t>
      </w:r>
      <w:r>
        <w:rPr>
          <w:rFonts w:hint="eastAsia" w:ascii="宋体" w:hAnsi="宋体" w:cs="宋体"/>
          <w:color w:val="0000FF"/>
          <w:szCs w:val="21"/>
          <w:highlight w:val="none"/>
          <w:u w:val="single"/>
          <w:lang w:val="zh-CN"/>
        </w:rPr>
        <w:t>、《厦门市建筑废土管理办法》（厦门市人民政府令第162号）、《厦门市人民政府办公厅关于进一步加强建筑废土管理的通知》（厦府办规〔2023〕2号）、《厦门市建筑废土砂石综合管理领导小组办公室关于做好建筑废土处置专项整治工作的通知》（厦渣土办〔2023〕2号）、《厦门市建筑废土站关于加强建设项目建筑废土处置相关工作的通知（厦建废土〔2023〕45号）、《厦门市建设局关于优化城市建筑垃圾处置核准事项办理流程的通知》(厦建工〔2020〕41号)、《厦门市建设局关于印发建筑废土运输企业信用评价管理办法的通知》(厦建规〔2022〕7号-工)</w:t>
      </w:r>
      <w:r>
        <w:rPr>
          <w:rFonts w:hint="eastAsia" w:ascii="宋体" w:hAnsi="宋体" w:cs="宋体"/>
          <w:color w:val="FF0000"/>
          <w:szCs w:val="21"/>
          <w:highlight w:val="none"/>
          <w:u w:val="single"/>
          <w:lang w:val="zh-CN"/>
        </w:rPr>
        <w:t>、《厦门市城市综合管理委员会办公室关于印发厦门市扬尘防治考评工作实施方案（2024版）的通知》（厦城管办〔2024〕1号）</w:t>
      </w:r>
      <w:r>
        <w:rPr>
          <w:rFonts w:hint="eastAsia" w:ascii="宋体" w:hAnsi="宋体" w:cs="宋体"/>
          <w:color w:val="0000FF"/>
          <w:szCs w:val="21"/>
          <w:highlight w:val="none"/>
          <w:u w:val="single"/>
          <w:lang w:val="zh-CN"/>
        </w:rPr>
        <w:t>等最新文件</w:t>
      </w:r>
      <w:r>
        <w:rPr>
          <w:rFonts w:hint="eastAsia" w:ascii="宋体" w:hAnsi="宋体" w:eastAsia="宋体" w:cs="宋体"/>
          <w:b w:val="0"/>
          <w:bCs w:val="0"/>
          <w:color w:val="0000FF"/>
          <w:szCs w:val="21"/>
          <w:highlight w:val="none"/>
          <w:u w:val="single"/>
          <w:lang w:val="zh-CN"/>
        </w:rPr>
        <w:t>执行，且运输建筑废土砂石的运输企业必须是建筑废土砂石运输目录库中的运输企业。</w:t>
      </w:r>
    </w:p>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Cs w:val="21"/>
          <w:highlight w:val="none"/>
          <w:u w:val="single"/>
          <w:lang w:val="zh-CN"/>
        </w:rPr>
      </w:pPr>
      <w:r>
        <w:rPr>
          <w:rFonts w:hint="eastAsia" w:ascii="宋体" w:hAnsi="宋体" w:eastAsia="宋体" w:cs="宋体"/>
          <w:b w:val="0"/>
          <w:bCs w:val="0"/>
          <w:color w:val="0000FF"/>
          <w:szCs w:val="21"/>
          <w:highlight w:val="none"/>
          <w:u w:val="single"/>
          <w:lang w:val="zh-CN"/>
        </w:rPr>
        <w:t>⑩若有因市政配套工程（如燃气、给水、供电、有线、三网融合等）施工需要引起的多次现场配合放线、土方回填及平整、场内各类井盖标高调整以及苗木修补等后续事项，承包人需积极配合处理，相关费用应在合同总价中综合考虑，不再调整。因承包人放线误差或施工中造成偏差，由此增加的所有费用由承包人承担。</w:t>
      </w:r>
    </w:p>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Cs w:val="21"/>
          <w:highlight w:val="none"/>
          <w:u w:val="single"/>
          <w:lang w:val="zh-CN"/>
        </w:rPr>
      </w:pPr>
      <w:r>
        <w:rPr>
          <w:rFonts w:hint="eastAsia" w:cs="宋体"/>
          <w:color w:val="0000FF"/>
          <w:sz w:val="21"/>
          <w:szCs w:val="21"/>
          <w:highlight w:val="none"/>
          <w:u w:val="single"/>
        </w:rPr>
        <w:t>⑪</w:t>
      </w:r>
      <w:r>
        <w:rPr>
          <w:rFonts w:hint="eastAsia" w:ascii="宋体" w:hAnsi="宋体" w:eastAsia="宋体" w:cs="宋体"/>
          <w:b w:val="0"/>
          <w:bCs w:val="0"/>
          <w:color w:val="0000FF"/>
          <w:szCs w:val="21"/>
          <w:highlight w:val="none"/>
          <w:u w:val="single"/>
          <w:lang w:val="zh-CN"/>
        </w:rPr>
        <w:t>承包人必须承担工程项目施工扬尘污染防治具体工作，按照专用条款6.3环境保护约定落实建筑施工现场扬尘防治措施，并确保扬尘防治费用合理使用，该部分费用均已综合考虑在合同总价中，发包人不再另行支付。承包人应积极采取措施确保项目扬尘防治工作符合厦门市扬尘防治标准，做到防尘常态化管理，并确保扬尘考评不得低于良好级别（扬尘考评分数≥8</w:t>
      </w:r>
      <w:r>
        <w:rPr>
          <w:rFonts w:hint="eastAsia" w:ascii="宋体" w:hAnsi="宋体" w:cs="宋体"/>
          <w:b w:val="0"/>
          <w:bCs w:val="0"/>
          <w:color w:val="0000FF"/>
          <w:szCs w:val="21"/>
          <w:highlight w:val="none"/>
          <w:u w:val="single"/>
          <w:lang w:val="en-US" w:eastAsia="zh-CN"/>
        </w:rPr>
        <w:t>4</w:t>
      </w:r>
      <w:r>
        <w:rPr>
          <w:rFonts w:hint="eastAsia" w:ascii="宋体" w:hAnsi="宋体" w:eastAsia="宋体" w:cs="宋体"/>
          <w:b w:val="0"/>
          <w:bCs w:val="0"/>
          <w:color w:val="0000FF"/>
          <w:szCs w:val="21"/>
          <w:highlight w:val="none"/>
          <w:u w:val="single"/>
          <w:lang w:val="zh-CN"/>
        </w:rPr>
        <w:t>）、厦门市生态环境保护委员会办公室扬尘督查扬尘污染隐患评价等级不得低于轻微；因承包人原因导致上述扬尘考评、督查评价等级低于上述标准的每次给与</w:t>
      </w:r>
      <w:r>
        <w:rPr>
          <w:rFonts w:hint="eastAsia" w:ascii="宋体" w:hAnsi="宋体" w:cs="宋体"/>
          <w:b w:val="0"/>
          <w:bCs w:val="0"/>
          <w:color w:val="0000FF"/>
          <w:szCs w:val="21"/>
          <w:highlight w:val="none"/>
          <w:u w:val="single"/>
          <w:lang w:val="en-US" w:eastAsia="zh-CN"/>
        </w:rPr>
        <w:t>5</w:t>
      </w:r>
      <w:r>
        <w:rPr>
          <w:rFonts w:hint="eastAsia" w:ascii="宋体" w:hAnsi="宋体" w:eastAsia="宋体" w:cs="宋体"/>
          <w:b w:val="0"/>
          <w:bCs w:val="0"/>
          <w:color w:val="0000FF"/>
          <w:szCs w:val="21"/>
          <w:highlight w:val="none"/>
          <w:u w:val="single"/>
          <w:lang w:val="zh-CN"/>
        </w:rPr>
        <w:t>0000元/次违约金，追究相关人员责任并要求予以更换人员；若出现通报批评等更严重结果的则按照合同 6.1.1 第（10）条相关约定承担责任。</w:t>
      </w:r>
    </w:p>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Cs w:val="21"/>
          <w:highlight w:val="none"/>
          <w:u w:val="single"/>
          <w:lang w:val="zh-CN"/>
        </w:rPr>
      </w:pPr>
      <w:r>
        <w:rPr>
          <w:rFonts w:hint="eastAsia" w:cs="宋体"/>
          <w:color w:val="0000FF"/>
          <w:sz w:val="21"/>
          <w:szCs w:val="21"/>
          <w:highlight w:val="none"/>
          <w:u w:val="single"/>
        </w:rPr>
        <w:t>⑫</w:t>
      </w:r>
      <w:r>
        <w:rPr>
          <w:rFonts w:hint="eastAsia" w:ascii="宋体" w:hAnsi="宋体" w:eastAsia="宋体" w:cs="宋体"/>
          <w:b w:val="0"/>
          <w:bCs w:val="0"/>
          <w:color w:val="0000FF"/>
          <w:szCs w:val="21"/>
          <w:highlight w:val="none"/>
          <w:u w:val="single"/>
          <w:lang w:val="zh-CN"/>
        </w:rPr>
        <w:t>承包人应认真审核整套施工图和设计总说明，弄清整套施工图纸的连续性和一致性。由于对图纸的理解错误及未及时发现图纸中相互矛盾之处而产生的施工错误，造成返工或其它损失（包括补救措施、客户索赔）的，由承包人自行承担全部责任和费用。</w:t>
      </w:r>
    </w:p>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Cs w:val="21"/>
          <w:highlight w:val="none"/>
          <w:u w:val="single"/>
          <w:lang w:val="zh-CN"/>
        </w:rPr>
      </w:pPr>
      <w:r>
        <w:rPr>
          <w:rFonts w:hint="eastAsia" w:cs="宋体"/>
          <w:color w:val="0000FF"/>
          <w:sz w:val="21"/>
          <w:szCs w:val="21"/>
          <w:highlight w:val="none"/>
          <w:u w:val="single"/>
        </w:rPr>
        <w:t>⑬</w:t>
      </w:r>
      <w:r>
        <w:rPr>
          <w:rFonts w:hint="eastAsia" w:ascii="宋体" w:hAnsi="宋体" w:eastAsia="宋体" w:cs="宋体"/>
          <w:b w:val="0"/>
          <w:bCs w:val="0"/>
          <w:color w:val="0000FF"/>
          <w:szCs w:val="21"/>
          <w:highlight w:val="none"/>
          <w:u w:val="single"/>
          <w:lang w:val="zh-CN"/>
        </w:rPr>
        <w:t>发包人所提供的设计文件中，有可能存在一些不合理或与实际不吻合的错、漏现象，承包人必须根据设计文件结合现场的实际情况进行检查、核实测量及综合判断，将存在的不合理或实际不吻合的错、漏问题及时报告监理工程师。发包人在任何时候均有权针对设计文件中的不合理或与实际不吻合的错、漏问题提出更改、调整、为完成全部工程所需进行的任何针对上述问题的更改、调整，承包人必须给予配合不得拒绝。</w:t>
      </w:r>
    </w:p>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Cs w:val="21"/>
          <w:highlight w:val="none"/>
          <w:u w:val="single"/>
          <w:lang w:val="zh-CN"/>
        </w:rPr>
      </w:pPr>
      <w:r>
        <w:rPr>
          <w:rFonts w:hint="eastAsia" w:cs="宋体"/>
          <w:color w:val="0000FF"/>
          <w:sz w:val="21"/>
          <w:szCs w:val="21"/>
          <w:highlight w:val="none"/>
          <w:u w:val="single"/>
        </w:rPr>
        <w:t>⑭</w:t>
      </w:r>
      <w:r>
        <w:rPr>
          <w:rFonts w:hint="eastAsia" w:ascii="宋体" w:hAnsi="宋体" w:eastAsia="宋体" w:cs="宋体"/>
          <w:b w:val="0"/>
          <w:bCs w:val="0"/>
          <w:color w:val="0000FF"/>
          <w:szCs w:val="21"/>
          <w:highlight w:val="none"/>
          <w:u w:val="single"/>
          <w:lang w:val="zh-CN"/>
        </w:rPr>
        <w:t>承包人施工前应对发包人提供的地下管线资料结合现场的实际情况进行检查、核实测量。</w:t>
      </w:r>
    </w:p>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Cs w:val="21"/>
          <w:highlight w:val="none"/>
          <w:u w:val="single"/>
          <w:lang w:val="zh-CN"/>
        </w:rPr>
      </w:pPr>
      <w:r>
        <w:rPr>
          <w:rFonts w:hint="eastAsia" w:ascii="Times New Roman" w:hAnsi="Times New Roman" w:cs="宋体"/>
          <w:color w:val="0000FF"/>
          <w:sz w:val="21"/>
          <w:szCs w:val="21"/>
          <w:highlight w:val="none"/>
          <w:u w:val="single"/>
        </w:rPr>
        <w:t>⑮</w:t>
      </w:r>
      <w:r>
        <w:rPr>
          <w:rFonts w:hint="eastAsia" w:ascii="宋体" w:hAnsi="宋体" w:eastAsia="宋体" w:cs="宋体"/>
          <w:b w:val="0"/>
          <w:bCs w:val="0"/>
          <w:color w:val="0000FF"/>
          <w:szCs w:val="21"/>
          <w:highlight w:val="none"/>
          <w:u w:val="single"/>
          <w:lang w:val="zh-CN"/>
        </w:rPr>
        <w:t>承包人负责搭建工地现场临时设施，负责临时道路、管线的施工、保养、移位及拆除，负责现场管线和邻近建筑物、构筑物及道路等的防护工作，发生的相关费用由承包人承担，发包人不再另行支付。临时搭建项目部应充分考虑到统筹规划、形象及办公设点的合理性，应上级相关主管部门集约用地要求，关于承包人项目部及发包人项目部的整体布局、统筹规划及平面布置概况由我司进行交底。我方交底后承包单位需在10个工作日内将搭建临时项目部所处位置、临时设施平面布置图及方案报送发包人审批，经发包人审批同意后方可开工建设，建设工程过程中须无条件服从监理人及发包人管理。项目部驻地位于同一地点，承包人项目部及发包人项目部应按照发包人要求统一布置。其中发包人项目部办公场所要求单独布置，由承包人负责建设并配备相应的家具、设备及配套设施，具体布置方案需经发包人审核同意，发包人项目部办公场所需建设费用（包含但不限于场地租赁费、押金、项目部活动箱房、家具、办公设备等费用）且该费用承包人已在投标报价中综合考虑，发包人不再另行支付，承包人不得有异议。工地大门及发包人项目部办公场所建设要求应符合《2022国贸地产 VI 手册》、《国贸地产建设开发公司工地大门规范》，并且发包人有权另行选择施工单位实施完善，其费用由承包人承担，从工程款中扣除。</w:t>
      </w:r>
    </w:p>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Cs w:val="21"/>
          <w:highlight w:val="none"/>
          <w:u w:val="single"/>
          <w:lang w:val="zh-CN"/>
        </w:rPr>
      </w:pPr>
      <w:r>
        <w:rPr>
          <w:rFonts w:hint="eastAsia" w:ascii="Times New Roman" w:hAnsi="Times New Roman" w:cs="宋体"/>
          <w:color w:val="0000FF"/>
          <w:sz w:val="21"/>
          <w:szCs w:val="21"/>
          <w:highlight w:val="none"/>
          <w:u w:val="single"/>
        </w:rPr>
        <w:t>⑯</w:t>
      </w:r>
      <w:r>
        <w:rPr>
          <w:rFonts w:hint="eastAsia" w:ascii="宋体" w:hAnsi="宋体" w:eastAsia="宋体" w:cs="宋体"/>
          <w:b w:val="0"/>
          <w:bCs w:val="0"/>
          <w:color w:val="0000FF"/>
          <w:szCs w:val="21"/>
          <w:highlight w:val="none"/>
          <w:u w:val="single"/>
          <w:lang w:val="zh-CN"/>
        </w:rPr>
        <w:t>发包人已负责从指定的市政用电接驳点接驳施工用电至施工现场，若后期承包人为满足现场施工要求发生的迁移、拆除和恢复等相关费用承包人均已综合考虑在合同总价中，发包人不再另行支付。承包人须负责临时施工用水开户申请、开通，并按发包人批准的接驳方案接驳至施工现场，上述发生的相关费用由承包人综合考虑在报价中并自行承担，发包人不再另行支付。</w:t>
      </w:r>
    </w:p>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Cs w:val="21"/>
          <w:highlight w:val="none"/>
          <w:u w:val="single"/>
          <w:lang w:val="zh-CN"/>
        </w:rPr>
      </w:pPr>
      <w:r>
        <w:rPr>
          <w:rFonts w:hint="eastAsia" w:ascii="Times New Roman" w:hAnsi="Times New Roman" w:cs="宋体"/>
          <w:color w:val="0000FF"/>
          <w:sz w:val="21"/>
          <w:szCs w:val="21"/>
          <w:highlight w:val="none"/>
          <w:u w:val="single"/>
        </w:rPr>
        <w:t>⑰</w:t>
      </w:r>
      <w:r>
        <w:rPr>
          <w:rFonts w:hint="eastAsia" w:ascii="宋体" w:hAnsi="宋体" w:eastAsia="宋体" w:cs="宋体"/>
          <w:b w:val="0"/>
          <w:bCs w:val="0"/>
          <w:color w:val="0000FF"/>
          <w:szCs w:val="21"/>
          <w:highlight w:val="none"/>
          <w:u w:val="single"/>
          <w:lang w:val="zh-CN"/>
        </w:rPr>
        <w:t>做好施工组织管理，维持施工现场整洁、道路畅通、不漏、不扬、不洒，对进出工地的车辆须派专人及时进行冲洗清扫，防止污染交通道路，达到文明施工各项标准及要求。</w:t>
      </w:r>
    </w:p>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Cs w:val="21"/>
          <w:highlight w:val="none"/>
          <w:u w:val="single"/>
          <w:lang w:val="zh-CN"/>
        </w:rPr>
      </w:pPr>
      <w:r>
        <w:rPr>
          <w:rFonts w:hint="eastAsia" w:cs="宋体"/>
          <w:color w:val="0000FF"/>
          <w:sz w:val="21"/>
          <w:szCs w:val="21"/>
          <w:highlight w:val="none"/>
          <w:u w:val="single"/>
        </w:rPr>
        <w:t>⑱</w:t>
      </w:r>
      <w:r>
        <w:rPr>
          <w:rFonts w:hint="eastAsia" w:ascii="宋体" w:hAnsi="宋体" w:eastAsia="宋体" w:cs="宋体"/>
          <w:b w:val="0"/>
          <w:bCs w:val="0"/>
          <w:color w:val="0000FF"/>
          <w:szCs w:val="21"/>
          <w:highlight w:val="none"/>
          <w:u w:val="single"/>
          <w:lang w:val="zh-CN"/>
        </w:rPr>
        <w:t>承包人应按《厦门市建设局关于使用福建省建筑劳务实名制管理平台的通知》（厦建筑[2020]13号）通知要求，对本工程项目实名制管理。</w:t>
      </w:r>
    </w:p>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Cs w:val="21"/>
          <w:highlight w:val="none"/>
          <w:u w:val="single"/>
          <w:lang w:val="zh-CN"/>
        </w:rPr>
      </w:pPr>
      <w:r>
        <w:rPr>
          <w:rFonts w:hint="eastAsia" w:cs="宋体"/>
          <w:color w:val="0000FF"/>
          <w:sz w:val="21"/>
          <w:szCs w:val="21"/>
          <w:highlight w:val="none"/>
          <w:u w:val="single"/>
        </w:rPr>
        <w:t>⑲</w:t>
      </w:r>
      <w:r>
        <w:rPr>
          <w:rFonts w:hint="eastAsia" w:ascii="宋体" w:hAnsi="宋体" w:eastAsia="宋体" w:cs="宋体"/>
          <w:b w:val="0"/>
          <w:bCs w:val="0"/>
          <w:color w:val="0000FF"/>
          <w:szCs w:val="21"/>
          <w:highlight w:val="none"/>
          <w:u w:val="single"/>
          <w:lang w:val="zh-CN"/>
        </w:rPr>
        <w:t>承包人需按发包人要求提供相应的廉政设施如远程监控设施、廉政宣传栏、廉政条幅等，切实的做好廉政工作，其费用承包人在投标时应综合考虑。</w:t>
      </w:r>
    </w:p>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Cs w:val="21"/>
          <w:highlight w:val="none"/>
          <w:u w:val="single"/>
          <w:lang w:val="zh-CN"/>
        </w:rPr>
      </w:pPr>
      <w:r>
        <w:rPr>
          <w:rFonts w:hint="eastAsia" w:cs="宋体"/>
          <w:color w:val="0000FF"/>
          <w:sz w:val="21"/>
          <w:szCs w:val="21"/>
          <w:highlight w:val="none"/>
          <w:u w:val="single"/>
        </w:rPr>
        <w:t>⑳</w:t>
      </w:r>
      <w:r>
        <w:rPr>
          <w:rFonts w:hint="eastAsia" w:ascii="宋体" w:hAnsi="宋体" w:eastAsia="宋体" w:cs="宋体"/>
          <w:b w:val="0"/>
          <w:bCs w:val="0"/>
          <w:color w:val="0000FF"/>
          <w:szCs w:val="21"/>
          <w:highlight w:val="none"/>
          <w:u w:val="single"/>
          <w:lang w:val="zh-CN"/>
        </w:rPr>
        <w:t>本项目若存在交叉施工，承包人应做好与周边市政道路等相关施工单位的沟通协调工作，积极处理与周边道路施工单位的关系，确保工程顺利开展。承包人不得拒绝或怠于此项沟通协调工作，若承包人未能尽到相关沟通协调义务，发包人有权更换相关人员，并视事件严重及紧急程度处以5000~10000元/次罚款。</w:t>
      </w:r>
    </w:p>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Cs w:val="21"/>
          <w:highlight w:val="none"/>
          <w:u w:val="single"/>
          <w:lang w:val="zh-CN"/>
        </w:rPr>
      </w:pPr>
      <w:r>
        <w:rPr>
          <w:rFonts w:hint="eastAsia" w:cs="宋体"/>
          <w:color w:val="0000FF"/>
          <w:sz w:val="21"/>
          <w:szCs w:val="21"/>
          <w:highlight w:val="none"/>
          <w:u w:val="single"/>
        </w:rPr>
        <w:t>㉑</w:t>
      </w:r>
      <w:r>
        <w:rPr>
          <w:rFonts w:hint="eastAsia" w:ascii="宋体" w:hAnsi="宋体" w:eastAsia="宋体" w:cs="宋体"/>
          <w:b w:val="0"/>
          <w:bCs w:val="0"/>
          <w:color w:val="0000FF"/>
          <w:szCs w:val="21"/>
          <w:highlight w:val="none"/>
          <w:u w:val="single"/>
          <w:lang w:val="zh-CN"/>
        </w:rPr>
        <w:t>承包人应及时按照代建考评、双随机、厦门市城建档案管、发包人及其他相关上级单位管理要求，进行资料、档案收集、整理和归档工作，保证资料的及时性、有效性及完整性，并随时接受发包人、监理人的检查。若承包人未按照相关要求完成资料、档案的收集、归档，发包人或监理人有权按照2000元/次进行处罚；若因承包人资料原因影响代建考评、双随机等重要检查成绩或重要验收，发包人有权按照10000元/次进行处罚，且该处罚可以与其他处罚叠加，并从当期工程款予以扣除。</w:t>
      </w:r>
    </w:p>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Cs w:val="21"/>
          <w:highlight w:val="none"/>
          <w:u w:val="single"/>
          <w:lang w:val="zh-CN"/>
        </w:rPr>
      </w:pPr>
      <w:r>
        <w:rPr>
          <w:rFonts w:hint="eastAsia" w:cs="宋体"/>
          <w:color w:val="0000FF"/>
          <w:sz w:val="21"/>
          <w:szCs w:val="21"/>
          <w:highlight w:val="none"/>
          <w:u w:val="single"/>
        </w:rPr>
        <w:t>㉒</w:t>
      </w:r>
      <w:r>
        <w:rPr>
          <w:rFonts w:hint="eastAsia" w:ascii="宋体" w:hAnsi="宋体" w:eastAsia="宋体" w:cs="宋体"/>
          <w:b w:val="0"/>
          <w:bCs w:val="0"/>
          <w:color w:val="0000FF"/>
          <w:szCs w:val="21"/>
          <w:highlight w:val="none"/>
          <w:u w:val="single"/>
          <w:lang w:val="zh-CN"/>
        </w:rPr>
        <w:t>本项目为重要</w:t>
      </w:r>
      <w:r>
        <w:rPr>
          <w:rFonts w:hint="eastAsia" w:ascii="宋体" w:hAnsi="宋体" w:cs="宋体"/>
          <w:b w:val="0"/>
          <w:bCs w:val="0"/>
          <w:color w:val="0000FF"/>
          <w:szCs w:val="21"/>
          <w:highlight w:val="none"/>
          <w:u w:val="single"/>
          <w:lang w:val="en-US" w:eastAsia="zh-CN"/>
        </w:rPr>
        <w:t>厂房</w:t>
      </w:r>
      <w:r>
        <w:rPr>
          <w:rFonts w:hint="eastAsia" w:ascii="宋体" w:hAnsi="宋体" w:eastAsia="宋体" w:cs="宋体"/>
          <w:b w:val="0"/>
          <w:bCs w:val="0"/>
          <w:color w:val="0000FF"/>
          <w:szCs w:val="21"/>
          <w:highlight w:val="none"/>
          <w:u w:val="single"/>
          <w:lang w:val="zh-CN"/>
        </w:rPr>
        <w:t>工程，承包人应确保本工程进度、质量、安全文明施工等均符合相关要求，确保项目的良好形象，</w:t>
      </w:r>
      <w:r>
        <w:rPr>
          <w:rFonts w:hint="eastAsia" w:ascii="宋体" w:hAnsi="宋体" w:cs="宋体"/>
          <w:b w:val="0"/>
          <w:bCs w:val="0"/>
          <w:color w:val="0000FF"/>
          <w:szCs w:val="21"/>
          <w:highlight w:val="none"/>
          <w:u w:val="single"/>
          <w:lang w:val="en-US" w:eastAsia="zh-CN"/>
        </w:rPr>
        <w:t>负责</w:t>
      </w:r>
      <w:r>
        <w:rPr>
          <w:rFonts w:hint="eastAsia" w:ascii="宋体" w:hAnsi="宋体" w:eastAsia="宋体" w:cs="宋体"/>
          <w:b w:val="0"/>
          <w:bCs w:val="0"/>
          <w:color w:val="0000FF"/>
          <w:szCs w:val="21"/>
          <w:highlight w:val="none"/>
          <w:u w:val="single"/>
          <w:lang w:val="zh-CN"/>
        </w:rPr>
        <w:t>做好与</w:t>
      </w:r>
      <w:r>
        <w:rPr>
          <w:rFonts w:hint="eastAsia" w:ascii="宋体" w:hAnsi="宋体" w:cs="宋体"/>
          <w:b w:val="0"/>
          <w:bCs w:val="0"/>
          <w:color w:val="0000FF"/>
          <w:szCs w:val="21"/>
          <w:highlight w:val="none"/>
          <w:u w:val="single"/>
          <w:lang w:val="en-US" w:eastAsia="zh-CN"/>
        </w:rPr>
        <w:t>周边地块项目</w:t>
      </w:r>
      <w:r>
        <w:rPr>
          <w:rFonts w:hint="eastAsia" w:ascii="宋体" w:hAnsi="宋体" w:eastAsia="宋体" w:cs="宋体"/>
          <w:b w:val="0"/>
          <w:bCs w:val="0"/>
          <w:color w:val="0000FF"/>
          <w:szCs w:val="21"/>
          <w:highlight w:val="none"/>
          <w:u w:val="single"/>
          <w:lang w:val="zh-CN"/>
        </w:rPr>
        <w:t>的沟通协调工作，</w:t>
      </w:r>
      <w:r>
        <w:rPr>
          <w:rFonts w:hint="eastAsia" w:ascii="宋体" w:hAnsi="宋体" w:cs="宋体"/>
          <w:b w:val="0"/>
          <w:bCs w:val="0"/>
          <w:color w:val="0000FF"/>
          <w:szCs w:val="21"/>
          <w:highlight w:val="none"/>
          <w:u w:val="single"/>
          <w:lang w:val="en-US" w:eastAsia="zh-CN"/>
        </w:rPr>
        <w:t>包括且不限于与周边共用红线的地块之间同时施工可能产生的相互影响，保障项目顺利施工</w:t>
      </w:r>
      <w:r>
        <w:rPr>
          <w:rFonts w:hint="eastAsia" w:ascii="宋体" w:hAnsi="宋体" w:eastAsia="宋体" w:cs="宋体"/>
          <w:b w:val="0"/>
          <w:bCs w:val="0"/>
          <w:color w:val="0000FF"/>
          <w:szCs w:val="21"/>
          <w:highlight w:val="none"/>
          <w:u w:val="single"/>
          <w:lang w:val="zh-CN"/>
        </w:rPr>
        <w:t>，为此增加的费用已包含在合同总价中，不再另行支付。同时承包人应无条件接受开展项目开工典礼</w:t>
      </w:r>
      <w:r>
        <w:rPr>
          <w:rFonts w:hint="eastAsia" w:ascii="宋体" w:hAnsi="宋体" w:cs="宋体"/>
          <w:b w:val="0"/>
          <w:bCs w:val="0"/>
          <w:color w:val="0000FF"/>
          <w:szCs w:val="21"/>
          <w:highlight w:val="none"/>
          <w:u w:val="single"/>
          <w:lang w:val="zh-CN"/>
        </w:rPr>
        <w:t>（</w:t>
      </w:r>
      <w:r>
        <w:rPr>
          <w:rFonts w:hint="eastAsia" w:ascii="宋体" w:hAnsi="宋体" w:cs="宋体"/>
          <w:b w:val="0"/>
          <w:bCs w:val="0"/>
          <w:color w:val="0000FF"/>
          <w:szCs w:val="21"/>
          <w:highlight w:val="none"/>
          <w:u w:val="single"/>
          <w:lang w:val="en-US" w:eastAsia="zh-CN"/>
        </w:rPr>
        <w:t>由承包人负责牵头组织并负责编制活动方案，经发包人确认后组织实施，应确保满足发包人的要求）</w:t>
      </w:r>
      <w:r>
        <w:rPr>
          <w:rFonts w:hint="eastAsia" w:ascii="宋体" w:hAnsi="宋体" w:eastAsia="宋体" w:cs="宋体"/>
          <w:b w:val="0"/>
          <w:bCs w:val="0"/>
          <w:color w:val="0000FF"/>
          <w:szCs w:val="21"/>
          <w:highlight w:val="none"/>
          <w:u w:val="single"/>
          <w:lang w:val="zh-CN"/>
        </w:rPr>
        <w:t>、各类参观（如</w:t>
      </w:r>
      <w:r>
        <w:rPr>
          <w:rFonts w:hint="eastAsia" w:ascii="宋体" w:hAnsi="宋体" w:cs="宋体"/>
          <w:b w:val="0"/>
          <w:bCs w:val="0"/>
          <w:color w:val="0000FF"/>
          <w:szCs w:val="21"/>
          <w:highlight w:val="none"/>
          <w:u w:val="single"/>
          <w:lang w:val="en-US" w:eastAsia="zh-CN"/>
        </w:rPr>
        <w:t>现场交流会</w:t>
      </w:r>
      <w:r>
        <w:rPr>
          <w:rFonts w:hint="eastAsia" w:ascii="宋体" w:hAnsi="宋体" w:eastAsia="宋体" w:cs="宋体"/>
          <w:b w:val="0"/>
          <w:bCs w:val="0"/>
          <w:color w:val="0000FF"/>
          <w:szCs w:val="21"/>
          <w:highlight w:val="none"/>
          <w:u w:val="single"/>
          <w:lang w:val="zh-CN"/>
        </w:rPr>
        <w:t>、现场观摩会</w:t>
      </w:r>
      <w:r>
        <w:rPr>
          <w:rFonts w:hint="eastAsia" w:ascii="宋体" w:hAnsi="宋体" w:cs="宋体"/>
          <w:b w:val="0"/>
          <w:bCs w:val="0"/>
          <w:color w:val="0000FF"/>
          <w:szCs w:val="21"/>
          <w:highlight w:val="none"/>
          <w:u w:val="single"/>
          <w:lang w:val="en-US" w:eastAsia="zh-CN"/>
        </w:rPr>
        <w:t>等</w:t>
      </w:r>
      <w:r>
        <w:rPr>
          <w:rFonts w:hint="eastAsia" w:ascii="宋体" w:hAnsi="宋体" w:eastAsia="宋体" w:cs="宋体"/>
          <w:b w:val="0"/>
          <w:bCs w:val="0"/>
          <w:color w:val="0000FF"/>
          <w:szCs w:val="21"/>
          <w:highlight w:val="none"/>
          <w:u w:val="single"/>
          <w:lang w:val="zh-CN"/>
        </w:rPr>
        <w:t>）和接受</w:t>
      </w:r>
      <w:r>
        <w:rPr>
          <w:rFonts w:hint="eastAsia" w:ascii="宋体" w:hAnsi="宋体" w:cs="宋体"/>
          <w:b w:val="0"/>
          <w:bCs w:val="0"/>
          <w:color w:val="0000FF"/>
          <w:szCs w:val="21"/>
          <w:highlight w:val="none"/>
          <w:u w:val="single"/>
          <w:lang w:val="en-US" w:eastAsia="zh-CN"/>
        </w:rPr>
        <w:t>各类</w:t>
      </w:r>
      <w:r>
        <w:rPr>
          <w:rFonts w:hint="eastAsia" w:ascii="宋体" w:hAnsi="宋体" w:eastAsia="宋体" w:cs="宋体"/>
          <w:b w:val="0"/>
          <w:bCs w:val="0"/>
          <w:color w:val="0000FF"/>
          <w:szCs w:val="21"/>
          <w:highlight w:val="none"/>
          <w:u w:val="single"/>
          <w:lang w:val="zh-CN"/>
        </w:rPr>
        <w:t>检查等相关工作，开展上述相关活动或工作的</w:t>
      </w:r>
      <w:r>
        <w:rPr>
          <w:rFonts w:hint="eastAsia" w:ascii="宋体" w:hAnsi="宋体" w:cs="宋体"/>
          <w:b w:val="0"/>
          <w:bCs w:val="0"/>
          <w:color w:val="0000FF"/>
          <w:szCs w:val="21"/>
          <w:highlight w:val="none"/>
          <w:u w:val="single"/>
          <w:lang w:val="en-US" w:eastAsia="zh-CN"/>
        </w:rPr>
        <w:t>相关</w:t>
      </w:r>
      <w:r>
        <w:rPr>
          <w:rFonts w:hint="eastAsia" w:ascii="宋体" w:hAnsi="宋体" w:eastAsia="宋体" w:cs="宋体"/>
          <w:b w:val="0"/>
          <w:bCs w:val="0"/>
          <w:color w:val="0000FF"/>
          <w:szCs w:val="21"/>
          <w:highlight w:val="none"/>
          <w:u w:val="single"/>
          <w:lang w:val="zh-CN"/>
        </w:rPr>
        <w:t>费用</w:t>
      </w:r>
      <w:r>
        <w:rPr>
          <w:rFonts w:hint="eastAsia" w:ascii="宋体" w:hAnsi="宋体" w:cs="宋体"/>
          <w:b w:val="0"/>
          <w:bCs w:val="0"/>
          <w:color w:val="0000FF"/>
          <w:szCs w:val="21"/>
          <w:highlight w:val="none"/>
          <w:u w:val="single"/>
          <w:lang w:val="en-US" w:eastAsia="zh-CN"/>
        </w:rPr>
        <w:t>由</w:t>
      </w:r>
      <w:r>
        <w:rPr>
          <w:rFonts w:hint="eastAsia" w:ascii="宋体" w:hAnsi="宋体" w:eastAsia="宋体" w:cs="宋体"/>
          <w:b w:val="0"/>
          <w:bCs w:val="0"/>
          <w:color w:val="0000FF"/>
          <w:szCs w:val="21"/>
          <w:highlight w:val="none"/>
          <w:u w:val="single"/>
          <w:lang w:val="zh-CN"/>
        </w:rPr>
        <w:t>承包人在投标时应综合考虑，不予增补。</w:t>
      </w:r>
    </w:p>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Cs w:val="21"/>
          <w:highlight w:val="none"/>
          <w:u w:val="single"/>
          <w:lang w:val="zh-CN"/>
        </w:rPr>
      </w:pPr>
      <w:r>
        <w:rPr>
          <w:rFonts w:hint="eastAsia" w:cs="宋体"/>
          <w:color w:val="0000FF"/>
          <w:sz w:val="21"/>
          <w:szCs w:val="21"/>
          <w:highlight w:val="none"/>
          <w:u w:val="single"/>
        </w:rPr>
        <w:t>㉓</w:t>
      </w:r>
      <w:r>
        <w:rPr>
          <w:rFonts w:hint="eastAsia" w:ascii="宋体" w:hAnsi="宋体" w:eastAsia="宋体" w:cs="宋体"/>
          <w:b w:val="0"/>
          <w:bCs w:val="0"/>
          <w:color w:val="0000FF"/>
          <w:szCs w:val="21"/>
          <w:highlight w:val="none"/>
          <w:u w:val="single"/>
          <w:lang w:val="zh-CN"/>
        </w:rPr>
        <w:t>承包人进场后对现场进度、安全文明等进行统一管理，主要包含施工部署（如流水施工、场地分段移交等）、施工平面布置、安全文明施工、施工人员材料机械进出场管理、临时用电、临时用水，承包人不得有异议，并不得要求增加额外费用。</w:t>
      </w:r>
      <w:r>
        <w:rPr>
          <w:rFonts w:hint="eastAsia"/>
          <w:color w:val="0000FF"/>
          <w:sz w:val="21"/>
          <w:szCs w:val="21"/>
          <w:highlight w:val="none"/>
          <w:u w:val="single"/>
        </w:rPr>
        <w:t>其他相关施工单位或分包单位进场后，承包人应负责与其签订安全管理协议（安全管理协议、界面移交事项协议应经监理、发包人审核后签订），明确三方各自的安全文明施工义务，并依照协议对各自施工内容的安全文明负责。</w:t>
      </w:r>
    </w:p>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Cs w:val="21"/>
          <w:highlight w:val="none"/>
          <w:u w:val="single"/>
          <w:lang w:val="zh-CN"/>
        </w:rPr>
      </w:pPr>
      <w:r>
        <w:rPr>
          <w:rFonts w:hint="eastAsia" w:cs="宋体"/>
          <w:color w:val="0000FF"/>
          <w:sz w:val="21"/>
          <w:szCs w:val="21"/>
          <w:highlight w:val="none"/>
          <w:u w:val="single"/>
        </w:rPr>
        <w:t>㉔</w:t>
      </w:r>
      <w:r>
        <w:rPr>
          <w:rFonts w:hint="eastAsia" w:ascii="宋体" w:hAnsi="宋体" w:eastAsia="宋体" w:cs="宋体"/>
          <w:b w:val="0"/>
          <w:bCs w:val="0"/>
          <w:color w:val="0000FF"/>
          <w:szCs w:val="21"/>
          <w:highlight w:val="none"/>
          <w:u w:val="single"/>
          <w:lang w:val="zh-CN"/>
        </w:rPr>
        <w:t>承包人已充分考虑本合同条款中涉及的应由承包人承担的其他各项费用，且相关费用承包人均已综合考虑在合同总价中，发包人不再另行支付。承包人项目管理班子需配备1名专职资料员协助发包人开展项目全过程范围内的资料整理提供及相关内业工作，费用在投标报价中综合考虑，发包人不再另行支付。</w:t>
      </w:r>
    </w:p>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Cs w:val="21"/>
          <w:highlight w:val="none"/>
          <w:u w:val="single"/>
          <w:lang w:val="zh-CN" w:eastAsia="zh-CN"/>
        </w:rPr>
      </w:pPr>
      <w:r>
        <w:rPr>
          <w:rFonts w:hint="eastAsia" w:ascii="微软雅黑" w:hAnsi="微软雅黑" w:eastAsia="微软雅黑" w:cs="微软雅黑"/>
          <w:color w:val="0000FF"/>
          <w:sz w:val="21"/>
          <w:szCs w:val="21"/>
          <w:highlight w:val="none"/>
          <w:u w:val="single"/>
        </w:rPr>
        <w:t>㉕</w:t>
      </w:r>
      <w:r>
        <w:rPr>
          <w:rFonts w:hint="eastAsia" w:ascii="宋体" w:hAnsi="宋体" w:eastAsia="宋体" w:cs="宋体"/>
          <w:b w:val="0"/>
          <w:bCs w:val="0"/>
          <w:color w:val="0000FF"/>
          <w:szCs w:val="21"/>
          <w:highlight w:val="none"/>
          <w:u w:val="single"/>
          <w:lang w:val="zh-CN"/>
        </w:rPr>
        <w:t>本项目承包人应指派一名本企业在职副总经理级别及以上领导作为本项目总协调负责人，该负责人不得擅自更换，如需更换，须经发包人同意，且拟更换人员应为承包人同等职位或以上领导。该负责人应定期到施工现场</w:t>
      </w:r>
      <w:r>
        <w:rPr>
          <w:rFonts w:hint="eastAsia" w:ascii="宋体" w:hAnsi="宋体" w:cs="宋体"/>
          <w:b w:val="0"/>
          <w:bCs w:val="0"/>
          <w:color w:val="0000FF"/>
          <w:szCs w:val="21"/>
          <w:highlight w:val="none"/>
          <w:u w:val="single"/>
          <w:lang w:val="en-US" w:eastAsia="zh-CN"/>
        </w:rPr>
        <w:t>指导</w:t>
      </w:r>
      <w:r>
        <w:rPr>
          <w:rFonts w:hint="eastAsia" w:ascii="宋体" w:hAnsi="宋体" w:eastAsia="宋体" w:cs="宋体"/>
          <w:b w:val="0"/>
          <w:bCs w:val="0"/>
          <w:color w:val="0000FF"/>
          <w:szCs w:val="21"/>
          <w:highlight w:val="none"/>
          <w:u w:val="single"/>
          <w:lang w:val="zh-CN"/>
        </w:rPr>
        <w:t>和检查工作（每月不得少于</w:t>
      </w:r>
      <w:r>
        <w:rPr>
          <w:rFonts w:hint="eastAsia" w:ascii="宋体" w:hAnsi="宋体" w:cs="宋体"/>
          <w:b w:val="0"/>
          <w:bCs w:val="0"/>
          <w:color w:val="0000FF"/>
          <w:szCs w:val="21"/>
          <w:highlight w:val="none"/>
          <w:u w:val="single"/>
          <w:lang w:val="en-US" w:eastAsia="zh-CN"/>
        </w:rPr>
        <w:t>两</w:t>
      </w:r>
      <w:r>
        <w:rPr>
          <w:rFonts w:hint="eastAsia" w:ascii="宋体" w:hAnsi="宋体" w:eastAsia="宋体" w:cs="宋体"/>
          <w:b w:val="0"/>
          <w:bCs w:val="0"/>
          <w:color w:val="0000FF"/>
          <w:szCs w:val="21"/>
          <w:highlight w:val="none"/>
          <w:u w:val="single"/>
          <w:lang w:val="zh-CN"/>
        </w:rPr>
        <w:t>次），并定期参加由发包人或监理人主持的月度例会，每缺席一次罚款</w:t>
      </w:r>
      <w:r>
        <w:rPr>
          <w:rFonts w:hint="eastAsia" w:ascii="宋体" w:hAnsi="宋体" w:cs="宋体"/>
          <w:b w:val="0"/>
          <w:bCs w:val="0"/>
          <w:color w:val="0000FF"/>
          <w:szCs w:val="21"/>
          <w:highlight w:val="none"/>
          <w:u w:val="single"/>
          <w:lang w:val="en-US" w:eastAsia="zh-CN"/>
        </w:rPr>
        <w:t>10</w:t>
      </w:r>
      <w:r>
        <w:rPr>
          <w:rFonts w:hint="eastAsia" w:ascii="宋体" w:hAnsi="宋体" w:eastAsia="宋体" w:cs="宋体"/>
          <w:b w:val="0"/>
          <w:bCs w:val="0"/>
          <w:color w:val="0000FF"/>
          <w:szCs w:val="21"/>
          <w:highlight w:val="none"/>
          <w:u w:val="single"/>
          <w:lang w:val="zh-CN"/>
        </w:rPr>
        <w:t>000元。</w:t>
      </w:r>
      <w:r>
        <w:rPr>
          <w:rFonts w:hint="eastAsia"/>
          <w:color w:val="0000FF"/>
          <w:sz w:val="21"/>
          <w:szCs w:val="21"/>
          <w:highlight w:val="none"/>
          <w:u w:val="single"/>
        </w:rPr>
        <w:t>并从工程款直接扣除，承包人不得有异议。承包人拟派管理团队人员应严格把关，对于项目经理、技术负责人、生产负责人、质量员、专职安全生产管理人员（安全员）、资料员、劳务员等主要人员，发包人将协同监理单位在施工过程中进行履职考核，对评定不合格的，将严格作换人处理；其他团队人员，如安全员、资料员、劳务员等，各岗位需至少配置1名熟悉厦门地区相关地方性规范要求的人员，保障建设工作的顺利推进</w:t>
      </w:r>
      <w:r>
        <w:rPr>
          <w:rFonts w:hint="eastAsia"/>
          <w:color w:val="0000FF"/>
          <w:sz w:val="21"/>
          <w:szCs w:val="21"/>
          <w:highlight w:val="none"/>
          <w:u w:val="single"/>
          <w:lang w:eastAsia="zh-CN"/>
        </w:rPr>
        <w:t>。</w:t>
      </w:r>
    </w:p>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Cs w:val="21"/>
          <w:highlight w:val="none"/>
          <w:u w:val="single"/>
          <w:lang w:val="zh-CN"/>
        </w:rPr>
      </w:pPr>
      <w:r>
        <w:rPr>
          <w:rFonts w:hint="eastAsia" w:ascii="微软雅黑" w:hAnsi="微软雅黑" w:eastAsia="微软雅黑" w:cs="微软雅黑"/>
          <w:color w:val="0000FF"/>
          <w:sz w:val="21"/>
          <w:szCs w:val="21"/>
          <w:highlight w:val="none"/>
          <w:u w:val="single"/>
        </w:rPr>
        <w:t>㉖</w:t>
      </w:r>
      <w:r>
        <w:rPr>
          <w:rFonts w:hint="eastAsia" w:ascii="宋体" w:hAnsi="宋体" w:eastAsia="宋体" w:cs="宋体"/>
          <w:b w:val="0"/>
          <w:bCs w:val="0"/>
          <w:color w:val="0000FF"/>
          <w:szCs w:val="21"/>
          <w:highlight w:val="none"/>
          <w:u w:val="single"/>
          <w:lang w:val="zh-CN"/>
        </w:rPr>
        <w:t>因受施工场地的限制，若施工场地无法满足今后施工需求，承包人须自行就近承租场地或申请临时用地、占道以及道路维修等以满足施工需要，承包人进场后需配合发包人办理相关手续并自行承担相应费用（含占道及农村用地所涉及的修复金、复垦费等）。承包人应已充分考虑施工期间产生的噪音、扬尘、震动、占地、通行、光线等对第三人或邻近建(构)筑物安全与正常使用的影响及其扰民费用，因上述扰民或民扰行为引发相关费用，以及因上述扰民或民扰行为引发的人身伤亡、罚款、索赔、赔偿、诉讼费和其它费等，已经包括在承包人的签约合同价(投标总报价)中，全部由承包人承担。造成工期延误的，不予工期签证。若出现村民干扰误工停工，对承包人按5万元/天进行处罚。</w:t>
      </w:r>
    </w:p>
    <w:p>
      <w:pPr>
        <w:widowControl/>
        <w:spacing w:line="360" w:lineRule="auto"/>
        <w:ind w:firstLine="420" w:firstLineChars="200"/>
        <w:jc w:val="left"/>
        <w:rPr>
          <w:rFonts w:cs="宋体"/>
          <w:color w:val="0000FF"/>
          <w:sz w:val="21"/>
          <w:szCs w:val="21"/>
          <w:highlight w:val="none"/>
          <w:u w:val="single"/>
        </w:rPr>
      </w:pPr>
      <w:r>
        <w:rPr>
          <w:rFonts w:hint="eastAsia" w:cs="宋体"/>
          <w:color w:val="0000FF"/>
          <w:sz w:val="21"/>
          <w:szCs w:val="21"/>
          <w:highlight w:val="none"/>
          <w:u w:val="single"/>
        </w:rPr>
        <w:t>㉗承包人应遵守建设单位的各项管理规定，服务建设单位管理，无条件接受其监督和检查，如因承包人原因遭到建设单位投诉、通报批评和罚款等，发包人有权按照10000元/次进行处罚，并从当期工程款直接扣除，承包人不得有异议。</w:t>
      </w:r>
    </w:p>
    <w:p>
      <w:pPr>
        <w:widowControl/>
        <w:spacing w:line="360" w:lineRule="auto"/>
        <w:ind w:firstLine="420" w:firstLineChars="200"/>
        <w:jc w:val="left"/>
        <w:rPr>
          <w:rFonts w:cs="宋体"/>
          <w:color w:val="0000FF"/>
          <w:sz w:val="21"/>
          <w:szCs w:val="21"/>
          <w:highlight w:val="none"/>
          <w:u w:val="single"/>
        </w:rPr>
      </w:pPr>
      <w:r>
        <w:rPr>
          <w:rFonts w:hint="eastAsia" w:cs="宋体"/>
          <w:color w:val="0000FF"/>
          <w:sz w:val="21"/>
          <w:szCs w:val="21"/>
          <w:highlight w:val="none"/>
          <w:u w:val="single"/>
        </w:rPr>
        <w:t>㉘</w:t>
      </w:r>
      <w:r>
        <w:rPr>
          <w:rFonts w:cs="宋体"/>
          <w:color w:val="0000FF"/>
          <w:sz w:val="21"/>
          <w:szCs w:val="21"/>
          <w:highlight w:val="none"/>
          <w:u w:val="single"/>
        </w:rPr>
        <w:t>因厦门市每年均有举办的重大节日、文明城市创建、中高考、金鸡奖、马拉松等重要活动，而进行的暂时停工、文明施工、安全防护、临时设施、宣传、现场协调和配合工作等产生的费用已包含在合同价款，不再另计。</w:t>
      </w:r>
    </w:p>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Cs w:val="21"/>
          <w:highlight w:val="none"/>
          <w:u w:val="single"/>
          <w:lang w:val="zh-CN"/>
        </w:rPr>
      </w:pPr>
      <w:r>
        <w:rPr>
          <w:rFonts w:hint="eastAsia" w:cs="宋体"/>
          <w:color w:val="0000FF"/>
          <w:sz w:val="21"/>
          <w:szCs w:val="21"/>
          <w:highlight w:val="none"/>
          <w:u w:val="single"/>
        </w:rPr>
        <w:t>㉙承包人同意接受和配合发包人（包括发包人所属控股子公司，下同）组织的第三方工程管理行为评估工作（包括第三方实测实量考核评估等，下同），根据发包人关于第三方工程管理行为评估的有关规定和要求，开展安全文明、施工质量的自查自纠行动，按要求进行整改，并应服从发包人第三方工程管理行为评估制度的奖惩措施。</w:t>
      </w:r>
    </w:p>
    <w:p>
      <w:pPr>
        <w:adjustRightInd w:val="0"/>
        <w:spacing w:line="360" w:lineRule="auto"/>
        <w:ind w:firstLine="420" w:firstLineChars="200"/>
        <w:textAlignment w:val="baseline"/>
        <w:rPr>
          <w:rFonts w:hint="eastAsia" w:cs="宋体"/>
          <w:color w:val="auto"/>
          <w:sz w:val="21"/>
          <w:szCs w:val="21"/>
          <w:highlight w:val="none"/>
        </w:rPr>
      </w:pPr>
      <w:r>
        <w:rPr>
          <w:rFonts w:hint="eastAsia" w:cs="宋体"/>
          <w:color w:val="0000FF"/>
          <w:sz w:val="21"/>
          <w:szCs w:val="21"/>
          <w:highlight w:val="none"/>
          <w:u w:val="single"/>
        </w:rPr>
        <w:t>㉚</w:t>
      </w:r>
      <w:r>
        <w:rPr>
          <w:rFonts w:hint="eastAsia" w:ascii="宋体" w:hAnsi="宋体" w:eastAsia="宋体" w:cs="宋体"/>
          <w:b w:val="0"/>
          <w:bCs w:val="0"/>
          <w:color w:val="0000FF"/>
          <w:kern w:val="1"/>
          <w:sz w:val="21"/>
          <w:szCs w:val="21"/>
          <w:highlight w:val="none"/>
          <w:u w:val="single"/>
          <w:lang w:val="zh-CN" w:eastAsia="zh-CN" w:bidi="ar-SA"/>
        </w:rPr>
        <w:t>承包人应做好本工程施工全过程影像资料记录工作，包括但不限于航拍、定点拍摄等，</w:t>
      </w:r>
      <w:r>
        <w:rPr>
          <w:rFonts w:hint="eastAsia" w:ascii="宋体" w:hAnsi="宋体" w:eastAsia="宋体" w:cs="宋体"/>
          <w:b w:val="0"/>
          <w:bCs w:val="0"/>
          <w:color w:val="0000FF"/>
          <w:kern w:val="1"/>
          <w:sz w:val="21"/>
          <w:szCs w:val="21"/>
          <w:highlight w:val="none"/>
          <w:u w:val="single"/>
          <w:lang w:val="en-US" w:eastAsia="zh-CN" w:bidi="ar-SA"/>
        </w:rPr>
        <w:t>同时要自行办理航拍相关手续，</w:t>
      </w:r>
      <w:r>
        <w:rPr>
          <w:rFonts w:hint="eastAsia" w:ascii="宋体" w:hAnsi="宋体" w:eastAsia="宋体" w:cs="宋体"/>
          <w:b w:val="0"/>
          <w:bCs w:val="0"/>
          <w:color w:val="0000FF"/>
          <w:kern w:val="1"/>
          <w:sz w:val="21"/>
          <w:szCs w:val="21"/>
          <w:highlight w:val="none"/>
          <w:u w:val="single"/>
          <w:lang w:val="zh-CN" w:eastAsia="zh-CN" w:bidi="ar-SA"/>
        </w:rPr>
        <w:t>具体成果以发包人实际需求为准，相关费用承包人应在投标报价中综合考虑，发包人不再另行支付</w:t>
      </w:r>
      <w:r>
        <w:rPr>
          <w:rFonts w:hint="eastAsia" w:cs="宋体"/>
          <w:color w:val="auto"/>
          <w:sz w:val="21"/>
          <w:szCs w:val="21"/>
          <w:highlight w:val="none"/>
        </w:rPr>
        <w:t>。</w:t>
      </w:r>
    </w:p>
    <w:p>
      <w:pPr>
        <w:widowControl/>
        <w:spacing w:line="360" w:lineRule="auto"/>
        <w:ind w:firstLine="420" w:firstLineChars="200"/>
        <w:jc w:val="left"/>
        <w:rPr>
          <w:rFonts w:cs="宋体"/>
          <w:color w:val="0000FF"/>
          <w:sz w:val="21"/>
          <w:szCs w:val="21"/>
          <w:highlight w:val="none"/>
          <w:u w:val="single"/>
        </w:rPr>
      </w:pPr>
      <w:r>
        <w:rPr>
          <w:rFonts w:hint="eastAsia" w:cs="宋体"/>
          <w:color w:val="0000FF"/>
          <w:sz w:val="21"/>
          <w:szCs w:val="21"/>
          <w:highlight w:val="none"/>
          <w:u w:val="single"/>
        </w:rPr>
        <w:t>㉛承包人应按照发包人样板管理要求，做好材料封样与施工样板管理。按不同功能空间完成</w:t>
      </w:r>
      <w:r>
        <w:rPr>
          <w:rFonts w:hint="eastAsia" w:cs="宋体"/>
          <w:color w:val="0000FF"/>
          <w:sz w:val="21"/>
          <w:szCs w:val="21"/>
          <w:highlight w:val="none"/>
          <w:u w:val="single"/>
          <w:lang w:val="en-US" w:eastAsia="zh-CN"/>
        </w:rPr>
        <w:t>工艺及</w:t>
      </w:r>
      <w:r>
        <w:rPr>
          <w:rFonts w:hint="eastAsia" w:cs="宋体"/>
          <w:color w:val="0000FF"/>
          <w:sz w:val="21"/>
          <w:szCs w:val="21"/>
          <w:highlight w:val="none"/>
          <w:u w:val="single"/>
        </w:rPr>
        <w:t>交付样板施工，并通知发包人及监理进行验收，验收合格后方可大批量开始施工，每道工序开始前，需提前完成工艺工法样板，并通知发包人及监理进行验收，验收合格后方可大批量开始施工。如批量施工前未完成样板验收，</w:t>
      </w:r>
      <w:r>
        <w:rPr>
          <w:rFonts w:hint="eastAsia" w:cs="宋体"/>
          <w:color w:val="0000FF"/>
          <w:sz w:val="21"/>
          <w:szCs w:val="21"/>
          <w:highlight w:val="none"/>
          <w:u w:val="single"/>
          <w:lang w:val="en-US" w:eastAsia="zh-CN"/>
        </w:rPr>
        <w:t>工艺样板每次缺失处以承包人6000元罚款，</w:t>
      </w:r>
      <w:r>
        <w:rPr>
          <w:rFonts w:hint="eastAsia" w:cs="宋体"/>
          <w:color w:val="0000FF"/>
          <w:sz w:val="21"/>
          <w:szCs w:val="21"/>
          <w:highlight w:val="none"/>
          <w:u w:val="single"/>
        </w:rPr>
        <w:t>交付样板每次缺失处以承包人</w:t>
      </w:r>
      <w:r>
        <w:rPr>
          <w:rFonts w:hint="eastAsia" w:cs="宋体"/>
          <w:color w:val="0000FF"/>
          <w:sz w:val="21"/>
          <w:szCs w:val="21"/>
          <w:highlight w:val="none"/>
          <w:u w:val="single"/>
          <w:lang w:val="en-US" w:eastAsia="zh-CN"/>
        </w:rPr>
        <w:t>30</w:t>
      </w:r>
      <w:r>
        <w:rPr>
          <w:rFonts w:hint="eastAsia" w:cs="宋体"/>
          <w:color w:val="0000FF"/>
          <w:sz w:val="21"/>
          <w:szCs w:val="21"/>
          <w:highlight w:val="none"/>
          <w:u w:val="single"/>
        </w:rPr>
        <w:t>000元罚款。承包人应在发包人通知的时限范围内完成施工样品送样工作，若未在发包人限定的时限内完成送样工作则给予相应处罚（具体处罚措施及力度由发包人视具体情况确定）。施工样品送建设单位确认前应结合设计封样及施工样品管理要求进行自查，若单次送样评审合格率不达70%或单件样品累计送样三次不合格则给予相应处罚（具体处罚措施及力度由发包人视具体情况确定）。未经建设单位及设计单位确认的施工材料擅自上墙施工的，一切费用及后果自行承担。承包人应按照发包人精装修工序管理作业流程要求设置质量验收停歇点进行验收，包括但不限于深化图纸确认、淋水试验、水管打压验收、各类隐蔽验收、模拟验收等，对于未按发包人工序管理要求进行验收的，则处以承包人5000元/项罚款。</w:t>
      </w:r>
    </w:p>
    <w:p>
      <w:pPr>
        <w:widowControl/>
        <w:spacing w:line="360" w:lineRule="auto"/>
        <w:ind w:firstLine="420" w:firstLineChars="200"/>
        <w:jc w:val="left"/>
        <w:rPr>
          <w:rFonts w:cs="宋体"/>
          <w:color w:val="0000FF"/>
          <w:sz w:val="21"/>
          <w:szCs w:val="21"/>
          <w:highlight w:val="none"/>
          <w:u w:val="single"/>
        </w:rPr>
      </w:pPr>
      <w:r>
        <w:rPr>
          <w:rFonts w:hint="eastAsia" w:cs="宋体"/>
          <w:color w:val="0000FF"/>
          <w:sz w:val="21"/>
          <w:szCs w:val="21"/>
          <w:highlight w:val="none"/>
          <w:u w:val="single"/>
        </w:rPr>
        <w:t>㉜ 承包人应建立项目智慧运行中心 (IOC)，实现可视频、可控、可管的目标(智慧平台功能包含且不限于综合预警、人员管理、车辆管理、安全监测、质量管理、进度管理、绿色施工、联动指挥等)，包括且不限于实名制劳务监管系统、远程视频监控系统、AI 智能识别系统、文明施工监察系统、质量巡查系统、安全监管系统、特种设备监测系统、车辆管理系统等且需满足《厦门市房屋市政工程智慧工地建设指引》（试行）（厦建工[2023]85号），相关费用已在投标报价中综合考虑，发包人不再另行支付。</w:t>
      </w:r>
    </w:p>
    <w:p>
      <w:pPr>
        <w:pStyle w:val="24"/>
        <w:ind w:firstLine="420" w:firstLineChars="200"/>
        <w:rPr>
          <w:rFonts w:hint="eastAsia" w:ascii="宋体" w:hAnsi="宋体" w:cs="宋体"/>
          <w:color w:val="0000FF"/>
          <w:kern w:val="0"/>
          <w:szCs w:val="21"/>
          <w:highlight w:val="none"/>
          <w:u w:val="single"/>
        </w:rPr>
      </w:pPr>
      <w:r>
        <w:rPr>
          <w:rFonts w:hint="eastAsia" w:ascii="宋体" w:hAnsi="宋体" w:cs="宋体"/>
          <w:color w:val="0000FF"/>
          <w:kern w:val="0"/>
          <w:sz w:val="21"/>
          <w:szCs w:val="21"/>
          <w:highlight w:val="none"/>
          <w:u w:val="single"/>
        </w:rPr>
        <w:t>㉝承包人同意接受发包人建设标准及制度（国贸质量、安文等标准及制度）更新，按最新建设标准实施，并应服从发包人最新建设标准及制度的奖惩措施。</w:t>
      </w:r>
    </w:p>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3.2 项目负责人</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3.2.1 项目负责人：</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姓    名：</w:t>
      </w:r>
      <w:r>
        <w:rPr>
          <w:rFonts w:hint="eastAsia" w:ascii="宋体" w:hAnsi="宋体" w:cs="宋体"/>
          <w:color w:val="0000FF"/>
          <w:sz w:val="21"/>
          <w:szCs w:val="21"/>
          <w:highlight w:val="none"/>
          <w:u w:val="single"/>
        </w:rPr>
        <w:t>（签订合同时填写）</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身份证号：</w:t>
      </w:r>
      <w:r>
        <w:rPr>
          <w:rFonts w:hint="eastAsia" w:ascii="宋体" w:hAnsi="宋体" w:cs="宋体"/>
          <w:color w:val="0000FF"/>
          <w:sz w:val="21"/>
          <w:szCs w:val="21"/>
          <w:highlight w:val="none"/>
          <w:u w:val="single"/>
        </w:rPr>
        <w:t>（签订合同时填写）</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建造师执业资格等级：</w:t>
      </w:r>
      <w:r>
        <w:rPr>
          <w:rFonts w:hint="eastAsia" w:ascii="宋体" w:hAnsi="宋体" w:cs="宋体"/>
          <w:color w:val="0000FF"/>
          <w:sz w:val="21"/>
          <w:szCs w:val="21"/>
          <w:highlight w:val="none"/>
          <w:u w:val="single"/>
        </w:rPr>
        <w:t>（签订合同时填写）</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建造师注册编号：</w:t>
      </w:r>
      <w:r>
        <w:rPr>
          <w:rFonts w:hint="eastAsia" w:ascii="宋体" w:hAnsi="宋体" w:cs="宋体"/>
          <w:color w:val="0000FF"/>
          <w:sz w:val="21"/>
          <w:szCs w:val="21"/>
          <w:highlight w:val="none"/>
          <w:u w:val="single"/>
        </w:rPr>
        <w:t>（签订合同时填写）</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建造师执业印章号：</w:t>
      </w:r>
      <w:r>
        <w:rPr>
          <w:rFonts w:hint="eastAsia" w:ascii="宋体" w:hAnsi="宋体" w:cs="宋体"/>
          <w:color w:val="0000FF"/>
          <w:sz w:val="21"/>
          <w:szCs w:val="21"/>
          <w:highlight w:val="none"/>
          <w:u w:val="single"/>
        </w:rPr>
        <w:t>（签订合同时填写）</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安全生产考核合格证书号：</w:t>
      </w:r>
      <w:r>
        <w:rPr>
          <w:rFonts w:hint="eastAsia" w:ascii="宋体" w:hAnsi="宋体" w:cs="宋体"/>
          <w:color w:val="0000FF"/>
          <w:sz w:val="21"/>
          <w:szCs w:val="21"/>
          <w:highlight w:val="none"/>
          <w:u w:val="single"/>
        </w:rPr>
        <w:t>（签订合同时填写）</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联系电话：</w:t>
      </w:r>
      <w:r>
        <w:rPr>
          <w:rFonts w:hint="eastAsia" w:ascii="宋体" w:hAnsi="宋体" w:cs="宋体"/>
          <w:color w:val="0000FF"/>
          <w:sz w:val="21"/>
          <w:szCs w:val="21"/>
          <w:highlight w:val="none"/>
          <w:u w:val="single"/>
        </w:rPr>
        <w:t>（签订合同时填写）</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电子信箱：</w:t>
      </w:r>
      <w:r>
        <w:rPr>
          <w:rFonts w:hint="eastAsia" w:ascii="宋体" w:hAnsi="宋体" w:cs="宋体"/>
          <w:color w:val="0000FF"/>
          <w:sz w:val="21"/>
          <w:szCs w:val="21"/>
          <w:highlight w:val="none"/>
          <w:u w:val="single"/>
        </w:rPr>
        <w:t>（签订合同时填写）</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通信地址：</w:t>
      </w:r>
      <w:r>
        <w:rPr>
          <w:rFonts w:hint="eastAsia" w:ascii="宋体" w:hAnsi="宋体" w:cs="宋体"/>
          <w:color w:val="0000FF"/>
          <w:sz w:val="21"/>
          <w:szCs w:val="21"/>
          <w:highlight w:val="none"/>
          <w:u w:val="single"/>
        </w:rPr>
        <w:t>（签订合同时填写）</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承包人对项目负责人的授权范围如下：</w:t>
      </w:r>
      <w:r>
        <w:rPr>
          <w:rFonts w:hint="eastAsia" w:ascii="宋体" w:hAnsi="宋体" w:eastAsia="宋体" w:cs="宋体"/>
          <w:color w:val="0000FF"/>
          <w:sz w:val="21"/>
          <w:szCs w:val="21"/>
          <w:highlight w:val="none"/>
          <w:u w:val="single"/>
        </w:rPr>
        <w:t>承包人的全权负责人，行使本工程施工合同所赋予的职权和工作</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关于项目负责人每月在施工现场的时间要求：</w:t>
      </w:r>
      <w:r>
        <w:rPr>
          <w:rFonts w:hint="eastAsia" w:ascii="宋体" w:hAnsi="宋体" w:eastAsia="宋体" w:cs="宋体"/>
          <w:color w:val="0000FF"/>
          <w:sz w:val="21"/>
          <w:szCs w:val="21"/>
          <w:highlight w:val="none"/>
          <w:u w:val="single"/>
        </w:rPr>
        <w:t>不少于当月实际施工天数的80%，项目负责人离开现场时应当按照通用合同条款约定作好工作安排</w:t>
      </w:r>
      <w:r>
        <w:rPr>
          <w:rFonts w:hint="eastAsia" w:cs="宋体"/>
          <w:color w:val="auto"/>
          <w:sz w:val="21"/>
          <w:szCs w:val="21"/>
          <w:highlight w:val="none"/>
        </w:rPr>
        <w:t>。</w:t>
      </w:r>
    </w:p>
    <w:p>
      <w:pPr>
        <w:adjustRightInd w:val="0"/>
        <w:spacing w:line="360" w:lineRule="auto"/>
        <w:ind w:firstLine="420" w:firstLineChars="200"/>
        <w:jc w:val="left"/>
        <w:textAlignment w:val="baseline"/>
        <w:rPr>
          <w:rFonts w:hint="eastAsia" w:ascii="宋体" w:hAnsi="宋体" w:eastAsia="宋体" w:cs="宋体"/>
          <w:color w:val="0000FF"/>
          <w:sz w:val="21"/>
          <w:szCs w:val="21"/>
          <w:highlight w:val="none"/>
          <w:u w:val="single"/>
        </w:rPr>
      </w:pPr>
      <w:r>
        <w:rPr>
          <w:rFonts w:hint="eastAsia" w:cs="宋体"/>
          <w:color w:val="auto"/>
          <w:sz w:val="21"/>
          <w:szCs w:val="21"/>
          <w:highlight w:val="none"/>
        </w:rPr>
        <w:t>承包人未提交劳动合同，以及没有为项目负责人缴纳社会保险证明的违约责任：</w:t>
      </w:r>
      <w:r>
        <w:rPr>
          <w:rFonts w:hint="eastAsia" w:ascii="宋体" w:hAnsi="宋体" w:eastAsia="宋体" w:cs="宋体"/>
          <w:color w:val="0000FF"/>
          <w:sz w:val="21"/>
          <w:szCs w:val="21"/>
          <w:highlight w:val="none"/>
          <w:u w:val="single"/>
        </w:rPr>
        <w:t>发包人有权要求更换项目负责人，并有权按照</w:t>
      </w:r>
      <w:r>
        <w:rPr>
          <w:rFonts w:hint="eastAsia" w:cs="宋体"/>
          <w:color w:val="0000FF"/>
          <w:sz w:val="21"/>
          <w:szCs w:val="21"/>
          <w:highlight w:val="none"/>
          <w:u w:val="single"/>
          <w:lang w:val="en-US" w:eastAsia="zh-CN"/>
        </w:rPr>
        <w:t>5</w:t>
      </w:r>
      <w:r>
        <w:rPr>
          <w:rFonts w:hint="eastAsia" w:ascii="宋体" w:hAnsi="宋体" w:eastAsia="宋体" w:cs="宋体"/>
          <w:color w:val="0000FF"/>
          <w:sz w:val="21"/>
          <w:szCs w:val="21"/>
          <w:highlight w:val="none"/>
          <w:u w:val="single"/>
        </w:rPr>
        <w:t>00000元/人次对承包人进行处罚。</w:t>
      </w:r>
    </w:p>
    <w:p>
      <w:pPr>
        <w:adjustRightInd w:val="0"/>
        <w:spacing w:line="360" w:lineRule="auto"/>
        <w:ind w:firstLine="420" w:firstLineChars="200"/>
        <w:textAlignment w:val="baseline"/>
        <w:rPr>
          <w:rFonts w:cs="宋体"/>
          <w:color w:val="auto"/>
          <w:sz w:val="21"/>
          <w:szCs w:val="21"/>
          <w:highlight w:val="none"/>
          <w:u w:val="single"/>
        </w:rPr>
      </w:pPr>
      <w:r>
        <w:rPr>
          <w:rFonts w:hint="eastAsia" w:cs="宋体"/>
          <w:color w:val="auto"/>
          <w:sz w:val="21"/>
          <w:szCs w:val="21"/>
          <w:highlight w:val="none"/>
        </w:rPr>
        <w:t>项目负责人未经批准，擅自离开施工现场的违约责任：</w:t>
      </w:r>
      <w:r>
        <w:rPr>
          <w:rFonts w:hint="eastAsia" w:ascii="宋体" w:hAnsi="宋体" w:eastAsia="宋体" w:cs="宋体"/>
          <w:color w:val="0000FF"/>
          <w:sz w:val="21"/>
          <w:szCs w:val="21"/>
          <w:highlight w:val="none"/>
          <w:u w:val="single"/>
        </w:rPr>
        <w:t>按照</w:t>
      </w:r>
      <w:r>
        <w:rPr>
          <w:rFonts w:hint="eastAsia" w:cs="宋体"/>
          <w:color w:val="0000FF"/>
          <w:sz w:val="21"/>
          <w:szCs w:val="21"/>
          <w:highlight w:val="none"/>
          <w:u w:val="single"/>
          <w:lang w:val="en-US" w:eastAsia="zh-CN"/>
        </w:rPr>
        <w:t>10000</w:t>
      </w:r>
      <w:r>
        <w:rPr>
          <w:rFonts w:hint="eastAsia" w:ascii="宋体" w:hAnsi="宋体" w:eastAsia="宋体" w:cs="宋体"/>
          <w:color w:val="0000FF"/>
          <w:sz w:val="21"/>
          <w:szCs w:val="21"/>
          <w:highlight w:val="none"/>
          <w:u w:val="single"/>
        </w:rPr>
        <w:t>元/次承担违约金</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3.2.3 承包人擅自更换项目负责人的违约责任：</w:t>
      </w:r>
      <w:r>
        <w:rPr>
          <w:rFonts w:hint="eastAsia" w:ascii="宋体" w:hAnsi="宋体" w:eastAsia="宋体" w:cs="宋体"/>
          <w:color w:val="0000FF"/>
          <w:sz w:val="21"/>
          <w:szCs w:val="21"/>
          <w:highlight w:val="none"/>
          <w:u w:val="single"/>
        </w:rPr>
        <w:t>按照</w:t>
      </w:r>
      <w:r>
        <w:rPr>
          <w:rFonts w:hint="eastAsia" w:cs="宋体"/>
          <w:color w:val="0000FF"/>
          <w:sz w:val="21"/>
          <w:szCs w:val="21"/>
          <w:highlight w:val="none"/>
          <w:u w:val="single"/>
          <w:lang w:val="en-US" w:eastAsia="zh-CN"/>
        </w:rPr>
        <w:t>5</w:t>
      </w:r>
      <w:r>
        <w:rPr>
          <w:rFonts w:hint="eastAsia" w:ascii="宋体" w:hAnsi="宋体" w:eastAsia="宋体" w:cs="宋体"/>
          <w:color w:val="0000FF"/>
          <w:sz w:val="21"/>
          <w:szCs w:val="21"/>
          <w:highlight w:val="none"/>
          <w:u w:val="single"/>
        </w:rPr>
        <w:t>00000元/次承担违约金</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3.2.4 承包人无正当理由拒绝更换项目负责人的违约责任：</w:t>
      </w:r>
      <w:r>
        <w:rPr>
          <w:rFonts w:hint="eastAsia" w:ascii="宋体" w:hAnsi="宋体" w:eastAsia="宋体" w:cs="宋体"/>
          <w:color w:val="0000FF"/>
          <w:sz w:val="21"/>
          <w:szCs w:val="21"/>
          <w:highlight w:val="none"/>
          <w:u w:val="single"/>
        </w:rPr>
        <w:t>按照</w:t>
      </w:r>
      <w:r>
        <w:rPr>
          <w:rFonts w:hint="eastAsia" w:cs="宋体"/>
          <w:color w:val="0000FF"/>
          <w:sz w:val="21"/>
          <w:szCs w:val="21"/>
          <w:highlight w:val="none"/>
          <w:u w:val="single"/>
          <w:lang w:val="en-US" w:eastAsia="zh-CN"/>
        </w:rPr>
        <w:t>500000</w:t>
      </w:r>
      <w:r>
        <w:rPr>
          <w:rFonts w:hint="eastAsia" w:ascii="宋体" w:hAnsi="宋体" w:eastAsia="宋体" w:cs="宋体"/>
          <w:color w:val="0000FF"/>
          <w:sz w:val="21"/>
          <w:szCs w:val="21"/>
          <w:highlight w:val="none"/>
          <w:u w:val="single"/>
        </w:rPr>
        <w:t>元/次承担违约金</w:t>
      </w:r>
      <w:r>
        <w:rPr>
          <w:rFonts w:hint="eastAsia" w:cs="宋体"/>
          <w:color w:val="auto"/>
          <w:sz w:val="21"/>
          <w:szCs w:val="21"/>
          <w:highlight w:val="none"/>
        </w:rPr>
        <w:t>。</w:t>
      </w:r>
    </w:p>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3.3 承包人人员</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3.3.1 承包人提交项目管理机构及施工现场管理人员安排报告的期限：</w:t>
      </w:r>
      <w:r>
        <w:rPr>
          <w:rFonts w:hint="eastAsia" w:ascii="宋体" w:hAnsi="宋体" w:eastAsia="宋体" w:cs="宋体"/>
          <w:color w:val="0000FF"/>
          <w:sz w:val="21"/>
          <w:szCs w:val="21"/>
          <w:highlight w:val="none"/>
          <w:u w:val="single"/>
        </w:rPr>
        <w:t>执行通用合同条款</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u w:val="single"/>
        </w:rPr>
      </w:pPr>
      <w:r>
        <w:rPr>
          <w:rFonts w:hint="eastAsia" w:cs="宋体"/>
          <w:color w:val="auto"/>
          <w:sz w:val="21"/>
          <w:szCs w:val="21"/>
          <w:highlight w:val="none"/>
        </w:rPr>
        <w:t>3.3.3 承包人无正当理由拒绝撤换主要施工管理人员的违约责任：</w:t>
      </w:r>
      <w:r>
        <w:rPr>
          <w:rFonts w:hint="eastAsia" w:ascii="宋体" w:hAnsi="宋体" w:eastAsia="宋体" w:cs="宋体"/>
          <w:color w:val="0000FF"/>
          <w:sz w:val="21"/>
          <w:szCs w:val="21"/>
          <w:highlight w:val="none"/>
          <w:u w:val="single"/>
        </w:rPr>
        <w:t>按照</w:t>
      </w:r>
      <w:r>
        <w:rPr>
          <w:rFonts w:hint="eastAsia" w:cs="宋体"/>
          <w:color w:val="0000FF"/>
          <w:sz w:val="21"/>
          <w:szCs w:val="21"/>
          <w:highlight w:val="none"/>
          <w:u w:val="single"/>
          <w:lang w:val="en-US" w:eastAsia="zh-CN"/>
        </w:rPr>
        <w:t>5</w:t>
      </w:r>
      <w:r>
        <w:rPr>
          <w:rFonts w:hint="eastAsia" w:ascii="宋体" w:hAnsi="宋体" w:eastAsia="宋体" w:cs="宋体"/>
          <w:color w:val="0000FF"/>
          <w:sz w:val="21"/>
          <w:szCs w:val="21"/>
          <w:highlight w:val="none"/>
          <w:u w:val="single"/>
        </w:rPr>
        <w:t>0000元/人次承担违约金</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3.3.4 承包人主要施工管理人员离开施工现场的批准要求：</w:t>
      </w:r>
      <w:r>
        <w:rPr>
          <w:rFonts w:hint="eastAsia" w:ascii="宋体" w:hAnsi="宋体" w:eastAsia="宋体" w:cs="宋体"/>
          <w:color w:val="0000FF"/>
          <w:sz w:val="21"/>
          <w:szCs w:val="21"/>
          <w:highlight w:val="none"/>
          <w:u w:val="single"/>
        </w:rPr>
        <w:t>执行通用合同条款</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u w:val="single"/>
        </w:rPr>
      </w:pPr>
      <w:r>
        <w:rPr>
          <w:rFonts w:hint="eastAsia" w:cs="宋体"/>
          <w:color w:val="auto"/>
          <w:sz w:val="21"/>
          <w:szCs w:val="21"/>
          <w:highlight w:val="none"/>
        </w:rPr>
        <w:t>3.3.5承包人擅自更换主要施工管理人员的违约责任：</w:t>
      </w:r>
      <w:r>
        <w:rPr>
          <w:rFonts w:hint="eastAsia" w:ascii="宋体" w:hAnsi="宋体" w:eastAsia="宋体" w:cs="宋体"/>
          <w:color w:val="0000FF"/>
          <w:sz w:val="21"/>
          <w:szCs w:val="21"/>
          <w:highlight w:val="none"/>
          <w:u w:val="single"/>
        </w:rPr>
        <w:t>按照</w:t>
      </w:r>
      <w:r>
        <w:rPr>
          <w:rFonts w:hint="eastAsia" w:cs="宋体"/>
          <w:color w:val="0000FF"/>
          <w:sz w:val="21"/>
          <w:szCs w:val="21"/>
          <w:highlight w:val="none"/>
          <w:u w:val="single"/>
          <w:lang w:val="en-US" w:eastAsia="zh-CN"/>
        </w:rPr>
        <w:t>5</w:t>
      </w:r>
      <w:r>
        <w:rPr>
          <w:rFonts w:hint="eastAsia" w:ascii="宋体" w:hAnsi="宋体" w:eastAsia="宋体" w:cs="宋体"/>
          <w:color w:val="0000FF"/>
          <w:sz w:val="21"/>
          <w:szCs w:val="21"/>
          <w:highlight w:val="none"/>
          <w:u w:val="single"/>
        </w:rPr>
        <w:t>0000元/人次承担违约金</w:t>
      </w:r>
      <w:r>
        <w:rPr>
          <w:rFonts w:hint="eastAsia" w:cs="宋体"/>
          <w:color w:val="auto"/>
          <w:sz w:val="21"/>
          <w:szCs w:val="21"/>
          <w:highlight w:val="none"/>
        </w:rPr>
        <w:t>。</w:t>
      </w:r>
    </w:p>
    <w:p>
      <w:pPr>
        <w:spacing w:line="300" w:lineRule="auto"/>
        <w:ind w:firstLine="420" w:firstLineChars="200"/>
        <w:rPr>
          <w:rFonts w:hint="eastAsia" w:ascii="宋体" w:hAnsi="宋体" w:eastAsia="宋体" w:cs="宋体"/>
          <w:color w:val="0000FF"/>
          <w:sz w:val="21"/>
          <w:szCs w:val="21"/>
          <w:highlight w:val="none"/>
          <w:u w:val="single"/>
          <w:lang w:eastAsia="zh-CN"/>
        </w:rPr>
      </w:pPr>
      <w:r>
        <w:rPr>
          <w:rFonts w:hint="eastAsia" w:cs="宋体"/>
          <w:color w:val="auto"/>
          <w:sz w:val="21"/>
          <w:szCs w:val="21"/>
          <w:highlight w:val="none"/>
        </w:rPr>
        <w:t>承包人主要施工管理人员擅自离开施工现场的违约责任：</w:t>
      </w:r>
      <w:r>
        <w:rPr>
          <w:rFonts w:hint="eastAsia" w:ascii="宋体" w:hAnsi="宋体" w:eastAsia="宋体" w:cs="宋体"/>
          <w:color w:val="0000FF"/>
          <w:sz w:val="21"/>
          <w:szCs w:val="21"/>
          <w:highlight w:val="none"/>
          <w:u w:val="single"/>
        </w:rPr>
        <w:t>按照5000元/人次承担违约金</w:t>
      </w:r>
      <w:r>
        <w:rPr>
          <w:rFonts w:hint="eastAsia" w:ascii="宋体" w:hAnsi="宋体" w:eastAsia="宋体" w:cs="宋体"/>
          <w:color w:val="auto"/>
          <w:sz w:val="21"/>
          <w:szCs w:val="21"/>
          <w:highlight w:val="none"/>
          <w:lang w:eastAsia="zh-CN"/>
        </w:rPr>
        <w:t>。</w:t>
      </w:r>
    </w:p>
    <w:p>
      <w:pPr>
        <w:adjustRightInd w:val="0"/>
        <w:spacing w:after="120" w:line="360" w:lineRule="auto"/>
        <w:ind w:firstLine="420" w:firstLineChars="200"/>
        <w:textAlignment w:val="baseline"/>
        <w:rPr>
          <w:rFonts w:hint="eastAsia" w:cs="宋体"/>
          <w:color w:val="auto"/>
          <w:sz w:val="21"/>
          <w:szCs w:val="21"/>
          <w:highlight w:val="none"/>
        </w:rPr>
      </w:pPr>
    </w:p>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3.5 分包</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3.5.1 分包的一般约定</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禁止分包的工程包括：</w:t>
      </w:r>
      <w:r>
        <w:rPr>
          <w:rFonts w:hint="eastAsia" w:ascii="宋体" w:hAnsi="Times New Roman" w:eastAsia="宋体" w:cs="Times New Roman"/>
          <w:color w:val="0000FF"/>
          <w:sz w:val="21"/>
          <w:szCs w:val="21"/>
          <w:highlight w:val="none"/>
          <w:u w:val="single"/>
        </w:rPr>
        <w:t>执行通用合同条款</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u w:val="single"/>
        </w:rPr>
      </w:pPr>
      <w:r>
        <w:rPr>
          <w:rFonts w:hint="eastAsia" w:cs="宋体"/>
          <w:color w:val="auto"/>
          <w:sz w:val="21"/>
          <w:szCs w:val="21"/>
          <w:highlight w:val="none"/>
        </w:rPr>
        <w:t>主体结构、关键性工作的范围：</w:t>
      </w:r>
      <w:r>
        <w:rPr>
          <w:rFonts w:hint="eastAsia" w:cs="宋体"/>
          <w:color w:val="0000FF"/>
          <w:sz w:val="21"/>
          <w:szCs w:val="21"/>
          <w:highlight w:val="none"/>
          <w:u w:val="single"/>
        </w:rPr>
        <w:t>（签订合同时填写）</w:t>
      </w:r>
      <w:r>
        <w:rPr>
          <w:rFonts w:hint="eastAsia" w:cs="宋体"/>
          <w:color w:val="auto"/>
          <w:sz w:val="21"/>
          <w:szCs w:val="21"/>
          <w:highlight w:val="none"/>
        </w:rPr>
        <w:t>。</w:t>
      </w:r>
    </w:p>
    <w:p>
      <w:pPr>
        <w:adjustRightInd w:val="0"/>
        <w:spacing w:line="360" w:lineRule="auto"/>
        <w:textAlignment w:val="baseline"/>
        <w:rPr>
          <w:rFonts w:cs="宋体"/>
          <w:color w:val="auto"/>
          <w:sz w:val="21"/>
          <w:szCs w:val="21"/>
          <w:highlight w:val="none"/>
        </w:rPr>
      </w:pPr>
      <w:r>
        <w:rPr>
          <w:rFonts w:hint="eastAsia" w:cs="宋体"/>
          <w:color w:val="auto"/>
          <w:sz w:val="21"/>
          <w:szCs w:val="21"/>
          <w:highlight w:val="none"/>
        </w:rPr>
        <w:t xml:space="preserve">    3.5.2分包的确定</w:t>
      </w:r>
    </w:p>
    <w:p>
      <w:pPr>
        <w:spacing w:line="300" w:lineRule="auto"/>
        <w:ind w:firstLine="420" w:firstLineChars="200"/>
        <w:rPr>
          <w:rFonts w:hint="eastAsia" w:ascii="宋体" w:hAnsi="宋体" w:eastAsia="宋体" w:cs="宋体"/>
          <w:color w:val="0000FF"/>
          <w:sz w:val="21"/>
          <w:szCs w:val="21"/>
          <w:highlight w:val="none"/>
          <w:u w:val="single"/>
        </w:rPr>
      </w:pPr>
      <w:r>
        <w:rPr>
          <w:rFonts w:hint="eastAsia" w:cs="宋体"/>
          <w:color w:val="auto"/>
          <w:sz w:val="21"/>
          <w:szCs w:val="21"/>
          <w:highlight w:val="none"/>
        </w:rPr>
        <w:t>允许分包的专业工程包括：</w:t>
      </w:r>
      <w:r>
        <w:rPr>
          <w:rFonts w:hint="eastAsia" w:ascii="宋体" w:hAnsi="宋体" w:eastAsia="宋体" w:cs="宋体"/>
          <w:color w:val="0000FF"/>
          <w:sz w:val="21"/>
          <w:szCs w:val="21"/>
          <w:highlight w:val="none"/>
          <w:u w:val="single"/>
        </w:rPr>
        <w:t>鉴于本工程对专业工程施工质量要求较高，如承包人不具有相应专业工程施工经验、能力和条件的，发包人有权要求承包人进行专业工程分包（包括精装修工程、电梯工程</w:t>
      </w:r>
      <w:r>
        <w:rPr>
          <w:rFonts w:hint="eastAsia" w:cs="宋体"/>
          <w:color w:val="0000FF"/>
          <w:sz w:val="21"/>
          <w:szCs w:val="21"/>
          <w:highlight w:val="none"/>
          <w:u w:val="single"/>
          <w:lang w:eastAsia="zh-CN"/>
        </w:rPr>
        <w:t>、</w:t>
      </w:r>
      <w:r>
        <w:rPr>
          <w:rFonts w:hint="eastAsia" w:ascii="宋体" w:hAnsi="宋体" w:eastAsia="宋体" w:cs="宋体"/>
          <w:color w:val="0000FF"/>
          <w:sz w:val="21"/>
          <w:szCs w:val="21"/>
          <w:highlight w:val="none"/>
          <w:u w:val="single"/>
        </w:rPr>
        <w:t>景观工程、铝合金门窗工程</w:t>
      </w:r>
      <w:r>
        <w:rPr>
          <w:rFonts w:hint="eastAsia" w:cs="宋体"/>
          <w:color w:val="0000FF"/>
          <w:sz w:val="21"/>
          <w:szCs w:val="21"/>
          <w:highlight w:val="none"/>
          <w:u w:val="single"/>
          <w:lang w:eastAsia="zh-CN"/>
        </w:rPr>
        <w:t>、</w:t>
      </w:r>
      <w:r>
        <w:rPr>
          <w:rFonts w:hint="eastAsia" w:ascii="宋体" w:hAnsi="宋体" w:eastAsia="宋体" w:cs="宋体"/>
          <w:color w:val="0000FF"/>
          <w:kern w:val="0"/>
          <w:sz w:val="21"/>
          <w:szCs w:val="21"/>
          <w:highlight w:val="none"/>
          <w:u w:val="single"/>
        </w:rPr>
        <w:t>通风空调工程</w:t>
      </w:r>
      <w:r>
        <w:rPr>
          <w:rFonts w:hint="eastAsia" w:ascii="宋体" w:hAnsi="宋体" w:eastAsia="宋体" w:cs="宋体"/>
          <w:color w:val="0000FF"/>
          <w:sz w:val="21"/>
          <w:szCs w:val="21"/>
          <w:highlight w:val="none"/>
          <w:u w:val="single"/>
        </w:rPr>
        <w:t>等），承包人应将有关专业工程分包给具有同规模施工经验、有良好资信且具备相应专业资质的施工企业单位。其中：</w:t>
      </w:r>
    </w:p>
    <w:p>
      <w:pPr>
        <w:spacing w:line="300" w:lineRule="auto"/>
        <w:ind w:firstLine="420" w:firstLineChars="200"/>
        <w:rPr>
          <w:rFonts w:hint="eastAsia" w:ascii="宋体" w:hAnsi="宋体" w:eastAsia="宋体" w:cs="宋体"/>
          <w:color w:val="0000FF"/>
          <w:sz w:val="21"/>
          <w:szCs w:val="21"/>
          <w:highlight w:val="none"/>
          <w:u w:val="single"/>
        </w:rPr>
      </w:pPr>
      <w:r>
        <w:rPr>
          <w:rFonts w:hint="eastAsia" w:ascii="宋体" w:hAnsi="宋体" w:eastAsia="宋体" w:cs="宋体"/>
          <w:color w:val="0000FF"/>
          <w:sz w:val="21"/>
          <w:szCs w:val="21"/>
          <w:highlight w:val="none"/>
          <w:u w:val="single"/>
        </w:rPr>
        <w:t>（1）精装修工程分包要求：①具备建设行政主管部门核发的有效的建筑装修装饰工程专业承包资质和相应等级，以及具有有效的《施工企业安全生产许可证》的分包单位。②为确保精装修工程质量，分包单位近五年内（自本工程主体开工之日前，含当日）至少应具有一项完成竣工验收合格的单项合同实际造价金额不少于</w:t>
      </w:r>
      <w:r>
        <w:rPr>
          <w:rFonts w:hint="eastAsia" w:cs="宋体"/>
          <w:color w:val="0000FF"/>
          <w:sz w:val="21"/>
          <w:szCs w:val="21"/>
          <w:highlight w:val="none"/>
          <w:u w:val="single"/>
          <w:lang w:eastAsia="zh-CN"/>
        </w:rPr>
        <w:t>（本项目精装修工程合同价）</w:t>
      </w:r>
      <w:r>
        <w:rPr>
          <w:rFonts w:hint="eastAsia" w:ascii="宋体" w:hAnsi="宋体" w:eastAsia="宋体" w:cs="宋体"/>
          <w:color w:val="0000FF"/>
          <w:sz w:val="21"/>
          <w:szCs w:val="21"/>
          <w:highlight w:val="none"/>
          <w:u w:val="single"/>
        </w:rPr>
        <w:t>万元的</w:t>
      </w:r>
      <w:r>
        <w:rPr>
          <w:rFonts w:hint="eastAsia" w:cs="宋体"/>
          <w:color w:val="0000FF"/>
          <w:sz w:val="21"/>
          <w:szCs w:val="21"/>
          <w:highlight w:val="none"/>
          <w:u w:val="single"/>
          <w:lang w:val="en-US" w:eastAsia="zh-CN"/>
        </w:rPr>
        <w:t>民用建筑</w:t>
      </w:r>
      <w:r>
        <w:rPr>
          <w:rFonts w:hint="eastAsia" w:ascii="宋体" w:hAnsi="宋体" w:eastAsia="宋体" w:cs="宋体"/>
          <w:color w:val="0000FF"/>
          <w:sz w:val="21"/>
          <w:szCs w:val="21"/>
          <w:highlight w:val="none"/>
          <w:u w:val="single"/>
        </w:rPr>
        <w:t>类精装修工程的施工经验业绩。</w:t>
      </w:r>
    </w:p>
    <w:p>
      <w:pPr>
        <w:spacing w:line="300" w:lineRule="auto"/>
        <w:ind w:firstLine="420" w:firstLineChars="200"/>
        <w:rPr>
          <w:rFonts w:hint="eastAsia" w:ascii="宋体" w:hAnsi="宋体" w:eastAsia="宋体" w:cs="宋体"/>
          <w:color w:val="0000FF"/>
          <w:sz w:val="21"/>
          <w:szCs w:val="21"/>
          <w:highlight w:val="none"/>
          <w:u w:val="single"/>
        </w:rPr>
      </w:pPr>
      <w:r>
        <w:rPr>
          <w:rFonts w:hint="eastAsia" w:ascii="宋体" w:hAnsi="宋体" w:eastAsia="宋体" w:cs="宋体"/>
          <w:color w:val="0000FF"/>
          <w:sz w:val="21"/>
          <w:szCs w:val="21"/>
          <w:highlight w:val="none"/>
          <w:u w:val="single"/>
        </w:rPr>
        <w:t>（2）电梯工程分包要求：①电梯品牌具备独立法人资格并且有能力提供本工程电梯及相应服务的制造商（包括在中国注册的外国独资或中外合资、合作企业），电梯供应及安装分包单位需具备独立法人资格（包括中国注册的外国独资或中外合资、合作企业或制造商授权代理商）。其中：1）所投电梯的制造商应具备有效的《中华人民共和国特种设备制造许可证》，许可证载明的品种至少应包括：曳引驱动乘客电梯，级别与工程实际规模相对应，品种对应的备注内容均应满足招标货物相应范围和技术要求。2）电梯设备供应及设备安装分包单位：具备有效的《中华人民共和国特种设备安装改造维修许可证或中华人民共和国特种设备生产许可证》且许可证载明的品种至少包括：曳引驱动乘客电梯，级别与工程实际规模相对应，品种对应的施工类别均至少包括安装和修理，品种对应的参数范围均须满足本工程电梯相应技术要求。②为保证本工程的电梯安装及售后的维保质量，优先考虑电梯品牌在厦门市设有原厂安装及售后服务（维保）部门或单位，以确保能够提供本地化服务。如售后服务（维保）为厦门市以外的部门或单位应向厦门市政府监管部门备案。③承包人在电梯分包前需向发包人提供详细合同条款、技术规格配置、装饰装潢方案等，经发包人审核同意后方可签约。</w:t>
      </w:r>
    </w:p>
    <w:p>
      <w:pPr>
        <w:spacing w:line="300" w:lineRule="auto"/>
        <w:ind w:firstLine="420" w:firstLineChars="200"/>
        <w:rPr>
          <w:rFonts w:hint="eastAsia" w:ascii="宋体" w:hAnsi="宋体" w:eastAsia="宋体" w:cs="宋体"/>
          <w:color w:val="0000FF"/>
          <w:sz w:val="21"/>
          <w:szCs w:val="21"/>
          <w:highlight w:val="none"/>
          <w:u w:val="single"/>
        </w:rPr>
      </w:pPr>
    </w:p>
    <w:p>
      <w:pPr>
        <w:spacing w:line="300" w:lineRule="auto"/>
        <w:ind w:firstLine="420" w:firstLineChars="200"/>
        <w:rPr>
          <w:rFonts w:hint="eastAsia" w:ascii="宋体" w:hAnsi="宋体" w:eastAsia="宋体" w:cs="宋体"/>
          <w:color w:val="0000FF"/>
          <w:sz w:val="21"/>
          <w:szCs w:val="21"/>
          <w:highlight w:val="none"/>
          <w:u w:val="single"/>
        </w:rPr>
      </w:pPr>
      <w:r>
        <w:rPr>
          <w:rFonts w:hint="eastAsia" w:ascii="宋体" w:hAnsi="宋体" w:eastAsia="宋体" w:cs="宋体"/>
          <w:color w:val="0000FF"/>
          <w:sz w:val="21"/>
          <w:szCs w:val="21"/>
          <w:highlight w:val="none"/>
          <w:u w:val="single"/>
        </w:rPr>
        <w:t>（</w:t>
      </w:r>
      <w:r>
        <w:rPr>
          <w:rFonts w:hint="eastAsia" w:cs="宋体"/>
          <w:color w:val="0000FF"/>
          <w:sz w:val="21"/>
          <w:szCs w:val="21"/>
          <w:highlight w:val="none"/>
          <w:u w:val="single"/>
          <w:lang w:val="en-US" w:eastAsia="zh-CN"/>
        </w:rPr>
        <w:t>3</w:t>
      </w:r>
      <w:r>
        <w:rPr>
          <w:rFonts w:hint="eastAsia" w:ascii="宋体" w:hAnsi="宋体" w:eastAsia="宋体" w:cs="宋体"/>
          <w:color w:val="0000FF"/>
          <w:sz w:val="21"/>
          <w:szCs w:val="21"/>
          <w:highlight w:val="none"/>
          <w:u w:val="single"/>
        </w:rPr>
        <w:t>）景观绿化工程分包要求：①具有有效的独立法人资格并依法取得企业营业执照，营业执照经营范围为从事园林绿化工程建设（含养护管理），营业执照处于有效期内, 具备与园林绿化工程建设活动相匹配的专业技术管理人员、技术工人、资金、设备等条件。②为确保景观绿化工程质量，分包单位近五年内（自本工程主体开工之日前，含当日）至少应具有一项完成竣工验收合格的单项合同实际造价金额不少于</w:t>
      </w:r>
      <w:r>
        <w:rPr>
          <w:rFonts w:hint="eastAsia" w:cs="宋体"/>
          <w:color w:val="0000FF"/>
          <w:sz w:val="21"/>
          <w:szCs w:val="21"/>
          <w:highlight w:val="none"/>
          <w:u w:val="single"/>
          <w:lang w:val="en-US" w:eastAsia="zh-CN"/>
        </w:rPr>
        <w:t>本项目景观工程合同价</w:t>
      </w:r>
      <w:r>
        <w:rPr>
          <w:rFonts w:hint="eastAsia" w:ascii="宋体" w:hAnsi="宋体" w:eastAsia="宋体" w:cs="宋体"/>
          <w:color w:val="0000FF"/>
          <w:sz w:val="21"/>
          <w:szCs w:val="21"/>
          <w:highlight w:val="none"/>
          <w:u w:val="single"/>
        </w:rPr>
        <w:t>的施工经验业绩。</w:t>
      </w:r>
    </w:p>
    <w:p>
      <w:pPr>
        <w:spacing w:line="300" w:lineRule="auto"/>
        <w:ind w:firstLine="420" w:firstLineChars="200"/>
        <w:rPr>
          <w:rFonts w:hint="eastAsia" w:ascii="宋体" w:hAnsi="宋体" w:eastAsia="宋体" w:cs="宋体"/>
          <w:color w:val="0000FF"/>
          <w:sz w:val="21"/>
          <w:szCs w:val="21"/>
          <w:highlight w:val="none"/>
          <w:u w:val="single"/>
        </w:rPr>
      </w:pPr>
      <w:r>
        <w:rPr>
          <w:rFonts w:hint="eastAsia" w:ascii="宋体" w:hAnsi="宋体" w:eastAsia="宋体" w:cs="宋体"/>
          <w:color w:val="0000FF"/>
          <w:sz w:val="21"/>
          <w:szCs w:val="21"/>
          <w:highlight w:val="none"/>
          <w:u w:val="single"/>
        </w:rPr>
        <w:t>（</w:t>
      </w:r>
      <w:r>
        <w:rPr>
          <w:rFonts w:hint="eastAsia" w:cs="宋体"/>
          <w:color w:val="0000FF"/>
          <w:sz w:val="21"/>
          <w:szCs w:val="21"/>
          <w:highlight w:val="none"/>
          <w:u w:val="single"/>
          <w:lang w:val="en-US" w:eastAsia="zh-CN"/>
        </w:rPr>
        <w:t>4</w:t>
      </w:r>
      <w:r>
        <w:rPr>
          <w:rFonts w:hint="eastAsia" w:ascii="宋体" w:hAnsi="宋体" w:eastAsia="宋体" w:cs="宋体"/>
          <w:color w:val="0000FF"/>
          <w:sz w:val="21"/>
          <w:szCs w:val="21"/>
          <w:highlight w:val="none"/>
          <w:u w:val="single"/>
        </w:rPr>
        <w:t>）铝合金门窗工程分包要求：①铝合金门窗工程应由具有有效的独立法人资格并依法取得企业营业执照，营业执照经营范围具有从事铝合金门窗工程制作安装内容，营业执照处于有效期内, 具备与分包工程相匹配的专业技术管理人员、技术工人、资金、设备等条件；②考虑到铝合金门窗主要为工厂预制加工，为确保质量及进度，作为本工程铝合金门窗分包单位应具有同规模施工经验并有良好资信的施工单位。③为确保铝合金门窗质量，分包单位近五年内（自本工程主体开工之日前，含当日）至少应具有一项完成竣工验收合格的单项合同实际造价金额不少于</w:t>
      </w:r>
      <w:r>
        <w:rPr>
          <w:rFonts w:hint="eastAsia" w:cs="宋体"/>
          <w:color w:val="0000FF"/>
          <w:sz w:val="21"/>
          <w:szCs w:val="21"/>
          <w:highlight w:val="none"/>
          <w:u w:val="single"/>
          <w:lang w:eastAsia="zh-CN"/>
        </w:rPr>
        <w:t>本项目</w:t>
      </w:r>
      <w:r>
        <w:rPr>
          <w:rFonts w:hint="eastAsia" w:ascii="宋体" w:hAnsi="宋体" w:eastAsia="宋体" w:cs="宋体"/>
          <w:color w:val="0000FF"/>
          <w:sz w:val="21"/>
          <w:szCs w:val="21"/>
          <w:highlight w:val="none"/>
          <w:u w:val="single"/>
        </w:rPr>
        <w:t>铝合金门窗工程</w:t>
      </w:r>
      <w:r>
        <w:rPr>
          <w:rFonts w:hint="eastAsia" w:cs="宋体"/>
          <w:color w:val="0000FF"/>
          <w:sz w:val="21"/>
          <w:szCs w:val="21"/>
          <w:highlight w:val="none"/>
          <w:u w:val="single"/>
          <w:lang w:eastAsia="zh-CN"/>
        </w:rPr>
        <w:t>合同价</w:t>
      </w:r>
      <w:r>
        <w:rPr>
          <w:rFonts w:hint="eastAsia" w:ascii="宋体" w:hAnsi="宋体" w:eastAsia="宋体" w:cs="宋体"/>
          <w:color w:val="0000FF"/>
          <w:sz w:val="21"/>
          <w:szCs w:val="21"/>
          <w:highlight w:val="none"/>
          <w:u w:val="single"/>
        </w:rPr>
        <w:t>的铝合金门窗工程的施工经验业绩。</w:t>
      </w:r>
    </w:p>
    <w:p>
      <w:pPr>
        <w:pStyle w:val="24"/>
        <w:ind w:firstLine="420" w:firstLineChars="200"/>
        <w:rPr>
          <w:rFonts w:hint="eastAsia" w:ascii="宋体" w:hAnsi="宋体" w:cs="宋体"/>
          <w:color w:val="0000FF"/>
          <w:kern w:val="0"/>
          <w:szCs w:val="21"/>
          <w:highlight w:val="none"/>
          <w:u w:val="single"/>
        </w:rPr>
      </w:pPr>
      <w:r>
        <w:rPr>
          <w:rFonts w:hint="eastAsia" w:ascii="宋体" w:hAnsi="宋体" w:cs="宋体"/>
          <w:color w:val="0000FF"/>
          <w:kern w:val="0"/>
          <w:szCs w:val="21"/>
          <w:highlight w:val="none"/>
          <w:u w:val="single"/>
        </w:rPr>
        <w:t>（</w:t>
      </w:r>
      <w:r>
        <w:rPr>
          <w:rFonts w:hint="eastAsia" w:ascii="宋体" w:hAnsi="宋体" w:cs="宋体"/>
          <w:color w:val="0000FF"/>
          <w:kern w:val="0"/>
          <w:szCs w:val="21"/>
          <w:highlight w:val="none"/>
          <w:u w:val="single"/>
          <w:lang w:val="en-US" w:eastAsia="zh-CN"/>
        </w:rPr>
        <w:t>5</w:t>
      </w:r>
      <w:r>
        <w:rPr>
          <w:rFonts w:hint="eastAsia" w:ascii="宋体" w:hAnsi="宋体" w:cs="宋体"/>
          <w:color w:val="0000FF"/>
          <w:kern w:val="0"/>
          <w:szCs w:val="21"/>
          <w:highlight w:val="none"/>
          <w:u w:val="single"/>
        </w:rPr>
        <w:t>）通风空调工程分包要求：①具有独立法人资格并依法取得企业营业执照，具备建设行政主管部门核发有效的二级机电工程施工总承包资质或一级建筑机电安装工程专业承包资质，以及具有有效的《施工企业安全生产许可证》的分包单位。②分包人须保证本次供货产品为厂商原装正品，且须提供主要空调设备[冷水机组、空气处理机组、风机盘管、VRV 空调设备、冷却塔、水泵]制造商出具的针对本项目的授权书原件（授权书内容应明确包含货物主要设备的品牌和型号）及售后服务承诺书。③为确保通风空调工程质量，分包单位近五年内（自本工程主体开工之日前，含当日）至少应具有一项完成竣工验收合格的单项合同实际造价金额不少</w:t>
      </w:r>
      <w:r>
        <w:rPr>
          <w:rFonts w:hint="eastAsia" w:ascii="宋体" w:hAnsi="宋体" w:cs="宋体"/>
          <w:color w:val="0000FF"/>
          <w:kern w:val="0"/>
          <w:szCs w:val="21"/>
          <w:highlight w:val="none"/>
          <w:u w:val="single"/>
          <w:lang w:val="en-US" w:eastAsia="zh-CN"/>
        </w:rPr>
        <w:t>本项目通风空调工程合同价</w:t>
      </w:r>
      <w:r>
        <w:rPr>
          <w:rFonts w:hint="eastAsia" w:ascii="宋体" w:hAnsi="宋体" w:cs="宋体"/>
          <w:color w:val="0000FF"/>
          <w:kern w:val="0"/>
          <w:szCs w:val="21"/>
          <w:highlight w:val="none"/>
          <w:u w:val="single"/>
        </w:rPr>
        <w:t>的类似通风空调工程施工业绩，业绩需附上完整合同复印件（合同中应明确用户单位、合同价款）及联系人、联系电话。④分包人必须采购、安装、调试一体化，由同一个分包单位完成，不可肢解。</w:t>
      </w:r>
    </w:p>
    <w:p>
      <w:pPr>
        <w:spacing w:line="300" w:lineRule="auto"/>
        <w:ind w:firstLine="420" w:firstLineChars="200"/>
        <w:rPr>
          <w:rFonts w:hint="eastAsia" w:ascii="宋体" w:hAnsi="宋体" w:eastAsia="宋体" w:cs="宋体"/>
          <w:color w:val="0000FF"/>
          <w:sz w:val="21"/>
          <w:szCs w:val="21"/>
          <w:highlight w:val="none"/>
          <w:u w:val="single"/>
        </w:rPr>
      </w:pPr>
      <w:r>
        <w:rPr>
          <w:rFonts w:hint="eastAsia" w:ascii="宋体" w:hAnsi="宋体" w:eastAsia="宋体" w:cs="宋体"/>
          <w:color w:val="0000FF"/>
          <w:sz w:val="21"/>
          <w:szCs w:val="21"/>
          <w:highlight w:val="none"/>
          <w:u w:val="single"/>
        </w:rPr>
        <w:t>上述专业工程分包前，承包人须按如下约定确认和批准：（1）承包人应根据施工进度计划，在确定分包单位前28天向监理人提出书面申请。监理人应当在收到申请后3天内报送发包人，发包人应当在收到申请后14天内给予批准或提出修改意见，如发包人认为须考察的，应由发包人、承包人及监理单位组成考察小组对分包单位进行考察，考察合格后方可进行分包。发包人逾期未予批准或提出修改意见的，视为该书面申请已获得同意；（2）发包人认为承包人确定的分包单位无法满足工程质量或合同要求的，发包人可以要求承包人重新确定专业分包单位；（3）承包人应当在签订合同的7天内，将合同副本报送发包人留存；（4）承包人应负起本工程的总承包管理责任，总承包范围内的分包并不解除合同规定的承包人的任何责任或义务，承包人应当对分包人加强监督和管理， 并对分包人的工程质量、进度及其职工的行为、违约和疏忽承担连带责任。承包人与分包人之间的法律和经济纠纷等概由承包人与分包人自行解决，发包人不承担任何责任和义务。上述专业工程的总包管理费、配合费及服务费，承包人均已自行考虑在合同总价中，发包人不再另行支付。</w:t>
      </w:r>
    </w:p>
    <w:p>
      <w:pPr>
        <w:spacing w:line="300" w:lineRule="auto"/>
        <w:ind w:firstLine="420" w:firstLineChars="200"/>
        <w:rPr>
          <w:rFonts w:hint="eastAsia" w:ascii="宋体" w:hAnsi="宋体" w:eastAsia="宋体" w:cs="宋体"/>
          <w:color w:val="0000FF"/>
          <w:sz w:val="21"/>
          <w:szCs w:val="21"/>
          <w:highlight w:val="none"/>
          <w:u w:val="single"/>
        </w:rPr>
      </w:pPr>
      <w:r>
        <w:rPr>
          <w:rFonts w:hint="eastAsia" w:ascii="宋体" w:hAnsi="宋体" w:eastAsia="宋体" w:cs="宋体"/>
          <w:color w:val="0000FF"/>
          <w:sz w:val="21"/>
          <w:szCs w:val="21"/>
          <w:highlight w:val="none"/>
          <w:u w:val="single"/>
        </w:rPr>
        <w:t>本工程所有分包单位的确定事先应取得发包人的认可后方可分包。否则，承包人应向发包人支付合同总额20%的违约金，发包人有权另行指定专业队伍承担施工，其费用由承包人承担。</w:t>
      </w:r>
    </w:p>
    <w:p>
      <w:pPr>
        <w:spacing w:line="300" w:lineRule="auto"/>
        <w:ind w:firstLine="420" w:firstLineChars="200"/>
        <w:rPr>
          <w:rFonts w:cs="宋体"/>
          <w:color w:val="auto"/>
          <w:sz w:val="21"/>
          <w:szCs w:val="21"/>
          <w:highlight w:val="none"/>
          <w:u w:val="single"/>
        </w:rPr>
      </w:pPr>
      <w:r>
        <w:rPr>
          <w:rFonts w:hint="eastAsia" w:ascii="宋体" w:hAnsi="宋体" w:eastAsia="宋体" w:cs="宋体"/>
          <w:color w:val="0000FF"/>
          <w:sz w:val="21"/>
          <w:szCs w:val="21"/>
          <w:highlight w:val="none"/>
          <w:u w:val="single"/>
        </w:rPr>
        <w:t>承包人不得将其承包的工程肢解、转包或非法分包给他人，擅自发包或者转包的应向发包人支付合同总额20%的违约金，发包人并有权选择继续履行合同或者解除合同</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其他关于分包的约定：</w:t>
      </w:r>
      <w:r>
        <w:rPr>
          <w:rFonts w:hint="eastAsia" w:hAnsi="Times New Roman"/>
          <w:color w:val="0000FF"/>
          <w:sz w:val="21"/>
          <w:szCs w:val="21"/>
          <w:highlight w:val="none"/>
          <w:u w:val="single"/>
        </w:rPr>
        <w:t>（1）除上述</w:t>
      </w:r>
      <w:r>
        <w:rPr>
          <w:rFonts w:hint="eastAsia" w:hAnsi="Times New Roman"/>
          <w:color w:val="0000FF"/>
          <w:sz w:val="21"/>
          <w:szCs w:val="21"/>
          <w:highlight w:val="none"/>
          <w:u w:val="single"/>
          <w:lang w:val="en-US" w:eastAsia="zh-CN"/>
        </w:rPr>
        <w:t>精装工程、</w:t>
      </w:r>
      <w:r>
        <w:rPr>
          <w:rFonts w:hint="eastAsia" w:hAnsi="Times New Roman"/>
          <w:color w:val="0000FF"/>
          <w:sz w:val="21"/>
          <w:szCs w:val="21"/>
          <w:highlight w:val="none"/>
          <w:u w:val="single"/>
        </w:rPr>
        <w:t>电梯工程、通风空调工程、</w:t>
      </w:r>
      <w:r>
        <w:rPr>
          <w:rFonts w:hint="eastAsia" w:hAnsi="Times New Roman"/>
          <w:color w:val="0000FF"/>
          <w:sz w:val="21"/>
          <w:szCs w:val="21"/>
          <w:highlight w:val="none"/>
          <w:u w:val="single"/>
          <w:lang w:val="en-US" w:eastAsia="zh-CN"/>
        </w:rPr>
        <w:t>铝合金工程、</w:t>
      </w:r>
      <w:r>
        <w:rPr>
          <w:rFonts w:hint="eastAsia" w:hAnsi="Times New Roman"/>
          <w:color w:val="0000FF"/>
          <w:sz w:val="21"/>
          <w:szCs w:val="21"/>
          <w:highlight w:val="none"/>
          <w:u w:val="single"/>
        </w:rPr>
        <w:t>景观绿化工程及由发包人另行招标的工程以外，其他专业工程确需分包的，应分包给具有类似本工程施工经历并有良好资信且具有相应施工资质的单位施工，承包人应将分包计划书面报告发包人，并取得发包人书面批准后方可实施。（</w:t>
      </w:r>
      <w:r>
        <w:rPr>
          <w:rFonts w:hint="eastAsia" w:hAnsi="Times New Roman"/>
          <w:color w:val="0000FF"/>
          <w:sz w:val="21"/>
          <w:szCs w:val="21"/>
          <w:highlight w:val="none"/>
          <w:u w:val="single"/>
          <w:lang w:eastAsia="zh-CN"/>
        </w:rPr>
        <w:t>2</w:t>
      </w:r>
      <w:r>
        <w:rPr>
          <w:rFonts w:hint="eastAsia" w:hAnsi="Times New Roman"/>
          <w:color w:val="0000FF"/>
          <w:sz w:val="21"/>
          <w:szCs w:val="21"/>
          <w:highlight w:val="none"/>
          <w:u w:val="single"/>
        </w:rPr>
        <w:t>）承包人未经发包人同意，不得将其工程随意分包，否则，发包人除了有权解除分包合同外，还有权要求承包人未经发包人同意分包工程款20%的违约金。（</w:t>
      </w:r>
      <w:r>
        <w:rPr>
          <w:rFonts w:hint="eastAsia" w:hAnsi="Times New Roman"/>
          <w:color w:val="0000FF"/>
          <w:sz w:val="21"/>
          <w:szCs w:val="21"/>
          <w:highlight w:val="none"/>
          <w:u w:val="single"/>
          <w:lang w:eastAsia="zh-CN"/>
        </w:rPr>
        <w:t>3</w:t>
      </w:r>
      <w:r>
        <w:rPr>
          <w:rFonts w:hint="eastAsia" w:hAnsi="Times New Roman"/>
          <w:color w:val="0000FF"/>
          <w:sz w:val="21"/>
          <w:szCs w:val="21"/>
          <w:highlight w:val="none"/>
          <w:u w:val="single"/>
        </w:rPr>
        <w:t>）承包人不得将其承包的工程肢解、转包或非法分包给他人，擅自发包或者转包的应向发包人支付分包合同总额20%的违约金，发包人并有权选择继续履行合同或者解除合同 ，由此产生的一切费用及损失由承包人承担。（</w:t>
      </w:r>
      <w:r>
        <w:rPr>
          <w:rFonts w:hint="eastAsia" w:hAnsi="Times New Roman"/>
          <w:color w:val="0000FF"/>
          <w:sz w:val="21"/>
          <w:szCs w:val="21"/>
          <w:highlight w:val="none"/>
          <w:u w:val="single"/>
          <w:lang w:val="en-US" w:eastAsia="zh-CN"/>
        </w:rPr>
        <w:t>4</w:t>
      </w:r>
      <w:r>
        <w:rPr>
          <w:rFonts w:hint="eastAsia" w:hAnsi="Times New Roman"/>
          <w:color w:val="0000FF"/>
          <w:sz w:val="21"/>
          <w:szCs w:val="21"/>
          <w:highlight w:val="none"/>
          <w:u w:val="single"/>
        </w:rPr>
        <w:t>）承包人应负起本工程的总承包管理责任，总承包范围内的分包并不解除合同规定的承包人的任何责任或义务，承包人应当对分包人加强监督和管理， 并对分包人的工程质量、进度及其职工的行为、违约和疏忽承担连带责任。（</w:t>
      </w:r>
      <w:r>
        <w:rPr>
          <w:rFonts w:hint="eastAsia" w:hAnsi="Times New Roman"/>
          <w:color w:val="0000FF"/>
          <w:sz w:val="21"/>
          <w:szCs w:val="21"/>
          <w:highlight w:val="none"/>
          <w:u w:val="single"/>
          <w:lang w:val="en-US" w:eastAsia="zh-CN"/>
        </w:rPr>
        <w:t>5</w:t>
      </w:r>
      <w:r>
        <w:rPr>
          <w:rFonts w:hint="eastAsia" w:hAnsi="Times New Roman"/>
          <w:color w:val="0000FF"/>
          <w:sz w:val="21"/>
          <w:szCs w:val="21"/>
          <w:highlight w:val="none"/>
          <w:u w:val="single"/>
        </w:rPr>
        <w:t>）承包人与分包人之间的法律和经济纠纷等概由承包人与分包人自行解决，发包人不承担任何责任和义务，若由此给建设单位及发包人造成损失或因处理纠纷产生的一切费用（包括但不限于律师费、诉讼费、差旅费、评估费等），发包人有权从应支付给承包人的任何款项（包括但不限于工程款、履约保证金及其他保证金等）中扣回，不足部分发包人有权另行向承包人主张</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3.5.4 分包合同价款</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关于分包合同价款支付的约定：</w:t>
      </w:r>
      <w:r>
        <w:rPr>
          <w:rFonts w:hint="eastAsia" w:hAnsi="Times New Roman"/>
          <w:color w:val="0000FF"/>
          <w:sz w:val="21"/>
          <w:szCs w:val="21"/>
          <w:highlight w:val="none"/>
          <w:u w:val="single"/>
        </w:rPr>
        <w:t>承包人单独分包的专业工程由承包人与分包人结算。法律文书要求发包人向分包人支付分包合同价款的，发包人有权从应付承包人工程款中扣除该部分款项。以专业工程暂估价形式纳入总承包范围的永久用电工程，发包人、承包人、专业分包单位共同签订三方合同，款项由发包人直接与专业工程分包单位结算，总承包范围内的专业分包工程暂估价按招标控制价中该部分相应的造价予以扣除</w:t>
      </w:r>
      <w:r>
        <w:rPr>
          <w:rFonts w:hint="eastAsia" w:hAnsi="Times New Roman"/>
          <w:color w:val="0000FF"/>
          <w:sz w:val="21"/>
          <w:szCs w:val="21"/>
          <w:highlight w:val="none"/>
          <w:u w:val="single"/>
          <w:lang w:eastAsia="zh-CN"/>
        </w:rPr>
        <w:t>。</w:t>
      </w:r>
      <w:r>
        <w:rPr>
          <w:rFonts w:hint="eastAsia" w:hAnsi="Times New Roman"/>
          <w:color w:val="0000FF"/>
          <w:sz w:val="21"/>
          <w:szCs w:val="21"/>
          <w:highlight w:val="none"/>
          <w:u w:val="single"/>
        </w:rPr>
        <w:t>永久用电</w:t>
      </w:r>
      <w:r>
        <w:rPr>
          <w:rFonts w:hint="eastAsia" w:hAnsi="Times New Roman"/>
          <w:color w:val="0000FF"/>
          <w:sz w:val="21"/>
          <w:szCs w:val="21"/>
          <w:highlight w:val="none"/>
          <w:u w:val="single"/>
          <w:lang w:val="en-US" w:eastAsia="zh-CN"/>
        </w:rPr>
        <w:t>工程</w:t>
      </w:r>
      <w:r>
        <w:rPr>
          <w:rFonts w:hint="eastAsia" w:hAnsi="Times New Roman"/>
          <w:color w:val="0000FF"/>
          <w:sz w:val="21"/>
          <w:szCs w:val="21"/>
          <w:highlight w:val="none"/>
          <w:u w:val="single"/>
        </w:rPr>
        <w:t>招标时，</w:t>
      </w:r>
      <w:r>
        <w:rPr>
          <w:rFonts w:hint="eastAsia" w:hAnsi="Times New Roman"/>
          <w:color w:val="0000FF"/>
          <w:sz w:val="21"/>
          <w:szCs w:val="21"/>
          <w:highlight w:val="none"/>
          <w:u w:val="single"/>
          <w:lang w:val="en-US" w:eastAsia="zh-CN"/>
        </w:rPr>
        <w:t>承包人</w:t>
      </w:r>
      <w:r>
        <w:rPr>
          <w:rFonts w:hint="eastAsia" w:hAnsi="Times New Roman"/>
          <w:color w:val="0000FF"/>
          <w:sz w:val="21"/>
          <w:szCs w:val="21"/>
          <w:highlight w:val="none"/>
          <w:u w:val="single"/>
        </w:rPr>
        <w:t>授权发包人全权依法组织</w:t>
      </w:r>
      <w:r>
        <w:rPr>
          <w:rFonts w:hint="eastAsia" w:hAnsi="Times New Roman"/>
          <w:color w:val="0000FF"/>
          <w:sz w:val="21"/>
          <w:szCs w:val="21"/>
          <w:highlight w:val="none"/>
          <w:u w:val="single"/>
          <w:lang w:val="en-US" w:eastAsia="zh-CN"/>
        </w:rPr>
        <w:t>该部分</w:t>
      </w:r>
      <w:r>
        <w:rPr>
          <w:rFonts w:hint="eastAsia" w:hAnsi="Times New Roman"/>
          <w:color w:val="0000FF"/>
          <w:sz w:val="21"/>
          <w:szCs w:val="21"/>
          <w:highlight w:val="none"/>
          <w:u w:val="single"/>
        </w:rPr>
        <w:t>招标，并承认招标期间发包人所签署的一切文件和处理与之有关的一切事务。</w:t>
      </w:r>
      <w:r>
        <w:rPr>
          <w:rFonts w:hint="eastAsia" w:hAnsi="Times New Roman"/>
          <w:color w:val="0000FF"/>
          <w:sz w:val="21"/>
          <w:szCs w:val="21"/>
          <w:highlight w:val="none"/>
          <w:u w:val="single"/>
          <w:lang w:val="en-US" w:eastAsia="zh-CN"/>
        </w:rPr>
        <w:t>本项目除智能化预埋外，其他智能化工程由发包人另行委托。智能化工程、</w:t>
      </w:r>
      <w:r>
        <w:rPr>
          <w:rFonts w:hint="eastAsia" w:hAnsi="Times New Roman"/>
          <w:color w:val="0000FF"/>
          <w:sz w:val="21"/>
          <w:szCs w:val="21"/>
          <w:highlight w:val="none"/>
          <w:u w:val="single"/>
        </w:rPr>
        <w:t>永久用电工程不单独计取总承包服务费（总承包单位报价中已考虑相关配合费用）。涉及外网进线配合的，如燃气、供电、给水、三网等，承包人需积极配合以上相关单位施工，涉及相关费用已在投标报价中综合考虑，不另外计取。</w:t>
      </w:r>
      <w:r>
        <w:rPr>
          <w:rFonts w:hint="eastAsia" w:hAnsi="Times New Roman"/>
          <w:color w:val="0000FF"/>
          <w:sz w:val="21"/>
          <w:szCs w:val="21"/>
          <w:highlight w:val="none"/>
          <w:u w:val="single"/>
          <w:lang w:val="en-US" w:eastAsia="zh-CN"/>
        </w:rPr>
        <w:t>承包人需为上述分包单位</w:t>
      </w:r>
      <w:r>
        <w:rPr>
          <w:rFonts w:hint="eastAsia" w:hAnsi="Times New Roman"/>
          <w:color w:val="0000FF"/>
          <w:sz w:val="21"/>
          <w:szCs w:val="21"/>
          <w:highlight w:val="none"/>
          <w:u w:val="single"/>
        </w:rPr>
        <w:t>提供水电施工接驳点、按经发包方批准的承包方的施工计划提供垂直运输设备的使用（含设备使用所需电费）、负责对</w:t>
      </w:r>
      <w:r>
        <w:rPr>
          <w:rFonts w:hint="eastAsia" w:hAnsi="Times New Roman"/>
          <w:color w:val="0000FF"/>
          <w:sz w:val="21"/>
          <w:szCs w:val="21"/>
          <w:highlight w:val="none"/>
          <w:u w:val="single"/>
          <w:lang w:val="en-US" w:eastAsia="zh-CN"/>
        </w:rPr>
        <w:t>上述</w:t>
      </w:r>
      <w:r>
        <w:rPr>
          <w:rFonts w:hint="eastAsia" w:hAnsi="Times New Roman"/>
          <w:color w:val="0000FF"/>
          <w:sz w:val="21"/>
          <w:szCs w:val="21"/>
          <w:highlight w:val="none"/>
          <w:u w:val="single"/>
        </w:rPr>
        <w:t>分包单位的安全文明施工管理、负责对公共区域穿插施工的组织管理、参与分包单位的质量管理等。</w:t>
      </w:r>
    </w:p>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3.6 工程照管与成品、半成品保护</w:t>
      </w:r>
    </w:p>
    <w:p>
      <w:pPr>
        <w:adjustRightInd w:val="0"/>
        <w:spacing w:before="120" w:after="120" w:line="360" w:lineRule="auto"/>
        <w:ind w:firstLine="420" w:firstLineChars="200"/>
        <w:jc w:val="left"/>
        <w:textAlignment w:val="baseline"/>
        <w:rPr>
          <w:rFonts w:cs="宋体"/>
          <w:color w:val="auto"/>
          <w:sz w:val="21"/>
          <w:szCs w:val="21"/>
          <w:highlight w:val="none"/>
          <w:u w:val="single"/>
        </w:rPr>
      </w:pPr>
      <w:r>
        <w:rPr>
          <w:rFonts w:hint="eastAsia" w:cs="宋体"/>
          <w:color w:val="auto"/>
          <w:sz w:val="21"/>
          <w:szCs w:val="21"/>
          <w:highlight w:val="none"/>
        </w:rPr>
        <w:t>承包人负责照管工程及工程相关的材料、工程设备的起始时间：</w:t>
      </w:r>
      <w:r>
        <w:rPr>
          <w:rFonts w:hint="eastAsia" w:ascii="宋体" w:hAnsi="Times New Roman" w:eastAsia="宋体" w:cs="Times New Roman"/>
          <w:color w:val="0000FF"/>
          <w:sz w:val="21"/>
          <w:szCs w:val="21"/>
          <w:highlight w:val="none"/>
          <w:u w:val="single"/>
        </w:rPr>
        <w:t>执行通用合同条款</w:t>
      </w:r>
      <w:r>
        <w:rPr>
          <w:rFonts w:hint="eastAsia" w:hAnsi="Times New Roman"/>
          <w:color w:val="auto"/>
          <w:sz w:val="21"/>
          <w:szCs w:val="21"/>
          <w:highlight w:val="none"/>
          <w:u w:val="single"/>
        </w:rPr>
        <w:t xml:space="preserve"> </w:t>
      </w:r>
      <w:r>
        <w:rPr>
          <w:rFonts w:hint="eastAsia" w:cs="宋体"/>
          <w:color w:val="auto"/>
          <w:sz w:val="21"/>
          <w:szCs w:val="21"/>
          <w:highlight w:val="none"/>
        </w:rPr>
        <w:t>。</w:t>
      </w:r>
    </w:p>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3.7 履约担保</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承包人是否提供履约担保：</w:t>
      </w:r>
      <w:r>
        <w:rPr>
          <w:rFonts w:hint="eastAsia" w:ascii="宋体" w:hAnsi="Times New Roman" w:eastAsia="宋体" w:cs="Times New Roman"/>
          <w:color w:val="0000FF"/>
          <w:sz w:val="21"/>
          <w:szCs w:val="21"/>
          <w:highlight w:val="none"/>
          <w:u w:val="single"/>
          <w:lang w:eastAsia="zh-CN"/>
        </w:rPr>
        <w:t>是</w:t>
      </w:r>
      <w:r>
        <w:rPr>
          <w:rFonts w:hint="eastAsia" w:cs="宋体"/>
          <w:color w:val="auto"/>
          <w:sz w:val="21"/>
          <w:szCs w:val="21"/>
          <w:highlight w:val="none"/>
          <w:lang w:eastAsia="zh-CN"/>
        </w:rPr>
        <w:t>。</w:t>
      </w:r>
    </w:p>
    <w:p>
      <w:pPr>
        <w:adjustRightInd w:val="0"/>
        <w:spacing w:line="360" w:lineRule="auto"/>
        <w:ind w:firstLine="420" w:firstLineChars="200"/>
        <w:jc w:val="left"/>
        <w:textAlignment w:val="baseline"/>
        <w:rPr>
          <w:rFonts w:hint="eastAsia" w:hAnsi="Times New Roman"/>
          <w:color w:val="0000FF"/>
          <w:sz w:val="21"/>
          <w:szCs w:val="21"/>
          <w:highlight w:val="none"/>
          <w:u w:val="single"/>
        </w:rPr>
      </w:pPr>
      <w:r>
        <w:rPr>
          <w:rFonts w:hint="eastAsia" w:cs="宋体"/>
          <w:color w:val="auto"/>
          <w:sz w:val="21"/>
          <w:szCs w:val="21"/>
          <w:highlight w:val="none"/>
        </w:rPr>
        <w:t>承包人提供履约担保的形式、金额及期限的：</w:t>
      </w:r>
      <w:r>
        <w:rPr>
          <w:rFonts w:hint="eastAsia" w:cs="宋体"/>
          <w:color w:val="auto"/>
          <w:sz w:val="21"/>
          <w:szCs w:val="21"/>
          <w:highlight w:val="none"/>
          <w:lang w:eastAsia="zh-CN"/>
        </w:rPr>
        <w:t>形式：</w:t>
      </w:r>
      <w:r>
        <w:rPr>
          <w:rFonts w:hint="eastAsia" w:hAnsi="Times New Roman"/>
          <w:color w:val="0000FF"/>
          <w:sz w:val="21"/>
          <w:szCs w:val="21"/>
          <w:highlight w:val="none"/>
          <w:u w:val="single"/>
        </w:rPr>
        <w:t>1.以转账形式递交的，应由承包人企业基本账户汇入指定的账户；</w:t>
      </w:r>
    </w:p>
    <w:p>
      <w:pPr>
        <w:adjustRightInd w:val="0"/>
        <w:spacing w:line="360" w:lineRule="auto"/>
        <w:ind w:firstLine="420" w:firstLineChars="200"/>
        <w:jc w:val="left"/>
        <w:textAlignment w:val="baseline"/>
        <w:rPr>
          <w:rFonts w:hint="eastAsia" w:hAnsi="Times New Roman"/>
          <w:color w:val="0000FF"/>
          <w:sz w:val="21"/>
          <w:szCs w:val="21"/>
          <w:highlight w:val="none"/>
          <w:u w:val="single"/>
        </w:rPr>
      </w:pPr>
      <w:r>
        <w:rPr>
          <w:rFonts w:hint="eastAsia" w:hAnsi="Times New Roman"/>
          <w:color w:val="0000FF"/>
          <w:sz w:val="21"/>
          <w:szCs w:val="21"/>
          <w:highlight w:val="none"/>
          <w:u w:val="single"/>
        </w:rPr>
        <w:t>2.银行保函应由冠以“银行”名称且为支行及其以上级别的金融机构出具，银行保函能够通过互联网且无需任何授权即可在相应银行的官方网站验证真伪，并在保函上写明网址；</w:t>
      </w:r>
    </w:p>
    <w:p>
      <w:pPr>
        <w:adjustRightInd w:val="0"/>
        <w:spacing w:line="360" w:lineRule="auto"/>
        <w:ind w:firstLine="420" w:firstLineChars="200"/>
        <w:jc w:val="left"/>
        <w:textAlignment w:val="baseline"/>
        <w:rPr>
          <w:rFonts w:hint="eastAsia" w:hAnsi="Times New Roman"/>
          <w:color w:val="0000FF"/>
          <w:sz w:val="21"/>
          <w:szCs w:val="21"/>
          <w:highlight w:val="none"/>
          <w:u w:val="single"/>
        </w:rPr>
      </w:pPr>
      <w:r>
        <w:rPr>
          <w:rFonts w:hint="eastAsia" w:hAnsi="Times New Roman"/>
          <w:color w:val="0000FF"/>
          <w:sz w:val="21"/>
          <w:szCs w:val="21"/>
          <w:highlight w:val="none"/>
          <w:u w:val="single"/>
        </w:rPr>
        <w:t>3.金融担保或保险机构出具担保保函的，出具担保保函的担保机构应为注册资金3亿元以上（含3亿）的国有绝对控股的金融机构或者商业担保公司。</w:t>
      </w:r>
    </w:p>
    <w:p>
      <w:pPr>
        <w:adjustRightInd w:val="0"/>
        <w:spacing w:line="360" w:lineRule="auto"/>
        <w:ind w:firstLine="420" w:firstLineChars="200"/>
        <w:jc w:val="left"/>
        <w:textAlignment w:val="baseline"/>
        <w:rPr>
          <w:rFonts w:hint="eastAsia" w:hAnsi="Times New Roman"/>
          <w:color w:val="0000FF"/>
          <w:sz w:val="21"/>
          <w:szCs w:val="21"/>
          <w:highlight w:val="none"/>
          <w:u w:val="single"/>
        </w:rPr>
      </w:pPr>
      <w:r>
        <w:rPr>
          <w:rFonts w:hint="eastAsia" w:hAnsi="Times New Roman"/>
          <w:color w:val="0000FF"/>
          <w:sz w:val="21"/>
          <w:szCs w:val="21"/>
          <w:highlight w:val="none"/>
          <w:u w:val="single"/>
        </w:rPr>
        <w:t>4.建设工程合同履约担保应符合《关于在全市房屋建筑和市政基础设施工程开展建设工程保证保险工作的通知》（厦建筑[2018]4号）及《厦门市住房和建设局等4家单位关于印发完善实施建设工程保证机制指导意见的通知》（厦住建建筑〔2024〕20号）的规定。</w:t>
      </w:r>
    </w:p>
    <w:p>
      <w:pPr>
        <w:adjustRightInd w:val="0"/>
        <w:spacing w:line="360" w:lineRule="auto"/>
        <w:ind w:firstLine="420" w:firstLineChars="200"/>
        <w:jc w:val="left"/>
        <w:textAlignment w:val="baseline"/>
        <w:rPr>
          <w:rFonts w:hint="eastAsia" w:cs="宋体"/>
          <w:color w:val="auto"/>
          <w:sz w:val="21"/>
          <w:szCs w:val="21"/>
          <w:highlight w:val="none"/>
        </w:rPr>
      </w:pPr>
      <w:r>
        <w:rPr>
          <w:rFonts w:hint="eastAsia" w:hAnsi="Times New Roman"/>
          <w:color w:val="0000FF"/>
          <w:sz w:val="21"/>
          <w:szCs w:val="21"/>
          <w:highlight w:val="none"/>
          <w:u w:val="single"/>
        </w:rPr>
        <w:t>5.银行保函、担保保函应为以项目业主为受益人的不可撤销、见索即付的无条件担保。办理履约担保所需的相关费用由中标人承担。</w:t>
      </w:r>
    </w:p>
    <w:p>
      <w:pPr>
        <w:adjustRightInd w:val="0"/>
        <w:spacing w:line="360" w:lineRule="auto"/>
        <w:ind w:firstLine="420" w:firstLineChars="200"/>
        <w:jc w:val="left"/>
        <w:textAlignment w:val="baseline"/>
        <w:rPr>
          <w:rFonts w:hint="default" w:eastAsia="宋体" w:cs="宋体"/>
          <w:color w:val="auto"/>
          <w:sz w:val="21"/>
          <w:szCs w:val="21"/>
          <w:highlight w:val="none"/>
          <w:lang w:val="en-US" w:eastAsia="zh-CN"/>
        </w:rPr>
      </w:pPr>
      <w:r>
        <w:rPr>
          <w:rFonts w:hint="eastAsia" w:cs="宋体"/>
          <w:color w:val="auto"/>
          <w:sz w:val="21"/>
          <w:szCs w:val="21"/>
          <w:highlight w:val="none"/>
          <w:lang w:eastAsia="zh-CN"/>
        </w:rPr>
        <w:t>金额：为中标合同价的</w:t>
      </w:r>
      <w:r>
        <w:rPr>
          <w:rFonts w:hint="eastAsia" w:cs="宋体"/>
          <w:color w:val="auto"/>
          <w:sz w:val="21"/>
          <w:szCs w:val="21"/>
          <w:highlight w:val="none"/>
          <w:lang w:val="en-US" w:eastAsia="zh-CN"/>
        </w:rPr>
        <w:t>10%。</w:t>
      </w:r>
    </w:p>
    <w:p>
      <w:pPr>
        <w:adjustRightInd w:val="0"/>
        <w:spacing w:line="360" w:lineRule="auto"/>
        <w:ind w:firstLine="420" w:firstLineChars="200"/>
        <w:jc w:val="left"/>
        <w:textAlignment w:val="baseline"/>
        <w:rPr>
          <w:rFonts w:cs="宋体"/>
          <w:color w:val="auto"/>
          <w:sz w:val="21"/>
          <w:szCs w:val="21"/>
          <w:highlight w:val="none"/>
        </w:rPr>
      </w:pPr>
      <w:r>
        <w:rPr>
          <w:rFonts w:hint="eastAsia" w:hAnsi="Times New Roman" w:cs="Times New Roman"/>
          <w:color w:val="0000FF"/>
          <w:sz w:val="21"/>
          <w:szCs w:val="21"/>
          <w:highlight w:val="none"/>
          <w:u w:val="single"/>
          <w:lang w:val="en-US" w:eastAsia="zh-CN"/>
        </w:rPr>
        <w:t>期限：</w:t>
      </w:r>
      <w:r>
        <w:rPr>
          <w:rFonts w:hint="eastAsia" w:ascii="宋体" w:hAnsi="Times New Roman" w:eastAsia="宋体" w:cs="Times New Roman"/>
          <w:color w:val="0000FF"/>
          <w:sz w:val="21"/>
          <w:szCs w:val="21"/>
          <w:highlight w:val="none"/>
          <w:u w:val="single"/>
          <w:lang w:val="en-US" w:eastAsia="zh-CN"/>
        </w:rPr>
        <w:t>从工程建设合同约定的开工之日起，至工程建设合同约定的竣工验收合格之日后90天止。如工程实际工期超过担保有效期，则有效期需延长至工程实际竣工验收合格之日后90日，否则，发包人有权暂扣与履约担保金金额相等的工程款，待工程竣工验收合格后14天内无息退还</w:t>
      </w:r>
      <w:r>
        <w:rPr>
          <w:rFonts w:hint="eastAsia" w:cs="宋体"/>
          <w:color w:val="auto"/>
          <w:sz w:val="21"/>
          <w:szCs w:val="21"/>
          <w:highlight w:val="none"/>
        </w:rPr>
        <w:t>。</w:t>
      </w:r>
      <w:r>
        <w:rPr>
          <w:rFonts w:hint="eastAsia" w:cs="宋体"/>
          <w:color w:val="0000FF"/>
          <w:kern w:val="1"/>
          <w:sz w:val="21"/>
          <w:szCs w:val="21"/>
          <w:highlight w:val="none"/>
          <w:u w:val="single"/>
        </w:rPr>
        <w:t>工期延长的，承包人应负责承担费用继续提供履约担保以覆盖延长的工期</w:t>
      </w:r>
      <w:r>
        <w:rPr>
          <w:rFonts w:hint="eastAsia" w:ascii="宋体" w:hAnsi="宋体" w:cs="宋体"/>
          <w:color w:val="auto"/>
          <w:sz w:val="21"/>
          <w:szCs w:val="21"/>
          <w:highlight w:val="none"/>
        </w:rPr>
        <w:t>。</w:t>
      </w:r>
    </w:p>
    <w:p>
      <w:pPr>
        <w:keepNext/>
        <w:keepLines/>
        <w:adjustRightInd w:val="0"/>
        <w:spacing w:beforeLines="50" w:line="360" w:lineRule="auto"/>
        <w:textAlignment w:val="baseline"/>
        <w:outlineLvl w:val="4"/>
        <w:rPr>
          <w:rFonts w:cs="宋体"/>
          <w:b/>
          <w:bCs/>
          <w:color w:val="auto"/>
          <w:sz w:val="21"/>
          <w:szCs w:val="21"/>
          <w:highlight w:val="none"/>
        </w:rPr>
      </w:pPr>
      <w:r>
        <w:rPr>
          <w:rFonts w:hint="eastAsia" w:cs="宋体"/>
          <w:b/>
          <w:bCs/>
          <w:color w:val="auto"/>
          <w:sz w:val="21"/>
          <w:szCs w:val="21"/>
          <w:highlight w:val="none"/>
        </w:rPr>
        <w:t>4</w:t>
      </w:r>
      <w:bookmarkStart w:id="1354" w:name="_Toc63471470"/>
      <w:bookmarkStart w:id="1355" w:name="_Toc13309388"/>
      <w:r>
        <w:rPr>
          <w:rFonts w:hint="eastAsia" w:cs="宋体"/>
          <w:b/>
          <w:bCs/>
          <w:color w:val="auto"/>
          <w:sz w:val="21"/>
          <w:szCs w:val="21"/>
          <w:highlight w:val="none"/>
        </w:rPr>
        <w:t>. 监理人</w:t>
      </w:r>
    </w:p>
    <w:bookmarkEnd w:id="1354"/>
    <w:bookmarkEnd w:id="1355"/>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4.1监理人的一般规定</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关于监理人的监理内容：</w:t>
      </w:r>
      <w:r>
        <w:rPr>
          <w:rFonts w:hint="eastAsia" w:ascii="宋体" w:hAnsi="宋体" w:eastAsia="宋体" w:cs="宋体"/>
          <w:color w:val="0000FF"/>
          <w:kern w:val="1"/>
          <w:sz w:val="21"/>
          <w:szCs w:val="21"/>
          <w:highlight w:val="none"/>
          <w:u w:val="single"/>
          <w:lang w:eastAsia="zh-CN"/>
        </w:rPr>
        <w:t>《委托监理合同》内发包人委托的职权，本工程全权委托监理人监理</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关于监理人的监理权限：</w:t>
      </w:r>
      <w:r>
        <w:rPr>
          <w:rFonts w:hint="eastAsia" w:ascii="宋体" w:hAnsi="宋体" w:eastAsia="宋体" w:cs="宋体"/>
          <w:color w:val="0000FF"/>
          <w:kern w:val="1"/>
          <w:sz w:val="21"/>
          <w:szCs w:val="21"/>
          <w:highlight w:val="none"/>
          <w:u w:val="single"/>
          <w:lang w:eastAsia="zh-CN"/>
        </w:rPr>
        <w:t>本工程全权委托监理人监理，但本项目设计变更、费用增减、工期顺延的指令、总监理工程师签发任何付款凭证及主要管理人员更换、分包单位的确定、试验单位资质审核、主材进场审核等需经发包人同意方为有效</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关于监理人在施工现场的办公场所、生活场所的提供和费用承担的约定：</w:t>
      </w:r>
      <w:r>
        <w:rPr>
          <w:rFonts w:hint="eastAsia" w:ascii="宋体" w:hAnsi="宋体" w:eastAsia="宋体" w:cs="宋体"/>
          <w:color w:val="0000FF"/>
          <w:kern w:val="1"/>
          <w:sz w:val="21"/>
          <w:szCs w:val="21"/>
          <w:highlight w:val="none"/>
          <w:u w:val="single"/>
          <w:lang w:eastAsia="zh-CN"/>
        </w:rPr>
        <w:t>承包人向发包人和监理人提供必要的办公场所及办公设备（提供必要的诸如打印机、办公桌等相关办公设施），相关费用含入投标报价中，中标后不予增补</w:t>
      </w:r>
      <w:r>
        <w:rPr>
          <w:rFonts w:hint="eastAsia" w:cs="宋体"/>
          <w:color w:val="auto"/>
          <w:sz w:val="21"/>
          <w:szCs w:val="21"/>
          <w:highlight w:val="none"/>
        </w:rPr>
        <w:t>。</w:t>
      </w:r>
    </w:p>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4.2 监理人员</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总监理工程师：</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姓    名：</w:t>
      </w:r>
      <w:r>
        <w:rPr>
          <w:rFonts w:hint="eastAsia" w:ascii="宋体" w:hAnsi="宋体" w:eastAsia="宋体" w:cs="Times New Roman"/>
          <w:color w:val="0000FF"/>
          <w:sz w:val="21"/>
          <w:szCs w:val="21"/>
          <w:highlight w:val="none"/>
          <w:u w:val="single" w:color="000000"/>
        </w:rPr>
        <w:t>（签订合同时填写</w:t>
      </w:r>
      <w:r>
        <w:rPr>
          <w:rFonts w:hint="eastAsia" w:ascii="宋体" w:hAnsi="宋体" w:eastAsia="宋体" w:cs="Times New Roman"/>
          <w:color w:val="0000FF"/>
          <w:sz w:val="21"/>
          <w:szCs w:val="21"/>
          <w:highlight w:val="none"/>
          <w:u w:val="single" w:color="000000"/>
          <w:lang w:eastAsia="zh-CN"/>
        </w:rPr>
        <w:t>）</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职    务：</w:t>
      </w:r>
      <w:r>
        <w:rPr>
          <w:rFonts w:hint="eastAsia" w:ascii="宋体" w:hAnsi="宋体" w:eastAsia="宋体" w:cs="Times New Roman"/>
          <w:color w:val="0000FF"/>
          <w:sz w:val="21"/>
          <w:szCs w:val="21"/>
          <w:highlight w:val="none"/>
          <w:u w:val="single" w:color="000000"/>
        </w:rPr>
        <w:t>（签订合同时填写</w:t>
      </w:r>
      <w:r>
        <w:rPr>
          <w:rFonts w:hint="eastAsia" w:ascii="宋体" w:hAnsi="宋体" w:eastAsia="宋体" w:cs="Times New Roman"/>
          <w:color w:val="0000FF"/>
          <w:sz w:val="21"/>
          <w:szCs w:val="21"/>
          <w:highlight w:val="none"/>
          <w:u w:val="single" w:color="000000"/>
          <w:lang w:eastAsia="zh-CN"/>
        </w:rPr>
        <w:t>）</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监理工程师执业资格证书号：</w:t>
      </w:r>
      <w:r>
        <w:rPr>
          <w:rFonts w:hint="eastAsia" w:ascii="宋体" w:hAnsi="宋体" w:eastAsia="宋体" w:cs="Times New Roman"/>
          <w:color w:val="0000FF"/>
          <w:sz w:val="21"/>
          <w:szCs w:val="21"/>
          <w:highlight w:val="none"/>
          <w:u w:val="single" w:color="000000"/>
        </w:rPr>
        <w:t>（签订合同时填写</w:t>
      </w:r>
      <w:r>
        <w:rPr>
          <w:rFonts w:hint="eastAsia" w:ascii="宋体" w:hAnsi="宋体" w:eastAsia="宋体" w:cs="Times New Roman"/>
          <w:color w:val="0000FF"/>
          <w:sz w:val="21"/>
          <w:szCs w:val="21"/>
          <w:highlight w:val="none"/>
          <w:u w:val="single" w:color="000000"/>
          <w:lang w:eastAsia="zh-CN"/>
        </w:rPr>
        <w:t>）</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联系电话：</w:t>
      </w:r>
      <w:r>
        <w:rPr>
          <w:rFonts w:hint="eastAsia" w:ascii="宋体" w:hAnsi="宋体" w:eastAsia="宋体" w:cs="Times New Roman"/>
          <w:color w:val="0000FF"/>
          <w:sz w:val="21"/>
          <w:szCs w:val="21"/>
          <w:highlight w:val="none"/>
          <w:u w:val="single" w:color="000000"/>
        </w:rPr>
        <w:t>（签订合同时填写</w:t>
      </w:r>
      <w:r>
        <w:rPr>
          <w:rFonts w:hint="eastAsia" w:ascii="宋体" w:hAnsi="宋体" w:eastAsia="宋体" w:cs="Times New Roman"/>
          <w:color w:val="0000FF"/>
          <w:sz w:val="21"/>
          <w:szCs w:val="21"/>
          <w:highlight w:val="none"/>
          <w:u w:val="single" w:color="000000"/>
          <w:lang w:eastAsia="zh-CN"/>
        </w:rPr>
        <w:t>）</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电子信箱：</w:t>
      </w:r>
      <w:r>
        <w:rPr>
          <w:rFonts w:hint="eastAsia" w:ascii="宋体" w:hAnsi="宋体" w:eastAsia="宋体" w:cs="Times New Roman"/>
          <w:color w:val="0000FF"/>
          <w:sz w:val="21"/>
          <w:szCs w:val="21"/>
          <w:highlight w:val="none"/>
          <w:u w:val="single" w:color="000000"/>
        </w:rPr>
        <w:t>（签订合同时填写</w:t>
      </w:r>
      <w:r>
        <w:rPr>
          <w:rFonts w:hint="eastAsia" w:ascii="宋体" w:hAnsi="宋体" w:eastAsia="宋体" w:cs="Times New Roman"/>
          <w:color w:val="0000FF"/>
          <w:sz w:val="21"/>
          <w:szCs w:val="21"/>
          <w:highlight w:val="none"/>
          <w:u w:val="single" w:color="000000"/>
          <w:lang w:eastAsia="zh-CN"/>
        </w:rPr>
        <w:t>）</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通信地址：</w:t>
      </w:r>
      <w:r>
        <w:rPr>
          <w:rFonts w:hint="eastAsia" w:ascii="宋体" w:hAnsi="宋体" w:eastAsia="宋体" w:cs="Times New Roman"/>
          <w:color w:val="0000FF"/>
          <w:sz w:val="21"/>
          <w:szCs w:val="21"/>
          <w:highlight w:val="none"/>
          <w:u w:val="single" w:color="000000"/>
        </w:rPr>
        <w:t>（签订合同时填写</w:t>
      </w:r>
      <w:r>
        <w:rPr>
          <w:rFonts w:hint="eastAsia" w:ascii="宋体" w:hAnsi="宋体" w:eastAsia="宋体" w:cs="Times New Roman"/>
          <w:color w:val="0000FF"/>
          <w:sz w:val="21"/>
          <w:szCs w:val="21"/>
          <w:highlight w:val="none"/>
          <w:u w:val="single" w:color="000000"/>
          <w:lang w:eastAsia="zh-CN"/>
        </w:rPr>
        <w:t>）</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关于监理人的其他约定：</w:t>
      </w:r>
      <w:r>
        <w:rPr>
          <w:rFonts w:hint="eastAsia" w:ascii="宋体" w:hAnsi="宋体" w:eastAsia="宋体" w:cs="Times New Roman"/>
          <w:color w:val="0000FF"/>
          <w:sz w:val="21"/>
          <w:szCs w:val="21"/>
          <w:highlight w:val="none"/>
          <w:u w:val="single" w:color="000000"/>
        </w:rPr>
        <w:t>执行通用合同条款</w:t>
      </w:r>
      <w:r>
        <w:rPr>
          <w:rFonts w:hint="eastAsia" w:cs="宋体"/>
          <w:color w:val="auto"/>
          <w:sz w:val="21"/>
          <w:szCs w:val="21"/>
          <w:highlight w:val="none"/>
        </w:rPr>
        <w:t>。</w:t>
      </w:r>
    </w:p>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4.4 商定或确定</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在发包人和承包人不能通过协商达成一致意见时，发包人授权监理人对以下事项进行确定：</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w:t>
      </w:r>
      <w:r>
        <w:rPr>
          <w:rFonts w:hint="eastAsia" w:ascii="宋体" w:hAnsi="宋体" w:eastAsia="宋体" w:cs="Times New Roman"/>
          <w:color w:val="0000FF"/>
          <w:sz w:val="21"/>
          <w:szCs w:val="21"/>
          <w:highlight w:val="none"/>
          <w:u w:val="single" w:color="000000"/>
        </w:rPr>
        <w:t>工程进度</w:t>
      </w:r>
      <w:r>
        <w:rPr>
          <w:rFonts w:hint="eastAsia" w:cs="宋体"/>
          <w:color w:val="auto"/>
          <w:sz w:val="21"/>
          <w:szCs w:val="21"/>
          <w:highlight w:val="none"/>
        </w:rPr>
        <w:t>；</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w:t>
      </w:r>
      <w:r>
        <w:rPr>
          <w:rFonts w:hint="eastAsia" w:ascii="宋体" w:hAnsi="宋体" w:eastAsia="宋体" w:cs="Times New Roman"/>
          <w:color w:val="0000FF"/>
          <w:sz w:val="21"/>
          <w:szCs w:val="21"/>
          <w:highlight w:val="none"/>
          <w:u w:val="single" w:color="000000"/>
        </w:rPr>
        <w:t>现场工程量和费用签证</w:t>
      </w:r>
      <w:r>
        <w:rPr>
          <w:rFonts w:hint="eastAsia" w:cs="宋体"/>
          <w:color w:val="auto"/>
          <w:sz w:val="21"/>
          <w:szCs w:val="21"/>
          <w:highlight w:val="none"/>
        </w:rPr>
        <w:t>；</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w:t>
      </w:r>
      <w:r>
        <w:rPr>
          <w:rFonts w:hint="eastAsia" w:ascii="宋体" w:hAnsi="宋体" w:eastAsia="宋体" w:cs="Times New Roman"/>
          <w:color w:val="0000FF"/>
          <w:sz w:val="21"/>
          <w:szCs w:val="21"/>
          <w:highlight w:val="none"/>
          <w:u w:val="single" w:color="000000"/>
        </w:rPr>
        <w:t>工程质量</w:t>
      </w:r>
      <w:r>
        <w:rPr>
          <w:rFonts w:hint="eastAsia" w:cs="宋体"/>
          <w:color w:val="auto"/>
          <w:sz w:val="21"/>
          <w:szCs w:val="21"/>
          <w:highlight w:val="none"/>
        </w:rPr>
        <w:t>。</w:t>
      </w:r>
    </w:p>
    <w:p>
      <w:pPr>
        <w:keepNext/>
        <w:keepLines/>
        <w:adjustRightInd w:val="0"/>
        <w:spacing w:beforeLines="50" w:line="360" w:lineRule="auto"/>
        <w:textAlignment w:val="baseline"/>
        <w:outlineLvl w:val="4"/>
        <w:rPr>
          <w:rFonts w:cs="宋体"/>
          <w:b/>
          <w:bCs/>
          <w:color w:val="auto"/>
          <w:sz w:val="21"/>
          <w:szCs w:val="21"/>
          <w:highlight w:val="none"/>
        </w:rPr>
      </w:pPr>
      <w:r>
        <w:rPr>
          <w:rFonts w:hint="eastAsia" w:cs="宋体"/>
          <w:b/>
          <w:bCs/>
          <w:color w:val="auto"/>
          <w:sz w:val="21"/>
          <w:szCs w:val="21"/>
          <w:highlight w:val="none"/>
        </w:rPr>
        <w:t>5</w:t>
      </w:r>
      <w:bookmarkStart w:id="1356" w:name="_Toc63471471"/>
      <w:bookmarkStart w:id="1357" w:name="_Toc13309389"/>
      <w:r>
        <w:rPr>
          <w:rFonts w:hint="eastAsia" w:cs="宋体"/>
          <w:b/>
          <w:bCs/>
          <w:color w:val="auto"/>
          <w:sz w:val="21"/>
          <w:szCs w:val="21"/>
          <w:highlight w:val="none"/>
        </w:rPr>
        <w:t>. 工程质量</w:t>
      </w:r>
    </w:p>
    <w:bookmarkEnd w:id="1356"/>
    <w:bookmarkEnd w:id="1357"/>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5.1 质量要求</w:t>
      </w:r>
    </w:p>
    <w:p>
      <w:pPr>
        <w:adjustRightInd w:val="0"/>
        <w:spacing w:line="360" w:lineRule="auto"/>
        <w:ind w:firstLine="420" w:firstLineChars="200"/>
        <w:jc w:val="left"/>
        <w:textAlignment w:val="baseline"/>
        <w:rPr>
          <w:rFonts w:hint="eastAsia" w:cs="宋体"/>
          <w:color w:val="0000FF"/>
          <w:sz w:val="21"/>
          <w:szCs w:val="21"/>
          <w:highlight w:val="none"/>
          <w:u w:val="single"/>
        </w:rPr>
      </w:pPr>
      <w:r>
        <w:rPr>
          <w:rFonts w:hint="eastAsia" w:cs="宋体"/>
          <w:color w:val="auto"/>
          <w:sz w:val="21"/>
          <w:szCs w:val="21"/>
          <w:highlight w:val="none"/>
        </w:rPr>
        <w:t>5.1.1 特殊质量标准和要求：</w:t>
      </w:r>
      <w:r>
        <w:rPr>
          <w:rFonts w:hint="eastAsia" w:cs="宋体"/>
          <w:color w:val="0000FF"/>
          <w:sz w:val="21"/>
          <w:szCs w:val="21"/>
          <w:highlight w:val="none"/>
          <w:u w:val="single"/>
        </w:rPr>
        <w:t>应符合设计及施工规范要求，同时承包人应严格按照以下质量管理准则实施。若未按要求执行，除已明确处罚金额外，每发现一处罚款1000元，可累计罚款，直到整改到位为止，发包人有权从工程款中直接扣除。</w:t>
      </w:r>
    </w:p>
    <w:p>
      <w:pPr>
        <w:adjustRightInd w:val="0"/>
        <w:spacing w:line="360" w:lineRule="auto"/>
        <w:ind w:firstLine="420" w:firstLineChars="200"/>
        <w:jc w:val="left"/>
        <w:textAlignment w:val="baseline"/>
        <w:rPr>
          <w:rFonts w:hint="eastAsia" w:cs="宋体"/>
          <w:color w:val="0000FF"/>
          <w:sz w:val="21"/>
          <w:szCs w:val="21"/>
          <w:highlight w:val="none"/>
          <w:u w:val="single"/>
        </w:rPr>
      </w:pPr>
      <w:r>
        <w:rPr>
          <w:rFonts w:hint="eastAsia" w:cs="宋体"/>
          <w:color w:val="0000FF"/>
          <w:sz w:val="21"/>
          <w:szCs w:val="21"/>
          <w:highlight w:val="none"/>
          <w:u w:val="single"/>
        </w:rPr>
        <w:t>5.1.1.1 项目推行首件分析制，要求工序样板确认，样板引入具备针对性且符合现场实际，设置分项不少于栏杆安装、砌筑施工、抹灰施工、门窗安装、卫生间防水施工、屋面构造及防水施工、卫生间构筑及防水施工、</w:t>
      </w:r>
      <w:r>
        <w:rPr>
          <w:rFonts w:hint="eastAsia" w:cs="宋体"/>
          <w:color w:val="FF0000"/>
          <w:sz w:val="21"/>
          <w:szCs w:val="21"/>
          <w:highlight w:val="none"/>
          <w:u w:val="single"/>
        </w:rPr>
        <w:t>公共部分精装修样板、外立面装饰样板</w:t>
      </w:r>
      <w:r>
        <w:rPr>
          <w:rFonts w:hint="eastAsia" w:cs="宋体"/>
          <w:color w:val="0000FF"/>
          <w:sz w:val="21"/>
          <w:szCs w:val="21"/>
          <w:highlight w:val="none"/>
          <w:u w:val="single"/>
        </w:rPr>
        <w:t>等，制作要求及完成时间详见工序样板工作指引，经公司组织工序及样板验收合格后方可按该工序工法进行施工作业。</w:t>
      </w:r>
    </w:p>
    <w:p>
      <w:pPr>
        <w:adjustRightInd w:val="0"/>
        <w:spacing w:line="360" w:lineRule="auto"/>
        <w:ind w:firstLine="420" w:firstLineChars="200"/>
        <w:jc w:val="left"/>
        <w:textAlignment w:val="baseline"/>
        <w:rPr>
          <w:rFonts w:hint="eastAsia" w:cs="宋体"/>
          <w:color w:val="0000FF"/>
          <w:sz w:val="21"/>
          <w:szCs w:val="21"/>
          <w:highlight w:val="none"/>
          <w:u w:val="single"/>
        </w:rPr>
      </w:pPr>
      <w:r>
        <w:rPr>
          <w:rFonts w:hint="eastAsia" w:cs="宋体"/>
          <w:color w:val="0000FF"/>
          <w:sz w:val="21"/>
          <w:szCs w:val="21"/>
          <w:highlight w:val="none"/>
          <w:u w:val="single"/>
        </w:rPr>
        <w:t>5.1.1.2 重点质量问题防治。对重要分部分项工程实行关键工序质量控制，包括土建、装修、安装三个专业工程，具体详见关键工序及控制要点表，如土建工程包括桩基工程、地下室分部工程、卫生间防渗漏、砌体工程、粉刷工程、铝合金门窗工程、屋面工程等，按照控制要点、标准及验收要求执行。</w:t>
      </w:r>
    </w:p>
    <w:p>
      <w:pPr>
        <w:adjustRightInd w:val="0"/>
        <w:spacing w:line="360" w:lineRule="auto"/>
        <w:ind w:firstLine="420" w:firstLineChars="200"/>
        <w:jc w:val="left"/>
        <w:textAlignment w:val="baseline"/>
        <w:rPr>
          <w:rFonts w:hint="eastAsia" w:cs="宋体"/>
          <w:color w:val="0000FF"/>
          <w:sz w:val="21"/>
          <w:szCs w:val="21"/>
          <w:highlight w:val="none"/>
          <w:u w:val="single"/>
        </w:rPr>
      </w:pPr>
      <w:r>
        <w:rPr>
          <w:rFonts w:hint="eastAsia" w:cs="宋体"/>
          <w:color w:val="0000FF"/>
          <w:sz w:val="21"/>
          <w:szCs w:val="21"/>
          <w:highlight w:val="none"/>
          <w:u w:val="single"/>
        </w:rPr>
        <w:t>5.1.1.3 工程质量风险防控，对防渗漏、墙面空鼓或开裂等进行质量严格管控。</w:t>
      </w:r>
    </w:p>
    <w:p>
      <w:pPr>
        <w:adjustRightInd w:val="0"/>
        <w:spacing w:line="360" w:lineRule="auto"/>
        <w:ind w:firstLine="420" w:firstLineChars="200"/>
        <w:jc w:val="left"/>
        <w:textAlignment w:val="baseline"/>
        <w:rPr>
          <w:rFonts w:hint="eastAsia" w:cs="宋体"/>
          <w:color w:val="0000FF"/>
          <w:sz w:val="21"/>
          <w:szCs w:val="21"/>
          <w:highlight w:val="none"/>
          <w:u w:val="single"/>
        </w:rPr>
      </w:pPr>
      <w:r>
        <w:rPr>
          <w:rFonts w:hint="eastAsia" w:cs="宋体"/>
          <w:color w:val="0000FF"/>
          <w:sz w:val="21"/>
          <w:szCs w:val="21"/>
          <w:highlight w:val="none"/>
          <w:u w:val="single"/>
        </w:rPr>
        <w:t>（1）反坎：厨房、卫生间、水电井等处反坎应一次性浇筑。</w:t>
      </w:r>
    </w:p>
    <w:p>
      <w:pPr>
        <w:adjustRightInd w:val="0"/>
        <w:spacing w:line="360" w:lineRule="auto"/>
        <w:ind w:firstLine="420" w:firstLineChars="200"/>
        <w:jc w:val="left"/>
        <w:textAlignment w:val="baseline"/>
        <w:rPr>
          <w:rFonts w:hint="eastAsia" w:cs="宋体"/>
          <w:color w:val="0000FF"/>
          <w:sz w:val="21"/>
          <w:szCs w:val="21"/>
          <w:highlight w:val="none"/>
          <w:u w:val="single"/>
        </w:rPr>
      </w:pPr>
      <w:r>
        <w:rPr>
          <w:rFonts w:hint="eastAsia" w:cs="宋体"/>
          <w:color w:val="0000FF"/>
          <w:sz w:val="21"/>
          <w:szCs w:val="21"/>
          <w:highlight w:val="none"/>
          <w:u w:val="single"/>
        </w:rPr>
        <w:t>（2）外窗台先浇筑：外窗窗台混凝土压顶应采用现浇方式，窗台压顶坡度符合要求；窗台板表面不得出现开裂。</w:t>
      </w:r>
    </w:p>
    <w:p>
      <w:pPr>
        <w:adjustRightInd w:val="0"/>
        <w:spacing w:line="360" w:lineRule="auto"/>
        <w:ind w:firstLine="420" w:firstLineChars="200"/>
        <w:jc w:val="left"/>
        <w:textAlignment w:val="baseline"/>
        <w:rPr>
          <w:rFonts w:hint="eastAsia" w:cs="宋体"/>
          <w:color w:val="0000FF"/>
          <w:sz w:val="21"/>
          <w:szCs w:val="21"/>
          <w:highlight w:val="none"/>
          <w:u w:val="single"/>
        </w:rPr>
      </w:pPr>
      <w:r>
        <w:rPr>
          <w:rFonts w:hint="eastAsia" w:cs="宋体"/>
          <w:color w:val="0000FF"/>
          <w:sz w:val="21"/>
          <w:szCs w:val="21"/>
          <w:highlight w:val="none"/>
          <w:u w:val="single"/>
        </w:rPr>
        <w:t>（3）外窗框、洞间隙：外门窗预留洞口与钢副框或主框的间隙尺寸超过35mm时，应用细石混凝土回补，细石混凝土宽度同墙宽，厚度不小于80mm。</w:t>
      </w:r>
    </w:p>
    <w:p>
      <w:pPr>
        <w:adjustRightInd w:val="0"/>
        <w:spacing w:line="360" w:lineRule="auto"/>
        <w:ind w:firstLine="420" w:firstLineChars="200"/>
        <w:jc w:val="left"/>
        <w:textAlignment w:val="baseline"/>
        <w:rPr>
          <w:rFonts w:hint="eastAsia" w:cs="宋体"/>
          <w:color w:val="0000FF"/>
          <w:sz w:val="21"/>
          <w:szCs w:val="21"/>
          <w:highlight w:val="none"/>
          <w:u w:val="single"/>
        </w:rPr>
      </w:pPr>
      <w:r>
        <w:rPr>
          <w:rFonts w:hint="eastAsia" w:cs="宋体"/>
          <w:color w:val="0000FF"/>
          <w:sz w:val="21"/>
          <w:szCs w:val="21"/>
          <w:highlight w:val="none"/>
          <w:u w:val="single"/>
        </w:rPr>
        <w:t>（4）外窗塞缝：砂浆应采用河沙；门下坎距底部300mm高度范围应用防水砂浆塞缝。</w:t>
      </w:r>
    </w:p>
    <w:p>
      <w:pPr>
        <w:adjustRightInd w:val="0"/>
        <w:spacing w:line="360" w:lineRule="auto"/>
        <w:ind w:firstLine="420" w:firstLineChars="200"/>
        <w:jc w:val="left"/>
        <w:textAlignment w:val="baseline"/>
        <w:rPr>
          <w:rFonts w:hint="eastAsia" w:cs="宋体"/>
          <w:color w:val="0000FF"/>
          <w:sz w:val="21"/>
          <w:szCs w:val="21"/>
          <w:highlight w:val="none"/>
          <w:u w:val="single"/>
        </w:rPr>
      </w:pPr>
      <w:r>
        <w:rPr>
          <w:rFonts w:hint="eastAsia" w:cs="宋体"/>
          <w:color w:val="0000FF"/>
          <w:sz w:val="21"/>
          <w:szCs w:val="21"/>
          <w:highlight w:val="none"/>
          <w:u w:val="single"/>
        </w:rPr>
        <w:t>（5）门窗滴水、排水：窗顶≥3%坡度及滴水、窗台≥6%坡度。</w:t>
      </w:r>
    </w:p>
    <w:p>
      <w:pPr>
        <w:adjustRightInd w:val="0"/>
        <w:spacing w:line="360" w:lineRule="auto"/>
        <w:ind w:firstLine="420" w:firstLineChars="200"/>
        <w:jc w:val="left"/>
        <w:textAlignment w:val="baseline"/>
        <w:rPr>
          <w:rFonts w:hint="eastAsia" w:cs="宋体"/>
          <w:color w:val="0000FF"/>
          <w:sz w:val="21"/>
          <w:szCs w:val="21"/>
          <w:highlight w:val="none"/>
          <w:u w:val="single"/>
        </w:rPr>
      </w:pPr>
      <w:r>
        <w:rPr>
          <w:rFonts w:hint="eastAsia" w:cs="宋体"/>
          <w:color w:val="0000FF"/>
          <w:sz w:val="21"/>
          <w:szCs w:val="21"/>
          <w:highlight w:val="none"/>
          <w:u w:val="single"/>
        </w:rPr>
        <w:t>（6）铝合金门窗本体构造：铝合金窗框阴角应在加工厂打胶完毕；内、外平开窗外框应采用闭口腔，组角部位应采用组角胶、防渗胶，组角胶应饱满；宽度≤2800mm 的组合平开窗在加强中挺位置外框不得断开，宽度＞2800mm 的组合平开窗必须采用“分樘组合”的方式安装；内平开窗鸭舌胶条转角部位应采用专用转角胶条；明框玻璃幕墙压板应通长设置；外窗玻璃与框型材装配间隙应为：（5-8）mm；型材拼缝宽度≤0.3mm；现场具备条件后随机抽取3樘进行外窗淋水试验（玻璃安装及密封胶施打完成后）。</w:t>
      </w:r>
    </w:p>
    <w:p>
      <w:pPr>
        <w:adjustRightInd w:val="0"/>
        <w:spacing w:line="360" w:lineRule="auto"/>
        <w:ind w:firstLine="420" w:firstLineChars="200"/>
        <w:jc w:val="left"/>
        <w:textAlignment w:val="baseline"/>
        <w:rPr>
          <w:rFonts w:hint="eastAsia" w:cs="宋体"/>
          <w:color w:val="0000FF"/>
          <w:sz w:val="21"/>
          <w:szCs w:val="21"/>
          <w:highlight w:val="none"/>
          <w:u w:val="single"/>
        </w:rPr>
      </w:pPr>
      <w:r>
        <w:rPr>
          <w:rFonts w:hint="eastAsia" w:cs="宋体"/>
          <w:color w:val="0000FF"/>
          <w:sz w:val="21"/>
          <w:szCs w:val="21"/>
          <w:highlight w:val="none"/>
          <w:u w:val="single"/>
        </w:rPr>
        <w:t>（7）外窗打胶：外窗塞缝发泡剂外露，严禁采用切割方式处理；涂料外墙的外窗与墙体密封胶严禁施打在涂料层上。</w:t>
      </w:r>
    </w:p>
    <w:p>
      <w:pPr>
        <w:adjustRightInd w:val="0"/>
        <w:spacing w:line="360" w:lineRule="auto"/>
        <w:ind w:firstLine="420" w:firstLineChars="200"/>
        <w:jc w:val="left"/>
        <w:textAlignment w:val="baseline"/>
        <w:rPr>
          <w:rFonts w:hint="eastAsia" w:cs="宋体"/>
          <w:color w:val="0000FF"/>
          <w:sz w:val="21"/>
          <w:szCs w:val="21"/>
          <w:highlight w:val="none"/>
          <w:u w:val="single"/>
        </w:rPr>
      </w:pPr>
      <w:r>
        <w:rPr>
          <w:rFonts w:hint="eastAsia" w:cs="宋体"/>
          <w:color w:val="0000FF"/>
          <w:sz w:val="21"/>
          <w:szCs w:val="21"/>
          <w:highlight w:val="none"/>
          <w:u w:val="single"/>
        </w:rPr>
        <w:t>（8）外墙构造柱：外墙构造柱模板应采用牛腿式安装，确保顶部混凝土浇筑密实、未产生裂缝。</w:t>
      </w:r>
    </w:p>
    <w:p>
      <w:pPr>
        <w:adjustRightInd w:val="0"/>
        <w:spacing w:line="360" w:lineRule="auto"/>
        <w:ind w:firstLine="420" w:firstLineChars="200"/>
        <w:jc w:val="left"/>
        <w:textAlignment w:val="baseline"/>
        <w:rPr>
          <w:rFonts w:hint="eastAsia" w:cs="宋体"/>
          <w:color w:val="0000FF"/>
          <w:sz w:val="21"/>
          <w:szCs w:val="21"/>
          <w:highlight w:val="none"/>
          <w:u w:val="single"/>
        </w:rPr>
      </w:pPr>
      <w:r>
        <w:rPr>
          <w:rFonts w:hint="eastAsia" w:cs="宋体"/>
          <w:color w:val="0000FF"/>
          <w:sz w:val="21"/>
          <w:szCs w:val="21"/>
          <w:highlight w:val="none"/>
          <w:u w:val="single"/>
        </w:rPr>
        <w:t>（9）外墙、砌体灰缝:外墙砌体双面勾缝、密实；外架拉接杆、穿墙螺杆、穿墙洞封堵密实，外墙螺杆洞应在外墙甩浆前封堵完成。</w:t>
      </w:r>
    </w:p>
    <w:p>
      <w:pPr>
        <w:adjustRightInd w:val="0"/>
        <w:spacing w:line="360" w:lineRule="auto"/>
        <w:ind w:firstLine="420" w:firstLineChars="200"/>
        <w:jc w:val="left"/>
        <w:textAlignment w:val="baseline"/>
        <w:rPr>
          <w:rFonts w:hint="eastAsia" w:cs="宋体"/>
          <w:color w:val="0000FF"/>
          <w:sz w:val="21"/>
          <w:szCs w:val="21"/>
          <w:highlight w:val="none"/>
          <w:u w:val="single"/>
        </w:rPr>
      </w:pPr>
      <w:r>
        <w:rPr>
          <w:rFonts w:hint="eastAsia" w:cs="宋体"/>
          <w:color w:val="0000FF"/>
          <w:sz w:val="21"/>
          <w:szCs w:val="21"/>
          <w:highlight w:val="none"/>
          <w:u w:val="single"/>
        </w:rPr>
        <w:t>（10）外墙后取孔:管道穿外墙严禁后取孔，砼墙应预埋止水套管，砌体墙应采用带套管的预埋块。</w:t>
      </w:r>
    </w:p>
    <w:p>
      <w:pPr>
        <w:adjustRightInd w:val="0"/>
        <w:spacing w:line="360" w:lineRule="auto"/>
        <w:ind w:firstLine="420" w:firstLineChars="200"/>
        <w:jc w:val="left"/>
        <w:textAlignment w:val="baseline"/>
        <w:rPr>
          <w:rFonts w:hint="eastAsia" w:cs="宋体"/>
          <w:color w:val="0000FF"/>
          <w:sz w:val="21"/>
          <w:szCs w:val="21"/>
          <w:highlight w:val="none"/>
          <w:u w:val="single"/>
        </w:rPr>
      </w:pPr>
      <w:r>
        <w:rPr>
          <w:rFonts w:hint="eastAsia" w:cs="宋体"/>
          <w:color w:val="0000FF"/>
          <w:sz w:val="21"/>
          <w:szCs w:val="21"/>
          <w:highlight w:val="none"/>
          <w:u w:val="single"/>
        </w:rPr>
        <w:t>（11）铁丝吊模:孔洞封堵禁用铁丝吊模。</w:t>
      </w:r>
    </w:p>
    <w:p>
      <w:pPr>
        <w:adjustRightInd w:val="0"/>
        <w:spacing w:line="360" w:lineRule="auto"/>
        <w:ind w:firstLine="420" w:firstLineChars="200"/>
        <w:jc w:val="left"/>
        <w:textAlignment w:val="baseline"/>
        <w:rPr>
          <w:rFonts w:hint="eastAsia" w:cs="宋体"/>
          <w:color w:val="0000FF"/>
          <w:sz w:val="21"/>
          <w:szCs w:val="21"/>
          <w:highlight w:val="none"/>
          <w:u w:val="single"/>
        </w:rPr>
      </w:pPr>
      <w:r>
        <w:rPr>
          <w:rFonts w:hint="eastAsia" w:cs="宋体"/>
          <w:color w:val="0000FF"/>
          <w:sz w:val="21"/>
          <w:szCs w:val="21"/>
          <w:highlight w:val="none"/>
          <w:u w:val="single"/>
        </w:rPr>
        <w:t>（12）屋面:出屋面管道</w:t>
      </w:r>
      <w:r>
        <w:rPr>
          <w:rFonts w:hint="eastAsia" w:cs="宋体"/>
          <w:color w:val="0000FF"/>
          <w:sz w:val="21"/>
          <w:szCs w:val="21"/>
          <w:highlight w:val="none"/>
          <w:u w:val="single"/>
          <w:lang w:val="en-US" w:eastAsia="zh-CN"/>
        </w:rPr>
        <w:t>应</w:t>
      </w:r>
      <w:r>
        <w:rPr>
          <w:rFonts w:hint="eastAsia" w:cs="宋体"/>
          <w:color w:val="0000FF"/>
          <w:sz w:val="21"/>
          <w:szCs w:val="21"/>
          <w:highlight w:val="none"/>
          <w:u w:val="single"/>
        </w:rPr>
        <w:t>设置带止水翼金属套管；屋面套管高度不低于完成面30cm；屋面结构反梁突出完成面影响排水而</w:t>
      </w:r>
      <w:r>
        <w:rPr>
          <w:rFonts w:hint="eastAsia" w:cs="宋体"/>
          <w:color w:val="0000FF"/>
          <w:sz w:val="21"/>
          <w:szCs w:val="21"/>
          <w:highlight w:val="none"/>
          <w:u w:val="single"/>
          <w:lang w:val="en-US" w:eastAsia="zh-CN"/>
        </w:rPr>
        <w:t>应</w:t>
      </w:r>
      <w:r>
        <w:rPr>
          <w:rFonts w:hint="eastAsia" w:cs="宋体"/>
          <w:color w:val="0000FF"/>
          <w:sz w:val="21"/>
          <w:szCs w:val="21"/>
          <w:highlight w:val="none"/>
          <w:u w:val="single"/>
        </w:rPr>
        <w:t>设置排水孔或排水孔不满足防水要求；屋面落水口防水材料</w:t>
      </w:r>
      <w:r>
        <w:rPr>
          <w:rFonts w:hint="eastAsia" w:cs="宋体"/>
          <w:color w:val="0000FF"/>
          <w:sz w:val="21"/>
          <w:szCs w:val="21"/>
          <w:highlight w:val="none"/>
          <w:u w:val="single"/>
          <w:lang w:val="en-US" w:eastAsia="zh-CN"/>
        </w:rPr>
        <w:t>应</w:t>
      </w:r>
      <w:r>
        <w:rPr>
          <w:rFonts w:hint="eastAsia" w:cs="宋体"/>
          <w:color w:val="0000FF"/>
          <w:sz w:val="21"/>
          <w:szCs w:val="21"/>
          <w:highlight w:val="none"/>
          <w:u w:val="single"/>
        </w:rPr>
        <w:t>卷入50mm，屋面卷材上返高度完成面</w:t>
      </w:r>
      <w:r>
        <w:rPr>
          <w:rFonts w:hint="eastAsia" w:cs="宋体"/>
          <w:color w:val="0000FF"/>
          <w:sz w:val="21"/>
          <w:szCs w:val="21"/>
          <w:highlight w:val="none"/>
          <w:u w:val="single"/>
          <w:lang w:val="en-US" w:eastAsia="zh-CN"/>
        </w:rPr>
        <w:t>应不小于</w:t>
      </w:r>
      <w:r>
        <w:rPr>
          <w:rFonts w:hint="eastAsia" w:cs="宋体"/>
          <w:color w:val="0000FF"/>
          <w:sz w:val="21"/>
          <w:szCs w:val="21"/>
          <w:highlight w:val="none"/>
          <w:u w:val="single"/>
        </w:rPr>
        <w:t>250mm；卷材搭接长度</w:t>
      </w:r>
      <w:r>
        <w:rPr>
          <w:rFonts w:hint="eastAsia" w:cs="宋体"/>
          <w:color w:val="0000FF"/>
          <w:sz w:val="21"/>
          <w:szCs w:val="21"/>
          <w:highlight w:val="none"/>
          <w:u w:val="single"/>
          <w:lang w:val="en-US" w:eastAsia="zh-CN"/>
        </w:rPr>
        <w:t>大于</w:t>
      </w:r>
      <w:r>
        <w:rPr>
          <w:rFonts w:hint="eastAsia" w:cs="宋体"/>
          <w:color w:val="0000FF"/>
          <w:sz w:val="21"/>
          <w:szCs w:val="21"/>
          <w:highlight w:val="none"/>
          <w:u w:val="single"/>
        </w:rPr>
        <w:t>100mm（或满足设计要求），卷材</w:t>
      </w:r>
      <w:r>
        <w:rPr>
          <w:rFonts w:hint="eastAsia" w:cs="宋体"/>
          <w:color w:val="0000FF"/>
          <w:sz w:val="21"/>
          <w:szCs w:val="21"/>
          <w:highlight w:val="none"/>
          <w:u w:val="single"/>
          <w:lang w:val="en-US" w:eastAsia="zh-CN"/>
        </w:rPr>
        <w:t>无</w:t>
      </w:r>
      <w:r>
        <w:rPr>
          <w:rFonts w:hint="eastAsia" w:cs="宋体"/>
          <w:color w:val="0000FF"/>
          <w:sz w:val="21"/>
          <w:szCs w:val="21"/>
          <w:highlight w:val="none"/>
          <w:u w:val="single"/>
        </w:rPr>
        <w:t>空鼓，</w:t>
      </w:r>
      <w:r>
        <w:rPr>
          <w:rFonts w:hint="eastAsia" w:cs="宋体"/>
          <w:color w:val="0000FF"/>
          <w:sz w:val="21"/>
          <w:szCs w:val="21"/>
          <w:highlight w:val="none"/>
          <w:u w:val="single"/>
          <w:lang w:val="en-US" w:eastAsia="zh-CN"/>
        </w:rPr>
        <w:t>无</w:t>
      </w:r>
      <w:r>
        <w:rPr>
          <w:rFonts w:hint="eastAsia" w:cs="宋体"/>
          <w:color w:val="0000FF"/>
          <w:sz w:val="21"/>
          <w:szCs w:val="21"/>
          <w:highlight w:val="none"/>
          <w:u w:val="single"/>
        </w:rPr>
        <w:t>起口，防水施工过程中基层</w:t>
      </w:r>
      <w:r>
        <w:rPr>
          <w:rFonts w:hint="eastAsia" w:cs="宋体"/>
          <w:color w:val="0000FF"/>
          <w:sz w:val="21"/>
          <w:szCs w:val="21"/>
          <w:highlight w:val="none"/>
          <w:u w:val="single"/>
          <w:lang w:val="en-US" w:eastAsia="zh-CN"/>
        </w:rPr>
        <w:t>应</w:t>
      </w:r>
      <w:r>
        <w:rPr>
          <w:rFonts w:hint="eastAsia" w:cs="宋体"/>
          <w:color w:val="0000FF"/>
          <w:sz w:val="21"/>
          <w:szCs w:val="21"/>
          <w:highlight w:val="none"/>
          <w:u w:val="single"/>
        </w:rPr>
        <w:t>符合要求，</w:t>
      </w:r>
      <w:r>
        <w:rPr>
          <w:rFonts w:hint="eastAsia" w:cs="宋体"/>
          <w:color w:val="0000FF"/>
          <w:sz w:val="21"/>
          <w:szCs w:val="21"/>
          <w:highlight w:val="none"/>
          <w:u w:val="single"/>
          <w:lang w:val="en-US" w:eastAsia="zh-CN"/>
        </w:rPr>
        <w:t>不得出现</w:t>
      </w:r>
      <w:r>
        <w:rPr>
          <w:rFonts w:hint="eastAsia" w:cs="宋体"/>
          <w:color w:val="0000FF"/>
          <w:sz w:val="21"/>
          <w:szCs w:val="21"/>
          <w:highlight w:val="none"/>
          <w:u w:val="single"/>
        </w:rPr>
        <w:t>如钢筋头外露、孔洞未修补等缺陷。</w:t>
      </w:r>
    </w:p>
    <w:p>
      <w:pPr>
        <w:adjustRightInd w:val="0"/>
        <w:spacing w:line="360" w:lineRule="auto"/>
        <w:ind w:firstLine="420" w:firstLineChars="200"/>
        <w:jc w:val="left"/>
        <w:textAlignment w:val="baseline"/>
        <w:rPr>
          <w:rFonts w:hint="eastAsia" w:cs="宋体"/>
          <w:color w:val="0000FF"/>
          <w:sz w:val="21"/>
          <w:szCs w:val="21"/>
          <w:highlight w:val="none"/>
          <w:u w:val="single"/>
        </w:rPr>
      </w:pPr>
      <w:r>
        <w:rPr>
          <w:rFonts w:hint="eastAsia" w:cs="宋体"/>
          <w:color w:val="0000FF"/>
          <w:sz w:val="21"/>
          <w:szCs w:val="21"/>
          <w:highlight w:val="none"/>
          <w:u w:val="single"/>
        </w:rPr>
        <w:t>（13）地下室后浇带:地下室后浇带止水带及止水钢板尺寸、位置设置</w:t>
      </w:r>
      <w:r>
        <w:rPr>
          <w:rFonts w:hint="eastAsia" w:cs="宋体"/>
          <w:color w:val="0000FF"/>
          <w:sz w:val="21"/>
          <w:szCs w:val="21"/>
          <w:highlight w:val="none"/>
          <w:u w:val="single"/>
          <w:lang w:val="en-US" w:eastAsia="zh-CN"/>
        </w:rPr>
        <w:t>应</w:t>
      </w:r>
      <w:r>
        <w:rPr>
          <w:rFonts w:hint="eastAsia" w:cs="宋体"/>
          <w:color w:val="0000FF"/>
          <w:sz w:val="21"/>
          <w:szCs w:val="21"/>
          <w:highlight w:val="none"/>
          <w:u w:val="single"/>
        </w:rPr>
        <w:t>规范，预埋连续；止水钢板连接处</w:t>
      </w:r>
      <w:r>
        <w:rPr>
          <w:rFonts w:hint="eastAsia" w:cs="宋体"/>
          <w:color w:val="0000FF"/>
          <w:sz w:val="21"/>
          <w:szCs w:val="21"/>
          <w:highlight w:val="none"/>
          <w:u w:val="single"/>
          <w:lang w:val="en-US" w:eastAsia="zh-CN"/>
        </w:rPr>
        <w:t>应</w:t>
      </w:r>
      <w:r>
        <w:rPr>
          <w:rFonts w:hint="eastAsia" w:cs="宋体"/>
          <w:color w:val="0000FF"/>
          <w:sz w:val="21"/>
          <w:szCs w:val="21"/>
          <w:highlight w:val="none"/>
          <w:u w:val="single"/>
        </w:rPr>
        <w:t>满焊。</w:t>
      </w:r>
    </w:p>
    <w:p>
      <w:pPr>
        <w:adjustRightInd w:val="0"/>
        <w:spacing w:line="360" w:lineRule="auto"/>
        <w:ind w:firstLine="420" w:firstLineChars="200"/>
        <w:jc w:val="left"/>
        <w:textAlignment w:val="baseline"/>
        <w:rPr>
          <w:rFonts w:hint="eastAsia" w:cs="宋体"/>
          <w:color w:val="0000FF"/>
          <w:sz w:val="21"/>
          <w:szCs w:val="21"/>
          <w:highlight w:val="none"/>
          <w:u w:val="single"/>
        </w:rPr>
      </w:pPr>
      <w:r>
        <w:rPr>
          <w:rFonts w:hint="eastAsia" w:cs="宋体"/>
          <w:color w:val="0000FF"/>
          <w:sz w:val="21"/>
          <w:szCs w:val="21"/>
          <w:highlight w:val="none"/>
          <w:u w:val="single"/>
        </w:rPr>
        <w:t>（14）地下室渗漏: 地下室顶板、侧墙、底板（完成面层混凝土浇筑）</w:t>
      </w:r>
      <w:r>
        <w:rPr>
          <w:rFonts w:hint="eastAsia" w:cs="宋体"/>
          <w:color w:val="0000FF"/>
          <w:sz w:val="21"/>
          <w:szCs w:val="21"/>
          <w:highlight w:val="none"/>
          <w:u w:val="single"/>
          <w:lang w:val="en-US" w:eastAsia="zh-CN"/>
        </w:rPr>
        <w:t>不得</w:t>
      </w:r>
      <w:r>
        <w:rPr>
          <w:rFonts w:hint="eastAsia" w:cs="宋体"/>
          <w:color w:val="0000FF"/>
          <w:sz w:val="21"/>
          <w:szCs w:val="21"/>
          <w:highlight w:val="none"/>
          <w:u w:val="single"/>
        </w:rPr>
        <w:t>出现渗漏点、渗漏痕迹、结构裂缝（宽度＞0.3MM）。跨数以柱子为单位进行统计,合计发现5跨及以上进行罚款处理。</w:t>
      </w:r>
    </w:p>
    <w:p>
      <w:pPr>
        <w:adjustRightInd w:val="0"/>
        <w:spacing w:line="360" w:lineRule="auto"/>
        <w:ind w:firstLine="420" w:firstLineChars="200"/>
        <w:jc w:val="left"/>
        <w:textAlignment w:val="baseline"/>
        <w:rPr>
          <w:rFonts w:hint="eastAsia" w:cs="宋体"/>
          <w:color w:val="0000FF"/>
          <w:sz w:val="21"/>
          <w:szCs w:val="21"/>
          <w:highlight w:val="none"/>
          <w:u w:val="single"/>
        </w:rPr>
      </w:pPr>
      <w:r>
        <w:rPr>
          <w:rFonts w:hint="eastAsia" w:cs="宋体"/>
          <w:color w:val="0000FF"/>
          <w:sz w:val="21"/>
          <w:szCs w:val="21"/>
          <w:highlight w:val="none"/>
          <w:u w:val="single"/>
        </w:rPr>
        <w:t>（15）空鼓、开裂：外窗</w:t>
      </w:r>
      <w:r>
        <w:rPr>
          <w:rFonts w:hint="eastAsia" w:cs="宋体"/>
          <w:color w:val="0000FF"/>
          <w:sz w:val="21"/>
          <w:szCs w:val="21"/>
          <w:highlight w:val="none"/>
          <w:u w:val="single"/>
          <w:lang w:val="en-US" w:eastAsia="zh-CN"/>
        </w:rPr>
        <w:t>应</w:t>
      </w:r>
      <w:r>
        <w:rPr>
          <w:rFonts w:hint="eastAsia" w:cs="宋体"/>
          <w:color w:val="0000FF"/>
          <w:sz w:val="21"/>
          <w:szCs w:val="21"/>
          <w:highlight w:val="none"/>
          <w:u w:val="single"/>
        </w:rPr>
        <w:t>现浇窗台板</w:t>
      </w:r>
      <w:r>
        <w:rPr>
          <w:rFonts w:hint="eastAsia" w:cs="宋体"/>
          <w:color w:val="0000FF"/>
          <w:sz w:val="21"/>
          <w:szCs w:val="21"/>
          <w:highlight w:val="none"/>
          <w:u w:val="single"/>
          <w:lang w:val="en-US" w:eastAsia="zh-CN"/>
        </w:rPr>
        <w:t>且</w:t>
      </w:r>
      <w:r>
        <w:rPr>
          <w:rFonts w:hint="eastAsia" w:cs="宋体"/>
          <w:color w:val="0000FF"/>
          <w:sz w:val="21"/>
          <w:szCs w:val="21"/>
          <w:highlight w:val="none"/>
          <w:u w:val="single"/>
        </w:rPr>
        <w:t>现浇窗台板</w:t>
      </w:r>
      <w:r>
        <w:rPr>
          <w:rFonts w:hint="eastAsia" w:cs="宋体"/>
          <w:color w:val="0000FF"/>
          <w:sz w:val="21"/>
          <w:szCs w:val="21"/>
          <w:highlight w:val="none"/>
          <w:u w:val="single"/>
          <w:lang w:val="en-US" w:eastAsia="zh-CN"/>
        </w:rPr>
        <w:t>应</w:t>
      </w:r>
      <w:r>
        <w:rPr>
          <w:rFonts w:hint="eastAsia" w:cs="宋体"/>
          <w:color w:val="0000FF"/>
          <w:sz w:val="21"/>
          <w:szCs w:val="21"/>
          <w:highlight w:val="none"/>
          <w:u w:val="single"/>
        </w:rPr>
        <w:t>伸入墙体；采用机械切割的方式进行开槽，</w:t>
      </w:r>
      <w:r>
        <w:rPr>
          <w:rFonts w:hint="eastAsia" w:cs="宋体"/>
          <w:color w:val="0000FF"/>
          <w:sz w:val="21"/>
          <w:szCs w:val="21"/>
          <w:highlight w:val="none"/>
          <w:u w:val="single"/>
          <w:lang w:val="en-US" w:eastAsia="zh-CN"/>
        </w:rPr>
        <w:t>禁止</w:t>
      </w:r>
      <w:r>
        <w:rPr>
          <w:rFonts w:hint="eastAsia" w:cs="宋体"/>
          <w:color w:val="0000FF"/>
          <w:sz w:val="21"/>
          <w:szCs w:val="21"/>
          <w:highlight w:val="none"/>
          <w:u w:val="single"/>
        </w:rPr>
        <w:t>直接在砌体墙上打凿线槽；大于600mm的砌体墙洞口上部</w:t>
      </w:r>
      <w:r>
        <w:rPr>
          <w:rFonts w:hint="eastAsia" w:cs="宋体"/>
          <w:color w:val="0000FF"/>
          <w:sz w:val="21"/>
          <w:szCs w:val="21"/>
          <w:highlight w:val="none"/>
          <w:u w:val="single"/>
          <w:lang w:val="en-US" w:eastAsia="zh-CN"/>
        </w:rPr>
        <w:t>应</w:t>
      </w:r>
      <w:r>
        <w:rPr>
          <w:rFonts w:hint="eastAsia" w:cs="宋体"/>
          <w:color w:val="0000FF"/>
          <w:sz w:val="21"/>
          <w:szCs w:val="21"/>
          <w:highlight w:val="none"/>
          <w:u w:val="single"/>
        </w:rPr>
        <w:t>设置过梁；砌筑砂浆中的水泥和砂应符合规范要求，严禁使用海砂及沙浆王等，砌筑砂浆现场拌制时应采用机械搅拌，且须在显眼位置悬挂施工配合比标牌。墙面不同材料基体、消防箱与墙体、施工洞口新旧砖交接处及暗埋管线的孔槽处表面的抹灰，应铺设抗裂镀锌钢丝网；铝合金或塑钢窗窗框两侧</w:t>
      </w:r>
      <w:r>
        <w:rPr>
          <w:rFonts w:hint="eastAsia" w:cs="宋体"/>
          <w:color w:val="0000FF"/>
          <w:sz w:val="21"/>
          <w:szCs w:val="21"/>
          <w:highlight w:val="none"/>
          <w:u w:val="single"/>
          <w:lang w:val="en-US" w:eastAsia="zh-CN"/>
        </w:rPr>
        <w:t>应</w:t>
      </w:r>
      <w:r>
        <w:rPr>
          <w:rFonts w:hint="eastAsia" w:cs="宋体"/>
          <w:color w:val="0000FF"/>
          <w:sz w:val="21"/>
          <w:szCs w:val="21"/>
          <w:highlight w:val="none"/>
          <w:u w:val="single"/>
        </w:rPr>
        <w:t>设置砼预制块；每发现一处空鼓或开裂罚款500元。</w:t>
      </w:r>
    </w:p>
    <w:p>
      <w:pPr>
        <w:adjustRightInd w:val="0"/>
        <w:spacing w:line="360" w:lineRule="auto"/>
        <w:ind w:firstLine="420" w:firstLineChars="200"/>
        <w:jc w:val="left"/>
        <w:textAlignment w:val="baseline"/>
        <w:rPr>
          <w:rFonts w:hint="eastAsia" w:cs="宋体"/>
          <w:color w:val="0000FF"/>
          <w:sz w:val="21"/>
          <w:szCs w:val="21"/>
          <w:highlight w:val="none"/>
          <w:u w:val="single"/>
        </w:rPr>
      </w:pPr>
      <w:r>
        <w:rPr>
          <w:rFonts w:hint="eastAsia" w:cs="宋体"/>
          <w:color w:val="0000FF"/>
          <w:sz w:val="21"/>
          <w:szCs w:val="21"/>
          <w:highlight w:val="none"/>
          <w:u w:val="single"/>
        </w:rPr>
        <w:t>5.1.1.4 实测实量，所有主体结构施工到±0.000 以上、尚未交付且具备实测条件的在建楼栋均须参与土建工程质量实测实量，并要求配备不少于2人的实测实量小组，自可开始进行实测实量条件前7天到位，否则每少1人处罚1000元/天。</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0000FF"/>
          <w:sz w:val="21"/>
          <w:szCs w:val="21"/>
          <w:highlight w:val="none"/>
          <w:u w:val="single"/>
        </w:rPr>
        <w:t>5.1.4 所有施工设备及工艺必须满足本工程施工图纸、国家、省、市有关规范、新工艺技术要求及施工组织设计要求。否则，发包人有权按人民币10000元/次的违约金直接从工程款中扣除，同时承包人应按发包人要求返工整改到位，相关责任和费用均由承包人承担，且工期不予顺延</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关于工程奖项的约定：</w:t>
      </w:r>
      <w:r>
        <w:rPr>
          <w:rFonts w:hint="eastAsia" w:cs="宋体"/>
          <w:color w:val="auto"/>
          <w:sz w:val="21"/>
          <w:szCs w:val="21"/>
          <w:highlight w:val="none"/>
          <w:u w:val="single"/>
        </w:rPr>
        <w:t xml:space="preserve"> </w:t>
      </w:r>
      <w:r>
        <w:rPr>
          <w:rFonts w:hint="eastAsia" w:cs="宋体"/>
          <w:color w:val="0000FF"/>
          <w:sz w:val="21"/>
          <w:szCs w:val="21"/>
          <w:highlight w:val="none"/>
          <w:u w:val="single"/>
          <w:lang w:val="en-US" w:eastAsia="zh-CN"/>
        </w:rPr>
        <w:t>无</w:t>
      </w:r>
      <w:r>
        <w:rPr>
          <w:rFonts w:hint="eastAsia" w:cs="宋体"/>
          <w:color w:val="auto"/>
          <w:sz w:val="21"/>
          <w:szCs w:val="21"/>
          <w:highlight w:val="none"/>
          <w:u w:val="single"/>
        </w:rPr>
        <w:t xml:space="preserve"> </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关于建造要求：</w:t>
      </w:r>
    </w:p>
    <w:p>
      <w:pPr>
        <w:adjustRightInd w:val="0"/>
        <w:snapToGri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（1）绿色建筑等级要求：</w:t>
      </w:r>
      <w:r>
        <w:rPr>
          <w:rFonts w:hint="eastAsia" w:cs="宋体"/>
          <w:color w:val="0000FF"/>
          <w:sz w:val="21"/>
          <w:szCs w:val="21"/>
          <w:highlight w:val="none"/>
          <w:u w:val="single"/>
        </w:rPr>
        <w:t>按相关规定执行</w:t>
      </w:r>
      <w:r>
        <w:rPr>
          <w:rFonts w:hint="eastAsia" w:cs="宋体"/>
          <w:color w:val="auto"/>
          <w:sz w:val="21"/>
          <w:szCs w:val="21"/>
          <w:highlight w:val="none"/>
        </w:rPr>
        <w:t>；</w:t>
      </w:r>
    </w:p>
    <w:p>
      <w:pPr>
        <w:adjustRightInd w:val="0"/>
        <w:snapToGri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（2）智慧工地管理要求：</w:t>
      </w:r>
      <w:r>
        <w:rPr>
          <w:rFonts w:hint="eastAsia" w:cs="宋体"/>
          <w:color w:val="0000FF"/>
          <w:sz w:val="21"/>
          <w:szCs w:val="21"/>
          <w:highlight w:val="none"/>
          <w:u w:val="single"/>
        </w:rPr>
        <w:t>按《厦门市房屋市政工程智慧工地建设指引》（试行）（厦建工[2023]85号）规定执行，施工期间若有新规定，按相关的最新文件标准执行</w:t>
      </w:r>
      <w:r>
        <w:rPr>
          <w:rFonts w:hint="eastAsia" w:cs="宋体"/>
          <w:color w:val="auto"/>
          <w:sz w:val="21"/>
          <w:szCs w:val="21"/>
          <w:highlight w:val="none"/>
        </w:rPr>
        <w:t>；</w:t>
      </w:r>
    </w:p>
    <w:p>
      <w:pPr>
        <w:adjustRightInd w:val="0"/>
        <w:snapToGri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（3）建筑垃圾减量化目标：</w:t>
      </w:r>
      <w:r>
        <w:rPr>
          <w:rFonts w:hint="eastAsia" w:cs="宋体"/>
          <w:color w:val="0000FF"/>
          <w:sz w:val="21"/>
          <w:szCs w:val="21"/>
          <w:highlight w:val="none"/>
          <w:u w:val="single"/>
        </w:rPr>
        <w:t>按相关规定执行</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（4）装配式建筑装配率要求：</w:t>
      </w:r>
      <w:r>
        <w:rPr>
          <w:rFonts w:hint="eastAsia" w:cs="宋体"/>
          <w:color w:val="auto"/>
          <w:sz w:val="21"/>
          <w:szCs w:val="21"/>
          <w:highlight w:val="none"/>
          <w:u w:val="single"/>
        </w:rPr>
        <w:t xml:space="preserve"> </w:t>
      </w:r>
      <w:r>
        <w:rPr>
          <w:rFonts w:hint="eastAsia" w:cs="宋体"/>
          <w:color w:val="auto"/>
          <w:sz w:val="21"/>
          <w:szCs w:val="21"/>
          <w:highlight w:val="none"/>
          <w:u w:val="single"/>
          <w:lang w:val="en-US" w:eastAsia="zh-CN"/>
        </w:rPr>
        <w:t>/</w:t>
      </w:r>
      <w:r>
        <w:rPr>
          <w:rFonts w:hint="eastAsia" w:cs="宋体"/>
          <w:color w:val="auto"/>
          <w:sz w:val="21"/>
          <w:szCs w:val="21"/>
          <w:highlight w:val="none"/>
          <w:u w:val="single"/>
        </w:rPr>
        <w:t xml:space="preserve">  </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（5）</w:t>
      </w:r>
      <w:r>
        <w:rPr>
          <w:rFonts w:hint="eastAsia" w:cs="宋体"/>
          <w:color w:val="auto"/>
          <w:sz w:val="21"/>
          <w:szCs w:val="21"/>
          <w:highlight w:val="none"/>
          <w:u w:val="single"/>
        </w:rPr>
        <w:t xml:space="preserve"> </w:t>
      </w:r>
      <w:r>
        <w:rPr>
          <w:rFonts w:hint="eastAsia" w:cs="宋体"/>
          <w:color w:val="auto"/>
          <w:sz w:val="21"/>
          <w:szCs w:val="21"/>
          <w:highlight w:val="none"/>
          <w:u w:val="single"/>
          <w:lang w:val="en-US" w:eastAsia="zh-CN"/>
        </w:rPr>
        <w:t>/</w:t>
      </w:r>
      <w:r>
        <w:rPr>
          <w:rFonts w:hint="eastAsia" w:cs="宋体"/>
          <w:color w:val="auto"/>
          <w:sz w:val="21"/>
          <w:szCs w:val="21"/>
          <w:highlight w:val="none"/>
          <w:u w:val="single"/>
        </w:rPr>
        <w:t xml:space="preserve"> </w:t>
      </w:r>
      <w:r>
        <w:rPr>
          <w:rFonts w:hint="eastAsia" w:cs="宋体"/>
          <w:color w:val="auto"/>
          <w:sz w:val="21"/>
          <w:szCs w:val="21"/>
          <w:highlight w:val="none"/>
        </w:rPr>
        <w:t>。</w:t>
      </w:r>
    </w:p>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5.3 隐蔽工程检查</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5.3.2承包人提前通知监理人隐蔽工程检查的期限的约定：</w:t>
      </w:r>
      <w:r>
        <w:rPr>
          <w:rFonts w:hint="eastAsia" w:cs="宋体"/>
          <w:color w:val="0000FF"/>
          <w:sz w:val="21"/>
          <w:szCs w:val="21"/>
          <w:highlight w:val="none"/>
          <w:u w:val="single"/>
        </w:rPr>
        <w:t>执行通用合同条款，提前48小时通知</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监理人不能按时进行检查时，应提前</w:t>
      </w:r>
      <w:r>
        <w:rPr>
          <w:rFonts w:hint="eastAsia" w:cs="宋体"/>
          <w:color w:val="auto"/>
          <w:sz w:val="21"/>
          <w:szCs w:val="21"/>
          <w:highlight w:val="none"/>
          <w:u w:val="single"/>
        </w:rPr>
        <w:t xml:space="preserve">  </w:t>
      </w:r>
      <w:r>
        <w:rPr>
          <w:rFonts w:hint="eastAsia" w:cs="宋体"/>
          <w:color w:val="0000FF"/>
          <w:sz w:val="21"/>
          <w:szCs w:val="21"/>
          <w:highlight w:val="none"/>
          <w:u w:val="single"/>
          <w:lang w:val="en-US" w:eastAsia="zh-CN"/>
        </w:rPr>
        <w:t>24</w:t>
      </w:r>
      <w:r>
        <w:rPr>
          <w:rFonts w:hint="eastAsia" w:cs="宋体"/>
          <w:color w:val="auto"/>
          <w:sz w:val="21"/>
          <w:szCs w:val="21"/>
          <w:highlight w:val="none"/>
          <w:u w:val="single"/>
        </w:rPr>
        <w:t xml:space="preserve">  </w:t>
      </w:r>
      <w:r>
        <w:rPr>
          <w:rFonts w:hint="eastAsia" w:cs="宋体"/>
          <w:color w:val="auto"/>
          <w:sz w:val="21"/>
          <w:szCs w:val="21"/>
          <w:highlight w:val="none"/>
        </w:rPr>
        <w:t>小时提交书面延期要求。</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关于延期最长不得超过：</w:t>
      </w:r>
      <w:r>
        <w:rPr>
          <w:rFonts w:hint="eastAsia" w:cs="宋体"/>
          <w:color w:val="auto"/>
          <w:sz w:val="21"/>
          <w:szCs w:val="21"/>
          <w:highlight w:val="none"/>
          <w:u w:val="single"/>
        </w:rPr>
        <w:t xml:space="preserve">  </w:t>
      </w:r>
      <w:r>
        <w:rPr>
          <w:rFonts w:hint="eastAsia" w:cs="宋体"/>
          <w:color w:val="0000FF"/>
          <w:sz w:val="21"/>
          <w:szCs w:val="21"/>
          <w:highlight w:val="none"/>
          <w:u w:val="single"/>
          <w:lang w:val="en-US" w:eastAsia="zh-CN"/>
        </w:rPr>
        <w:t>48</w:t>
      </w:r>
      <w:r>
        <w:rPr>
          <w:rFonts w:hint="eastAsia" w:cs="宋体"/>
          <w:color w:val="auto"/>
          <w:sz w:val="21"/>
          <w:szCs w:val="21"/>
          <w:highlight w:val="none"/>
          <w:u w:val="single"/>
        </w:rPr>
        <w:t xml:space="preserve">   </w:t>
      </w:r>
      <w:r>
        <w:rPr>
          <w:rFonts w:hint="eastAsia" w:cs="宋体"/>
          <w:color w:val="auto"/>
          <w:sz w:val="21"/>
          <w:szCs w:val="21"/>
          <w:highlight w:val="none"/>
        </w:rPr>
        <w:t>小时。</w:t>
      </w:r>
    </w:p>
    <w:p>
      <w:pPr>
        <w:keepNext/>
        <w:keepLines/>
        <w:adjustRightInd w:val="0"/>
        <w:spacing w:beforeLines="50" w:line="360" w:lineRule="auto"/>
        <w:textAlignment w:val="baseline"/>
        <w:outlineLvl w:val="4"/>
        <w:rPr>
          <w:rFonts w:cs="宋体"/>
          <w:b/>
          <w:bCs/>
          <w:color w:val="auto"/>
          <w:sz w:val="21"/>
          <w:szCs w:val="21"/>
          <w:highlight w:val="none"/>
        </w:rPr>
      </w:pPr>
      <w:r>
        <w:rPr>
          <w:rFonts w:hint="eastAsia" w:cs="宋体"/>
          <w:b/>
          <w:bCs/>
          <w:color w:val="auto"/>
          <w:sz w:val="21"/>
          <w:szCs w:val="21"/>
          <w:highlight w:val="none"/>
        </w:rPr>
        <w:t>6</w:t>
      </w:r>
      <w:bookmarkStart w:id="1358" w:name="_Toc63471472"/>
      <w:bookmarkStart w:id="1359" w:name="_Toc13309390"/>
      <w:r>
        <w:rPr>
          <w:rFonts w:hint="eastAsia" w:cs="宋体"/>
          <w:b/>
          <w:bCs/>
          <w:color w:val="auto"/>
          <w:sz w:val="21"/>
          <w:szCs w:val="21"/>
          <w:highlight w:val="none"/>
        </w:rPr>
        <w:t>. 安全文明施工与环境保护</w:t>
      </w:r>
    </w:p>
    <w:bookmarkEnd w:id="1358"/>
    <w:bookmarkEnd w:id="1359"/>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6.1安全文明施工</w:t>
      </w:r>
    </w:p>
    <w:p>
      <w:pPr>
        <w:adjustRightInd w:val="0"/>
        <w:spacing w:line="360" w:lineRule="auto"/>
        <w:jc w:val="left"/>
        <w:textAlignment w:val="baseline"/>
        <w:rPr>
          <w:rFonts w:hint="eastAsia" w:cs="宋体"/>
          <w:color w:val="0000FF"/>
          <w:sz w:val="21"/>
          <w:szCs w:val="21"/>
          <w:highlight w:val="none"/>
          <w:u w:val="single"/>
        </w:rPr>
      </w:pPr>
      <w:r>
        <w:rPr>
          <w:rFonts w:hint="eastAsia" w:cs="宋体"/>
          <w:color w:val="auto"/>
          <w:sz w:val="21"/>
          <w:szCs w:val="21"/>
          <w:highlight w:val="none"/>
        </w:rPr>
        <w:t>6.1.1 项目安全生产的达标目标及相应事项的约定：</w:t>
      </w:r>
      <w:r>
        <w:rPr>
          <w:rFonts w:hint="eastAsia" w:cs="宋体"/>
          <w:color w:val="0000FF"/>
          <w:sz w:val="21"/>
          <w:szCs w:val="21"/>
          <w:highlight w:val="none"/>
          <w:u w:val="single"/>
        </w:rPr>
        <w:t>（1）承包人在施工期间中遇有毒、有害气体或物质，应设置防护设施，由于承包人防护措施不力，导致施工现场人员、相关管理人员、周边等人的生命安全受伤害，由此产生的一切后果均由承包人承担；</w:t>
      </w:r>
    </w:p>
    <w:p>
      <w:pPr>
        <w:adjustRightInd w:val="0"/>
        <w:spacing w:line="360" w:lineRule="auto"/>
        <w:ind w:firstLine="420" w:firstLineChars="200"/>
        <w:jc w:val="left"/>
        <w:textAlignment w:val="baseline"/>
        <w:rPr>
          <w:rFonts w:hint="eastAsia" w:cs="宋体"/>
          <w:color w:val="0000FF"/>
          <w:sz w:val="21"/>
          <w:szCs w:val="21"/>
          <w:highlight w:val="none"/>
          <w:u w:val="single"/>
        </w:rPr>
      </w:pPr>
      <w:r>
        <w:rPr>
          <w:rFonts w:hint="eastAsia" w:cs="宋体"/>
          <w:color w:val="0000FF"/>
          <w:sz w:val="21"/>
          <w:szCs w:val="21"/>
          <w:highlight w:val="none"/>
          <w:u w:val="single"/>
        </w:rPr>
        <w:t>（2）承包人在施工中需实施爆破作业，严格执行合同通用条款第6.1.3条约定，由于承包人防护措施不力，导致他人伤亡或造成他人财产损失，或导致周边地区供水管道、输电线路、燃气管道、通讯线路、建筑物等设施受损，均由承包人承担责任及一切费用；</w:t>
      </w:r>
    </w:p>
    <w:p>
      <w:pPr>
        <w:adjustRightInd w:val="0"/>
        <w:spacing w:line="360" w:lineRule="auto"/>
        <w:ind w:firstLine="420" w:firstLineChars="200"/>
        <w:jc w:val="left"/>
        <w:textAlignment w:val="baseline"/>
        <w:rPr>
          <w:rFonts w:hint="eastAsia" w:cs="宋体"/>
          <w:color w:val="0000FF"/>
          <w:sz w:val="21"/>
          <w:szCs w:val="21"/>
          <w:highlight w:val="none"/>
          <w:u w:val="single"/>
        </w:rPr>
      </w:pPr>
      <w:r>
        <w:rPr>
          <w:rFonts w:hint="eastAsia" w:cs="宋体"/>
          <w:color w:val="0000FF"/>
          <w:sz w:val="21"/>
          <w:szCs w:val="21"/>
          <w:highlight w:val="none"/>
          <w:u w:val="single"/>
        </w:rPr>
        <w:t>（3）在施工过程中监理工程师或发包人有关人员将不定期组织检查。若承包人未按有关规定设置安全生产措施，致使施工现场安全检查不能达标的，按本合同第 6.1.1(6)条款的约定执行，并且发包人有权另行选择施工单位实施完善，其费用由承包人承担，从工程款中扣除。</w:t>
      </w:r>
    </w:p>
    <w:p>
      <w:pPr>
        <w:adjustRightInd w:val="0"/>
        <w:spacing w:line="360" w:lineRule="auto"/>
        <w:ind w:firstLine="420" w:firstLineChars="200"/>
        <w:jc w:val="left"/>
        <w:textAlignment w:val="baseline"/>
        <w:rPr>
          <w:rFonts w:hint="eastAsia" w:cs="宋体"/>
          <w:color w:val="0000FF"/>
          <w:sz w:val="21"/>
          <w:szCs w:val="21"/>
          <w:highlight w:val="none"/>
          <w:u w:val="single"/>
        </w:rPr>
      </w:pPr>
      <w:r>
        <w:rPr>
          <w:rFonts w:hint="eastAsia" w:cs="宋体"/>
          <w:color w:val="0000FF"/>
          <w:sz w:val="21"/>
          <w:szCs w:val="21"/>
          <w:highlight w:val="none"/>
          <w:u w:val="single"/>
        </w:rPr>
        <w:t>（4）涉及安全、质量、外观等重要分项的施工，监理工程师有权要求承包人编制专项施工组织设计或施工方案，方案中应明确人力、设备和资金准备投入情况以及履约困难时的应急处理措施和方案，承包人不得拒绝，同时须经监理工程师审批、发包人同意后方可实施。</w:t>
      </w:r>
    </w:p>
    <w:p>
      <w:pPr>
        <w:adjustRightInd w:val="0"/>
        <w:spacing w:line="360" w:lineRule="auto"/>
        <w:ind w:firstLine="420" w:firstLineChars="200"/>
        <w:jc w:val="left"/>
        <w:textAlignment w:val="baseline"/>
        <w:rPr>
          <w:rFonts w:hint="eastAsia" w:cs="宋体"/>
          <w:color w:val="0000FF"/>
          <w:sz w:val="21"/>
          <w:szCs w:val="21"/>
          <w:highlight w:val="none"/>
          <w:u w:val="single"/>
        </w:rPr>
      </w:pPr>
      <w:r>
        <w:rPr>
          <w:rFonts w:hint="eastAsia" w:cs="宋体"/>
          <w:color w:val="0000FF"/>
          <w:sz w:val="21"/>
          <w:szCs w:val="21"/>
          <w:highlight w:val="none"/>
          <w:u w:val="single"/>
        </w:rPr>
        <w:t>（5）施工期间，承包人必须服从当地政府和城建、环卫、交通、公安部门关于城市建设施工管理的规定，施工噪音、环境卫生、排水、排污、占道等应符合规定的要求，并负责办理有关手续，缴纳应交的费用，费用已包含在合同总价中，发包人不另行支付。承包人应制定切实可行的安全、文明施工措施，特别注意做好防物体打击，安全用电，防火、防爆等措施。</w:t>
      </w:r>
    </w:p>
    <w:p>
      <w:pPr>
        <w:adjustRightInd w:val="0"/>
        <w:spacing w:line="360" w:lineRule="auto"/>
        <w:ind w:firstLine="420" w:firstLineChars="200"/>
        <w:jc w:val="left"/>
        <w:textAlignment w:val="baseline"/>
        <w:rPr>
          <w:rFonts w:hint="eastAsia" w:cs="宋体"/>
          <w:color w:val="0000FF"/>
          <w:sz w:val="21"/>
          <w:szCs w:val="21"/>
          <w:highlight w:val="none"/>
          <w:u w:val="single"/>
        </w:rPr>
      </w:pPr>
      <w:r>
        <w:rPr>
          <w:rFonts w:hint="eastAsia" w:cs="宋体"/>
          <w:color w:val="0000FF"/>
          <w:sz w:val="21"/>
          <w:szCs w:val="21"/>
          <w:highlight w:val="none"/>
          <w:u w:val="single"/>
        </w:rPr>
        <w:t>（6）安全文明施工必须按照《福建省建筑施工安全文明标准化管理规定》、《福建省建筑施工安全文明标准示范图集》以及厦门市建设行政主管部门颁发的文明施工管理规定</w:t>
      </w:r>
      <w:r>
        <w:rPr>
          <w:rFonts w:hint="eastAsia" w:cs="宋体"/>
          <w:color w:val="0000FF"/>
          <w:sz w:val="21"/>
          <w:szCs w:val="21"/>
          <w:highlight w:val="none"/>
          <w:u w:val="single"/>
          <w:lang w:val="en-US" w:eastAsia="zh-CN"/>
        </w:rPr>
        <w:t>和国贸安全文明施工标准化手册</w:t>
      </w:r>
      <w:r>
        <w:rPr>
          <w:rFonts w:hint="eastAsia" w:cs="宋体"/>
          <w:color w:val="0000FF"/>
          <w:sz w:val="21"/>
          <w:szCs w:val="21"/>
          <w:highlight w:val="none"/>
          <w:u w:val="single"/>
        </w:rPr>
        <w:t>的要求执行，文明施工费已计入合同总价中，由此所发生一切费用均由承包人承担。若经有关监督部门、监理工程师或发包人检查工程的安全文明施工一次未达标，发包人有权对承包人处10000元/次的违约金，若安全文明施工三次未达标，或因承包人管理不善，造成重大安全、质量事故的，发包人有权要求承包人返还合同价款中计取的全部的文明施工费、安全施工费，承包人还应承担由此造成的全部损失。</w:t>
      </w:r>
    </w:p>
    <w:p>
      <w:pPr>
        <w:adjustRightInd w:val="0"/>
        <w:spacing w:line="360" w:lineRule="auto"/>
        <w:ind w:firstLine="420" w:firstLineChars="200"/>
        <w:jc w:val="left"/>
        <w:textAlignment w:val="baseline"/>
        <w:rPr>
          <w:rFonts w:hint="eastAsia" w:cs="宋体"/>
          <w:color w:val="0000FF"/>
          <w:sz w:val="21"/>
          <w:szCs w:val="21"/>
          <w:highlight w:val="none"/>
          <w:u w:val="single"/>
        </w:rPr>
      </w:pPr>
      <w:r>
        <w:rPr>
          <w:rFonts w:hint="eastAsia" w:cs="宋体"/>
          <w:color w:val="0000FF"/>
          <w:sz w:val="21"/>
          <w:szCs w:val="21"/>
          <w:highlight w:val="none"/>
          <w:u w:val="single"/>
        </w:rPr>
        <w:t>（7）因承包人管理不善、措施不利等原因，发生安全文明事故被公共媒体曝光三次以内的，处以承包人人民币</w:t>
      </w:r>
      <w:r>
        <w:rPr>
          <w:rFonts w:hint="eastAsia" w:cs="宋体"/>
          <w:color w:val="0000FF"/>
          <w:sz w:val="21"/>
          <w:szCs w:val="21"/>
          <w:highlight w:val="none"/>
          <w:u w:val="single"/>
          <w:lang w:val="en-US" w:eastAsia="zh-CN"/>
        </w:rPr>
        <w:t>5</w:t>
      </w:r>
      <w:r>
        <w:rPr>
          <w:rFonts w:hint="eastAsia" w:cs="宋体"/>
          <w:color w:val="0000FF"/>
          <w:sz w:val="21"/>
          <w:szCs w:val="21"/>
          <w:highlight w:val="none"/>
          <w:u w:val="single"/>
        </w:rPr>
        <w:t>0000元/次的违约金，超过三次的，处以承包人</w:t>
      </w:r>
      <w:r>
        <w:rPr>
          <w:rFonts w:hint="eastAsia" w:cs="宋体"/>
          <w:color w:val="0000FF"/>
          <w:sz w:val="21"/>
          <w:szCs w:val="21"/>
          <w:highlight w:val="none"/>
          <w:u w:val="single"/>
          <w:lang w:val="en-US" w:eastAsia="zh-CN"/>
        </w:rPr>
        <w:t>2</w:t>
      </w:r>
      <w:r>
        <w:rPr>
          <w:rFonts w:hint="eastAsia" w:cs="宋体"/>
          <w:color w:val="0000FF"/>
          <w:sz w:val="21"/>
          <w:szCs w:val="21"/>
          <w:highlight w:val="none"/>
          <w:u w:val="single"/>
        </w:rPr>
        <w:t>00000元/次的违约金，承包人还应承担由此造成的全部损失。</w:t>
      </w:r>
    </w:p>
    <w:p>
      <w:pPr>
        <w:adjustRightInd w:val="0"/>
        <w:spacing w:line="360" w:lineRule="auto"/>
        <w:ind w:firstLine="420" w:firstLineChars="200"/>
        <w:jc w:val="left"/>
        <w:textAlignment w:val="baseline"/>
        <w:rPr>
          <w:rFonts w:hint="eastAsia" w:cs="宋体"/>
          <w:color w:val="0000FF"/>
          <w:sz w:val="21"/>
          <w:szCs w:val="21"/>
          <w:highlight w:val="none"/>
          <w:u w:val="single"/>
        </w:rPr>
      </w:pPr>
      <w:r>
        <w:rPr>
          <w:rFonts w:hint="eastAsia" w:cs="宋体"/>
          <w:color w:val="0000FF"/>
          <w:sz w:val="21"/>
          <w:szCs w:val="21"/>
          <w:highlight w:val="none"/>
          <w:u w:val="single"/>
        </w:rPr>
        <w:t>（8）对于工程质量安全的违约，经过监理人及发包人双方判定，承包人除负责相关善后处理及承担全部赔偿责任、法律责任、全部损失外，还须承担如下处罚：出现轻微质量缺陷、质量事故、安全问题的，发包人有权根据情节轻重对处以承包人人民币</w:t>
      </w:r>
      <w:r>
        <w:rPr>
          <w:rFonts w:hint="eastAsia" w:cs="宋体"/>
          <w:color w:val="0000FF"/>
          <w:sz w:val="21"/>
          <w:szCs w:val="21"/>
          <w:highlight w:val="none"/>
          <w:u w:val="single"/>
          <w:lang w:val="en-US" w:eastAsia="zh-CN"/>
        </w:rPr>
        <w:t>5</w:t>
      </w:r>
      <w:r>
        <w:rPr>
          <w:rFonts w:hint="eastAsia" w:cs="宋体"/>
          <w:color w:val="0000FF"/>
          <w:sz w:val="21"/>
          <w:szCs w:val="21"/>
          <w:highlight w:val="none"/>
          <w:u w:val="single"/>
        </w:rPr>
        <w:t>00~2000元/次的违约金；出现一般质量缺陷、质量事故、安全事故的，发包人有权根据情节轻重对处以承包人人民币</w:t>
      </w:r>
      <w:r>
        <w:rPr>
          <w:rFonts w:hint="eastAsia" w:cs="宋体"/>
          <w:color w:val="0000FF"/>
          <w:sz w:val="21"/>
          <w:szCs w:val="21"/>
          <w:highlight w:val="none"/>
          <w:u w:val="single"/>
          <w:lang w:val="en-US" w:eastAsia="zh-CN"/>
        </w:rPr>
        <w:t>5</w:t>
      </w:r>
      <w:r>
        <w:rPr>
          <w:rFonts w:hint="eastAsia" w:cs="宋体"/>
          <w:color w:val="0000FF"/>
          <w:sz w:val="21"/>
          <w:szCs w:val="21"/>
          <w:highlight w:val="none"/>
          <w:u w:val="single"/>
        </w:rPr>
        <w:t>000~30000元/次的违约金；因承包人管理不善，发生较大及以上安全、质量责任事故的，发包人有权根据情节轻重对承包人处以人民币</w:t>
      </w:r>
      <w:r>
        <w:rPr>
          <w:rFonts w:hint="eastAsia" w:cs="宋体"/>
          <w:color w:val="0000FF"/>
          <w:sz w:val="21"/>
          <w:szCs w:val="21"/>
          <w:highlight w:val="none"/>
          <w:u w:val="single"/>
          <w:lang w:val="en-US" w:eastAsia="zh-CN"/>
        </w:rPr>
        <w:t>10</w:t>
      </w:r>
      <w:r>
        <w:rPr>
          <w:rFonts w:hint="eastAsia" w:cs="宋体"/>
          <w:color w:val="0000FF"/>
          <w:sz w:val="21"/>
          <w:szCs w:val="21"/>
          <w:highlight w:val="none"/>
          <w:u w:val="single"/>
        </w:rPr>
        <w:t>0000～500000元/次的违约金，且由承包人承担由此造成的全部损失。此条款不与专用条款 6.1.1（10）的处罚冲突，若均有发生，须分别根据相关条款情况分别进行处罚。</w:t>
      </w:r>
    </w:p>
    <w:p>
      <w:pPr>
        <w:adjustRightInd w:val="0"/>
        <w:spacing w:line="360" w:lineRule="auto"/>
        <w:ind w:firstLine="420" w:firstLineChars="200"/>
        <w:jc w:val="left"/>
        <w:textAlignment w:val="baseline"/>
        <w:rPr>
          <w:rFonts w:hint="eastAsia" w:cs="宋体"/>
          <w:color w:val="0000FF"/>
          <w:sz w:val="21"/>
          <w:szCs w:val="21"/>
          <w:highlight w:val="none"/>
          <w:u w:val="single"/>
        </w:rPr>
      </w:pPr>
      <w:r>
        <w:rPr>
          <w:rFonts w:hint="eastAsia" w:cs="宋体"/>
          <w:color w:val="0000FF"/>
          <w:sz w:val="21"/>
          <w:szCs w:val="21"/>
          <w:highlight w:val="none"/>
          <w:u w:val="single"/>
        </w:rPr>
        <w:t>（9）因承包人管理不善，被政府建设主管部门、环保主管部门、安全主管部门等职能部门要求停工的，发包人有权根据情节轻重对承包人处以人民币50000～300000元/次的违约金，承包人并承担由此造成的全部损失。</w:t>
      </w:r>
    </w:p>
    <w:p>
      <w:pPr>
        <w:adjustRightInd w:val="0"/>
        <w:spacing w:line="360" w:lineRule="auto"/>
        <w:ind w:firstLine="420" w:firstLineChars="200"/>
        <w:jc w:val="left"/>
        <w:textAlignment w:val="baseline"/>
        <w:rPr>
          <w:rFonts w:hint="eastAsia" w:cs="宋体"/>
          <w:color w:val="0000FF"/>
          <w:sz w:val="21"/>
          <w:szCs w:val="21"/>
          <w:highlight w:val="none"/>
          <w:u w:val="single"/>
        </w:rPr>
      </w:pPr>
      <w:r>
        <w:rPr>
          <w:rFonts w:hint="eastAsia" w:cs="宋体"/>
          <w:color w:val="0000FF"/>
          <w:sz w:val="21"/>
          <w:szCs w:val="21"/>
          <w:highlight w:val="none"/>
          <w:u w:val="single"/>
        </w:rPr>
        <w:t>（10）承包人应做好现场施工质量、安全文明的监理管理工作，如存在下列情形的，承包人应向发包人支付违约金，发包人有权从工程费中直接扣除：</w:t>
      </w:r>
    </w:p>
    <w:p>
      <w:pPr>
        <w:adjustRightInd w:val="0"/>
        <w:spacing w:line="360" w:lineRule="auto"/>
        <w:ind w:firstLine="420" w:firstLineChars="200"/>
        <w:jc w:val="left"/>
        <w:textAlignment w:val="baseline"/>
        <w:rPr>
          <w:rFonts w:hint="eastAsia" w:cs="宋体"/>
          <w:color w:val="0000FF"/>
          <w:sz w:val="21"/>
          <w:szCs w:val="21"/>
          <w:highlight w:val="none"/>
          <w:u w:val="single"/>
        </w:rPr>
      </w:pPr>
      <w:r>
        <w:rPr>
          <w:rFonts w:hint="eastAsia" w:cs="宋体"/>
          <w:color w:val="0000FF"/>
          <w:sz w:val="21"/>
          <w:szCs w:val="21"/>
          <w:highlight w:val="none"/>
          <w:u w:val="single"/>
        </w:rPr>
        <w:t>1、在扬尘督查、扬尘考评、代建考评等日常考评及“双随机”等检查中，</w:t>
      </w:r>
      <w:r>
        <w:rPr>
          <w:rFonts w:hint="eastAsia" w:cs="宋体"/>
          <w:color w:val="0000FF"/>
          <w:sz w:val="21"/>
          <w:szCs w:val="21"/>
          <w:highlight w:val="none"/>
          <w:u w:val="single"/>
          <w:lang w:val="en-US" w:eastAsia="zh-CN"/>
        </w:rPr>
        <w:t>若所承包的项目参加扬尘考评得分≤84分或参加代建考评得分≤94分，</w:t>
      </w:r>
      <w:r>
        <w:rPr>
          <w:rFonts w:hint="eastAsia" w:cs="宋体"/>
          <w:color w:val="0000FF"/>
          <w:sz w:val="21"/>
          <w:szCs w:val="21"/>
          <w:highlight w:val="none"/>
          <w:u w:val="single"/>
        </w:rPr>
        <w:t>承包人应向发包人支付人民币</w:t>
      </w:r>
      <w:r>
        <w:rPr>
          <w:rFonts w:hint="eastAsia" w:cs="宋体"/>
          <w:color w:val="0000FF"/>
          <w:sz w:val="21"/>
          <w:szCs w:val="21"/>
          <w:highlight w:val="none"/>
          <w:u w:val="single"/>
          <w:lang w:val="en-US" w:eastAsia="zh-CN"/>
        </w:rPr>
        <w:t>10</w:t>
      </w:r>
      <w:r>
        <w:rPr>
          <w:rFonts w:hint="eastAsia" w:cs="宋体"/>
          <w:color w:val="0000FF"/>
          <w:sz w:val="21"/>
          <w:szCs w:val="21"/>
          <w:highlight w:val="none"/>
          <w:u w:val="single"/>
        </w:rPr>
        <w:t>万元/次的违约金</w:t>
      </w:r>
      <w:r>
        <w:rPr>
          <w:rFonts w:hint="eastAsia" w:cs="宋体"/>
          <w:color w:val="0000FF"/>
          <w:sz w:val="21"/>
          <w:szCs w:val="21"/>
          <w:highlight w:val="none"/>
          <w:u w:val="single"/>
          <w:lang w:val="en-US" w:eastAsia="zh-CN"/>
        </w:rPr>
        <w:t>；</w:t>
      </w:r>
      <w:r>
        <w:rPr>
          <w:rFonts w:hint="eastAsia" w:cs="宋体"/>
          <w:color w:val="0000FF"/>
          <w:sz w:val="21"/>
          <w:szCs w:val="21"/>
          <w:highlight w:val="none"/>
          <w:u w:val="single"/>
        </w:rPr>
        <w:t>若所承包的项目受到建设行政主管部门或其他相关部门如下处分的，则按以下相应违约金进行处罚：①若被书面通报批评但未记P的，承包人应向发包人支付人民币</w:t>
      </w:r>
      <w:r>
        <w:rPr>
          <w:rFonts w:hint="eastAsia" w:cs="宋体"/>
          <w:color w:val="0000FF"/>
          <w:sz w:val="21"/>
          <w:szCs w:val="21"/>
          <w:highlight w:val="none"/>
          <w:u w:val="single"/>
          <w:lang w:val="en-US" w:eastAsia="zh-CN"/>
        </w:rPr>
        <w:t>2</w:t>
      </w:r>
      <w:r>
        <w:rPr>
          <w:rFonts w:hint="eastAsia" w:cs="宋体"/>
          <w:color w:val="0000FF"/>
          <w:sz w:val="21"/>
          <w:szCs w:val="21"/>
          <w:highlight w:val="none"/>
          <w:u w:val="single"/>
        </w:rPr>
        <w:t>0万元/次的违约金；②若记入不良行为P5、P6的，承包人应向发包人支付人民币</w:t>
      </w:r>
      <w:r>
        <w:rPr>
          <w:rFonts w:hint="eastAsia" w:cs="宋体"/>
          <w:color w:val="0000FF"/>
          <w:sz w:val="21"/>
          <w:szCs w:val="21"/>
          <w:highlight w:val="none"/>
          <w:u w:val="single"/>
          <w:lang w:val="en-US" w:eastAsia="zh-CN"/>
        </w:rPr>
        <w:t>5</w:t>
      </w:r>
      <w:r>
        <w:rPr>
          <w:rFonts w:hint="eastAsia" w:cs="宋体"/>
          <w:color w:val="0000FF"/>
          <w:sz w:val="21"/>
          <w:szCs w:val="21"/>
          <w:highlight w:val="none"/>
          <w:u w:val="single"/>
        </w:rPr>
        <w:t>0万元/次的违约金；③若记入不良行为P4的，承包人应向发包人支付人民币100万元/次的违约金；</w:t>
      </w:r>
      <w:r>
        <w:rPr>
          <w:rFonts w:hint="eastAsia" w:cs="宋体"/>
          <w:color w:val="0000FF"/>
          <w:sz w:val="21"/>
          <w:szCs w:val="21"/>
          <w:highlight w:val="none"/>
          <w:u w:val="single"/>
          <w:lang w:val="en-US" w:eastAsia="zh-CN"/>
        </w:rPr>
        <w:t>④</w:t>
      </w:r>
      <w:r>
        <w:rPr>
          <w:rFonts w:hint="eastAsia" w:cs="宋体"/>
          <w:color w:val="0000FF"/>
          <w:sz w:val="21"/>
          <w:szCs w:val="21"/>
          <w:highlight w:val="none"/>
          <w:u w:val="single"/>
        </w:rPr>
        <w:t>若记入不良行为P3的，承包人应向发包人支付人民币200万元/次的违约金；</w:t>
      </w:r>
      <w:r>
        <w:rPr>
          <w:rFonts w:hint="eastAsia" w:cs="宋体"/>
          <w:color w:val="0000FF"/>
          <w:sz w:val="21"/>
          <w:szCs w:val="21"/>
          <w:highlight w:val="none"/>
          <w:u w:val="single"/>
          <w:lang w:val="en-US" w:eastAsia="zh-CN"/>
        </w:rPr>
        <w:t>⑤</w:t>
      </w:r>
      <w:r>
        <w:rPr>
          <w:rFonts w:hint="eastAsia" w:cs="宋体"/>
          <w:color w:val="0000FF"/>
          <w:sz w:val="21"/>
          <w:szCs w:val="21"/>
          <w:highlight w:val="none"/>
          <w:u w:val="single"/>
        </w:rPr>
        <w:t>若记入不良行为P2及以上或列入“厦门市建筑市场黑名单”的，承包人应向发包人支付本合同签约酬金20%的违约金并赔偿因承包人原因引起的发包人的全部损失</w:t>
      </w:r>
      <w:r>
        <w:rPr>
          <w:rFonts w:hint="eastAsia" w:cs="宋体"/>
          <w:color w:val="0000FF"/>
          <w:sz w:val="21"/>
          <w:szCs w:val="21"/>
          <w:highlight w:val="none"/>
          <w:u w:val="single"/>
          <w:lang w:eastAsia="zh-CN"/>
        </w:rPr>
        <w:t>。</w:t>
      </w:r>
    </w:p>
    <w:p>
      <w:pPr>
        <w:adjustRightInd w:val="0"/>
        <w:spacing w:line="360" w:lineRule="auto"/>
        <w:ind w:firstLine="420" w:firstLineChars="200"/>
        <w:jc w:val="left"/>
        <w:textAlignment w:val="baseline"/>
        <w:rPr>
          <w:rFonts w:hint="default" w:eastAsia="宋体" w:cs="宋体"/>
          <w:color w:val="0000FF"/>
          <w:sz w:val="21"/>
          <w:szCs w:val="21"/>
          <w:highlight w:val="none"/>
          <w:u w:val="single"/>
          <w:lang w:val="en-US" w:eastAsia="zh-CN"/>
        </w:rPr>
      </w:pPr>
      <w:r>
        <w:rPr>
          <w:rFonts w:hint="eastAsia" w:cs="宋体"/>
          <w:color w:val="0000FF"/>
          <w:sz w:val="21"/>
          <w:szCs w:val="21"/>
          <w:highlight w:val="none"/>
          <w:u w:val="single"/>
        </w:rPr>
        <w:t>2、在第三方质量安全评估、代建工程考评或信用评价等其他检查中，如因承包人原因造成所承包的项目出现如下情况的，则按以下相应违约金进行处罚：①</w:t>
      </w:r>
      <w:r>
        <w:rPr>
          <w:rFonts w:hint="eastAsia" w:cs="宋体"/>
          <w:color w:val="0000FF"/>
          <w:sz w:val="21"/>
          <w:szCs w:val="21"/>
          <w:highlight w:val="none"/>
          <w:u w:val="single"/>
          <w:lang w:val="en-US" w:eastAsia="zh-CN"/>
        </w:rPr>
        <w:t>若参加发包人上级部门组织的公建</w:t>
      </w:r>
      <w:r>
        <w:rPr>
          <w:rFonts w:hint="eastAsia" w:cs="宋体"/>
          <w:color w:val="0000FF"/>
          <w:sz w:val="21"/>
          <w:szCs w:val="21"/>
          <w:highlight w:val="none"/>
          <w:u w:val="single"/>
        </w:rPr>
        <w:t>过程评估</w:t>
      </w:r>
      <w:r>
        <w:rPr>
          <w:rFonts w:hint="eastAsia" w:cs="宋体"/>
          <w:color w:val="0000FF"/>
          <w:sz w:val="21"/>
          <w:szCs w:val="21"/>
          <w:highlight w:val="none"/>
          <w:u w:val="single"/>
          <w:lang w:val="en-US" w:eastAsia="zh-CN"/>
        </w:rPr>
        <w:t>≤86</w:t>
      </w:r>
      <w:r>
        <w:rPr>
          <w:rFonts w:hint="eastAsia" w:cs="宋体"/>
          <w:color w:val="0000FF"/>
          <w:sz w:val="21"/>
          <w:szCs w:val="21"/>
          <w:highlight w:val="none"/>
          <w:u w:val="single"/>
        </w:rPr>
        <w:t>分</w:t>
      </w:r>
      <w:r>
        <w:rPr>
          <w:rFonts w:hint="eastAsia" w:cs="宋体"/>
          <w:color w:val="0000FF"/>
          <w:sz w:val="21"/>
          <w:szCs w:val="21"/>
          <w:highlight w:val="none"/>
          <w:u w:val="single"/>
          <w:lang w:val="en-US" w:eastAsia="zh-CN"/>
        </w:rPr>
        <w:t>（安全文明得分≤</w:t>
      </w:r>
      <w:r>
        <w:rPr>
          <w:rFonts w:hint="eastAsia" w:cs="宋体"/>
          <w:color w:val="0000FF"/>
          <w:sz w:val="21"/>
          <w:szCs w:val="21"/>
          <w:highlight w:val="none"/>
          <w:u w:val="single"/>
        </w:rPr>
        <w:t>8</w:t>
      </w:r>
      <w:r>
        <w:rPr>
          <w:rFonts w:hint="eastAsia" w:cs="宋体"/>
          <w:color w:val="0000FF"/>
          <w:sz w:val="21"/>
          <w:szCs w:val="21"/>
          <w:highlight w:val="none"/>
          <w:u w:val="single"/>
          <w:lang w:val="en-US" w:eastAsia="zh-CN"/>
        </w:rPr>
        <w:t>3</w:t>
      </w:r>
      <w:r>
        <w:rPr>
          <w:rFonts w:hint="eastAsia" w:cs="宋体"/>
          <w:color w:val="0000FF"/>
          <w:sz w:val="21"/>
          <w:szCs w:val="21"/>
          <w:highlight w:val="none"/>
          <w:u w:val="single"/>
        </w:rPr>
        <w:t>分</w:t>
      </w:r>
      <w:r>
        <w:rPr>
          <w:rFonts w:hint="eastAsia" w:cs="宋体"/>
          <w:color w:val="0000FF"/>
          <w:sz w:val="21"/>
          <w:szCs w:val="21"/>
          <w:highlight w:val="none"/>
          <w:u w:val="single"/>
          <w:lang w:eastAsia="zh-CN"/>
        </w:rPr>
        <w:t>）</w:t>
      </w:r>
      <w:r>
        <w:rPr>
          <w:rFonts w:hint="eastAsia" w:cs="宋体"/>
          <w:color w:val="0000FF"/>
          <w:sz w:val="21"/>
          <w:szCs w:val="21"/>
          <w:highlight w:val="none"/>
          <w:u w:val="single"/>
          <w:lang w:val="en-US" w:eastAsia="zh-CN"/>
        </w:rPr>
        <w:t>或</w:t>
      </w:r>
      <w:r>
        <w:rPr>
          <w:rFonts w:hint="eastAsia" w:cs="宋体"/>
          <w:color w:val="0000FF"/>
          <w:sz w:val="21"/>
          <w:szCs w:val="21"/>
          <w:highlight w:val="none"/>
          <w:u w:val="single"/>
        </w:rPr>
        <w:t>地下室专项评估</w:t>
      </w:r>
      <w:r>
        <w:rPr>
          <w:rFonts w:hint="eastAsia" w:cs="宋体"/>
          <w:color w:val="0000FF"/>
          <w:sz w:val="21"/>
          <w:szCs w:val="21"/>
          <w:highlight w:val="none"/>
          <w:u w:val="single"/>
          <w:lang w:val="en-US" w:eastAsia="zh-CN"/>
        </w:rPr>
        <w:t>≤</w:t>
      </w:r>
      <w:r>
        <w:rPr>
          <w:rFonts w:hint="eastAsia" w:cs="宋体"/>
          <w:color w:val="0000FF"/>
          <w:sz w:val="21"/>
          <w:szCs w:val="21"/>
          <w:highlight w:val="none"/>
          <w:u w:val="single"/>
        </w:rPr>
        <w:t>8</w:t>
      </w:r>
      <w:r>
        <w:rPr>
          <w:rFonts w:hint="eastAsia" w:cs="宋体"/>
          <w:color w:val="0000FF"/>
          <w:sz w:val="21"/>
          <w:szCs w:val="21"/>
          <w:highlight w:val="none"/>
          <w:u w:val="single"/>
          <w:lang w:val="en-US" w:eastAsia="zh-CN"/>
        </w:rPr>
        <w:t>3</w:t>
      </w:r>
      <w:r>
        <w:rPr>
          <w:rFonts w:hint="eastAsia" w:cs="宋体"/>
          <w:color w:val="0000FF"/>
          <w:sz w:val="21"/>
          <w:szCs w:val="21"/>
          <w:highlight w:val="none"/>
          <w:u w:val="single"/>
        </w:rPr>
        <w:t>分</w:t>
      </w:r>
      <w:r>
        <w:rPr>
          <w:rFonts w:hint="eastAsia" w:cs="宋体"/>
          <w:color w:val="0000FF"/>
          <w:sz w:val="21"/>
          <w:szCs w:val="21"/>
          <w:highlight w:val="none"/>
          <w:u w:val="single"/>
          <w:lang w:val="en-US" w:eastAsia="zh-CN"/>
        </w:rPr>
        <w:t>或</w:t>
      </w:r>
      <w:r>
        <w:rPr>
          <w:rFonts w:hint="eastAsia" w:cs="宋体"/>
          <w:color w:val="0000FF"/>
          <w:sz w:val="21"/>
          <w:szCs w:val="21"/>
          <w:highlight w:val="none"/>
          <w:u w:val="single"/>
        </w:rPr>
        <w:t>交付评估</w:t>
      </w:r>
      <w:r>
        <w:rPr>
          <w:rFonts w:hint="eastAsia" w:cs="宋体"/>
          <w:color w:val="0000FF"/>
          <w:sz w:val="21"/>
          <w:szCs w:val="21"/>
          <w:highlight w:val="none"/>
          <w:u w:val="single"/>
          <w:lang w:val="en-US" w:eastAsia="zh-CN"/>
        </w:rPr>
        <w:t>精装修</w:t>
      </w:r>
      <w:r>
        <w:rPr>
          <w:rFonts w:hint="eastAsia" w:cs="宋体"/>
          <w:color w:val="0000FF"/>
          <w:sz w:val="21"/>
          <w:szCs w:val="21"/>
          <w:highlight w:val="none"/>
          <w:u w:val="single"/>
        </w:rPr>
        <w:t>项目</w:t>
      </w:r>
      <w:r>
        <w:rPr>
          <w:rFonts w:hint="eastAsia" w:cs="宋体"/>
          <w:color w:val="0000FF"/>
          <w:sz w:val="21"/>
          <w:szCs w:val="21"/>
          <w:highlight w:val="none"/>
          <w:u w:val="single"/>
          <w:lang w:val="en-US" w:eastAsia="zh-CN"/>
        </w:rPr>
        <w:t>≤</w:t>
      </w:r>
      <w:r>
        <w:rPr>
          <w:rFonts w:hint="eastAsia" w:cs="宋体"/>
          <w:color w:val="0000FF"/>
          <w:sz w:val="21"/>
          <w:szCs w:val="21"/>
          <w:highlight w:val="none"/>
          <w:u w:val="single"/>
        </w:rPr>
        <w:t>8</w:t>
      </w:r>
      <w:r>
        <w:rPr>
          <w:rFonts w:hint="eastAsia" w:cs="宋体"/>
          <w:color w:val="0000FF"/>
          <w:sz w:val="21"/>
          <w:szCs w:val="21"/>
          <w:highlight w:val="none"/>
          <w:u w:val="single"/>
          <w:lang w:val="en-US" w:eastAsia="zh-CN"/>
        </w:rPr>
        <w:t>4</w:t>
      </w:r>
      <w:r>
        <w:rPr>
          <w:rFonts w:hint="eastAsia" w:cs="宋体"/>
          <w:color w:val="0000FF"/>
          <w:sz w:val="21"/>
          <w:szCs w:val="21"/>
          <w:highlight w:val="none"/>
          <w:u w:val="single"/>
        </w:rPr>
        <w:t>分</w:t>
      </w:r>
      <w:r>
        <w:rPr>
          <w:rFonts w:hint="eastAsia" w:cs="宋体"/>
          <w:color w:val="0000FF"/>
          <w:sz w:val="21"/>
          <w:szCs w:val="21"/>
          <w:highlight w:val="none"/>
          <w:u w:val="single"/>
          <w:lang w:eastAsia="zh-CN"/>
        </w:rPr>
        <w:t>，</w:t>
      </w:r>
      <w:r>
        <w:rPr>
          <w:rFonts w:hint="eastAsia" w:cs="宋体"/>
          <w:color w:val="0000FF"/>
          <w:sz w:val="21"/>
          <w:szCs w:val="21"/>
          <w:highlight w:val="none"/>
          <w:u w:val="single"/>
        </w:rPr>
        <w:t>承包人应向发包人支付人民币</w:t>
      </w:r>
      <w:r>
        <w:rPr>
          <w:rFonts w:hint="eastAsia" w:cs="宋体"/>
          <w:color w:val="0000FF"/>
          <w:sz w:val="21"/>
          <w:szCs w:val="21"/>
          <w:highlight w:val="none"/>
          <w:u w:val="single"/>
          <w:lang w:val="en-US" w:eastAsia="zh-CN"/>
        </w:rPr>
        <w:t>1</w:t>
      </w:r>
      <w:r>
        <w:rPr>
          <w:rFonts w:hint="eastAsia" w:cs="宋体"/>
          <w:color w:val="0000FF"/>
          <w:sz w:val="21"/>
          <w:szCs w:val="21"/>
          <w:highlight w:val="none"/>
          <w:u w:val="single"/>
        </w:rPr>
        <w:t>0万元/次的违约金</w:t>
      </w:r>
      <w:r>
        <w:rPr>
          <w:rFonts w:hint="eastAsia" w:cs="宋体"/>
          <w:color w:val="0000FF"/>
          <w:sz w:val="21"/>
          <w:szCs w:val="21"/>
          <w:highlight w:val="none"/>
          <w:u w:val="single"/>
          <w:lang w:eastAsia="zh-CN"/>
        </w:rPr>
        <w:t>；</w:t>
      </w:r>
      <w:r>
        <w:rPr>
          <w:rFonts w:hint="eastAsia" w:cs="宋体"/>
          <w:color w:val="0000FF"/>
          <w:sz w:val="21"/>
          <w:szCs w:val="21"/>
          <w:highlight w:val="none"/>
          <w:u w:val="single"/>
        </w:rPr>
        <w:t>②出现被通报批评、成绩严重下滑（考评名次下降总参评数的四分之一及以上的）、处于中下游水平（考评名次处于总参评数后 50%范围的）、存在重大质量安全隐患未按要求整改等情况的，每发生一次，处以本合同签约酬金的2‰罚款。</w:t>
      </w:r>
    </w:p>
    <w:p>
      <w:pPr>
        <w:adjustRightInd w:val="0"/>
        <w:spacing w:line="360" w:lineRule="auto"/>
        <w:ind w:firstLine="420" w:firstLineChars="200"/>
        <w:jc w:val="left"/>
        <w:textAlignment w:val="baseline"/>
        <w:rPr>
          <w:rFonts w:hint="eastAsia" w:cs="宋体"/>
          <w:color w:val="0000FF"/>
          <w:sz w:val="21"/>
          <w:szCs w:val="21"/>
          <w:highlight w:val="none"/>
          <w:u w:val="single"/>
        </w:rPr>
      </w:pPr>
      <w:r>
        <w:rPr>
          <w:rFonts w:hint="eastAsia" w:cs="宋体"/>
          <w:color w:val="0000FF"/>
          <w:sz w:val="21"/>
          <w:szCs w:val="21"/>
          <w:highlight w:val="none"/>
          <w:u w:val="single"/>
        </w:rPr>
        <w:t>（11）承包人的有关安全施工的投入、配备、措施等应符合国家、省、市的有关规定，符合施工安全论证提出的要求，并得到发包人的检查、认可。在施工的全过程，发包人可委托咨询监理单位派专人负责安全施工旁站监督，承包人应对其工作给予配合支持。每发现一次施工安全隐患，发包人有权按人民币2000元/次的标准从应付承包人的工程款中扣除违约金。</w:t>
      </w:r>
    </w:p>
    <w:p>
      <w:pPr>
        <w:adjustRightInd w:val="0"/>
        <w:spacing w:line="360" w:lineRule="auto"/>
        <w:ind w:firstLine="420" w:firstLineChars="200"/>
        <w:jc w:val="left"/>
        <w:textAlignment w:val="baseline"/>
        <w:rPr>
          <w:rFonts w:hint="eastAsia" w:cs="宋体"/>
          <w:color w:val="0000FF"/>
          <w:sz w:val="21"/>
          <w:szCs w:val="21"/>
          <w:highlight w:val="none"/>
          <w:u w:val="single"/>
        </w:rPr>
      </w:pPr>
      <w:r>
        <w:rPr>
          <w:rFonts w:hint="eastAsia" w:cs="宋体"/>
          <w:color w:val="0000FF"/>
          <w:sz w:val="21"/>
          <w:szCs w:val="21"/>
          <w:highlight w:val="none"/>
          <w:u w:val="single"/>
        </w:rPr>
        <w:t>（12）承包人对本工程的安全负责，负责落实安全生产责任制度、安全生产规章制度和操作规程，并应根据本工程的特点组织制定安全措施、消除安全事故隐患，及时、如实报告安全事故。如因此导致工期延误或违反本合同其他约定的，承包人还应根据专用条款约定承担相应的违约责任，且工期不予顺延。发包人有权自应付承包人款项中直接扣除应由承包人承担的违约金、赔偿金、损失赔偿、罚款、代垫/代付费用等。</w:t>
      </w:r>
    </w:p>
    <w:p>
      <w:pPr>
        <w:adjustRightInd w:val="0"/>
        <w:spacing w:line="360" w:lineRule="auto"/>
        <w:ind w:firstLine="420" w:firstLineChars="200"/>
        <w:jc w:val="left"/>
        <w:textAlignment w:val="baseline"/>
        <w:rPr>
          <w:rFonts w:hint="eastAsia" w:cs="宋体"/>
          <w:color w:val="0000FF"/>
          <w:sz w:val="21"/>
          <w:szCs w:val="21"/>
          <w:highlight w:val="none"/>
          <w:u w:val="single"/>
        </w:rPr>
      </w:pPr>
      <w:r>
        <w:rPr>
          <w:rFonts w:hint="eastAsia" w:cs="宋体"/>
          <w:color w:val="0000FF"/>
          <w:sz w:val="21"/>
          <w:szCs w:val="21"/>
          <w:highlight w:val="none"/>
          <w:u w:val="single"/>
        </w:rPr>
        <w:t>（13）承包人应在施工全过程做好基坑周边与相邻建构筑物、道路管线等的沉降与位移监测的配合工作，当沉降与位移值达到或超过预警值时应按设计及应急预案要求及时采取应急措施。如因基坑降排水不当给周边造成不利影响时，应当立即采取补救措施，并给予及时修复。如因此产生任何责任及后果的，概由承包人承担，且工期不予顺延。</w:t>
      </w:r>
    </w:p>
    <w:p>
      <w:pPr>
        <w:adjustRightInd w:val="0"/>
        <w:spacing w:line="360" w:lineRule="auto"/>
        <w:ind w:firstLine="420" w:firstLineChars="200"/>
        <w:jc w:val="left"/>
        <w:textAlignment w:val="baseline"/>
        <w:rPr>
          <w:rFonts w:hint="eastAsia" w:cs="宋体"/>
          <w:color w:val="auto"/>
          <w:sz w:val="21"/>
          <w:szCs w:val="21"/>
          <w:highlight w:val="none"/>
        </w:rPr>
      </w:pPr>
      <w:r>
        <w:rPr>
          <w:rFonts w:hint="eastAsia" w:cs="宋体"/>
          <w:color w:val="0000FF"/>
          <w:sz w:val="21"/>
          <w:szCs w:val="21"/>
          <w:highlight w:val="none"/>
          <w:u w:val="single"/>
        </w:rPr>
        <w:t>（14）承包人必须根据投标报价计取的文明施工费、安全施工费及该费用使用的有关规定列出详细实施措施和支出清单，由发包人和监理人共同监管使用，按实支付，承包人未按详细支出清单实施的项目不予支付。承包人应提供必要的办公场所及办公设备</w:t>
      </w:r>
      <w:r>
        <w:rPr>
          <w:rFonts w:hint="eastAsia" w:cs="宋体"/>
          <w:color w:val="auto"/>
          <w:sz w:val="21"/>
          <w:szCs w:val="21"/>
          <w:highlight w:val="none"/>
        </w:rPr>
        <w:t>。</w:t>
      </w:r>
    </w:p>
    <w:p>
      <w:pPr>
        <w:adjustRightInd w:val="0"/>
        <w:spacing w:line="360" w:lineRule="auto"/>
        <w:ind w:firstLine="420" w:firstLineChars="200"/>
        <w:jc w:val="left"/>
        <w:textAlignment w:val="baseline"/>
        <w:rPr>
          <w:rFonts w:hint="eastAsia" w:ascii="宋体" w:hAnsi="宋体" w:eastAsia="宋体" w:cs="宋体"/>
          <w:color w:val="0000FF"/>
          <w:sz w:val="21"/>
          <w:szCs w:val="21"/>
          <w:highlight w:val="none"/>
          <w:u w:val="single"/>
        </w:rPr>
      </w:pPr>
      <w:r>
        <w:rPr>
          <w:rFonts w:hint="eastAsia" w:ascii="宋体" w:hAnsi="宋体" w:eastAsia="宋体" w:cs="宋体"/>
          <w:color w:val="0000FF"/>
          <w:sz w:val="21"/>
          <w:szCs w:val="21"/>
          <w:highlight w:val="none"/>
          <w:u w:val="single"/>
        </w:rPr>
        <w:t>（15）违反下列安全生产管理规定内容之一者，违约金额为每项次500元：</w:t>
      </w:r>
    </w:p>
    <w:p>
      <w:pPr>
        <w:adjustRightInd w:val="0"/>
        <w:spacing w:line="360" w:lineRule="auto"/>
        <w:ind w:firstLine="420" w:firstLineChars="200"/>
        <w:jc w:val="left"/>
        <w:textAlignment w:val="baseline"/>
        <w:rPr>
          <w:rFonts w:hint="eastAsia" w:ascii="宋体" w:hAnsi="宋体" w:eastAsia="宋体" w:cs="宋体"/>
          <w:color w:val="0000FF"/>
          <w:sz w:val="21"/>
          <w:szCs w:val="21"/>
          <w:highlight w:val="none"/>
          <w:u w:val="single"/>
        </w:rPr>
      </w:pPr>
      <w:r>
        <w:rPr>
          <w:rFonts w:hint="eastAsia" w:ascii="宋体" w:hAnsi="宋体" w:eastAsia="宋体" w:cs="宋体"/>
          <w:color w:val="0000FF"/>
          <w:sz w:val="21"/>
          <w:szCs w:val="21"/>
          <w:highlight w:val="none"/>
          <w:u w:val="single"/>
        </w:rPr>
        <w:t>1）进入施工现场的人员必须正确佩戴安全帽，并系下颌带，安全帽必须符合GB2811－1989标准。精装施工人员必须穿着统一服装，并有明显标记。</w:t>
      </w:r>
    </w:p>
    <w:p>
      <w:pPr>
        <w:adjustRightInd w:val="0"/>
        <w:spacing w:line="360" w:lineRule="auto"/>
        <w:ind w:firstLine="420" w:firstLineChars="200"/>
        <w:jc w:val="left"/>
        <w:textAlignment w:val="baseline"/>
        <w:rPr>
          <w:rFonts w:hint="eastAsia" w:ascii="宋体" w:hAnsi="宋体" w:eastAsia="宋体" w:cs="宋体"/>
          <w:color w:val="0000FF"/>
          <w:sz w:val="21"/>
          <w:szCs w:val="21"/>
          <w:highlight w:val="none"/>
          <w:u w:val="single"/>
        </w:rPr>
      </w:pPr>
      <w:r>
        <w:rPr>
          <w:rFonts w:hint="eastAsia" w:ascii="宋体" w:hAnsi="宋体" w:eastAsia="宋体" w:cs="宋体"/>
          <w:color w:val="0000FF"/>
          <w:sz w:val="21"/>
          <w:szCs w:val="21"/>
          <w:highlight w:val="none"/>
          <w:u w:val="single"/>
        </w:rPr>
        <w:t>2）凡在坠落高度基准面2米或2米以上，无法采取可靠防护措施的高处作业人员必须正确使用安全带。</w:t>
      </w:r>
    </w:p>
    <w:p>
      <w:pPr>
        <w:adjustRightInd w:val="0"/>
        <w:spacing w:line="360" w:lineRule="auto"/>
        <w:ind w:firstLine="420" w:firstLineChars="200"/>
        <w:jc w:val="left"/>
        <w:textAlignment w:val="baseline"/>
        <w:rPr>
          <w:rFonts w:hint="eastAsia" w:ascii="宋体" w:hAnsi="宋体" w:eastAsia="宋体" w:cs="宋体"/>
          <w:color w:val="0000FF"/>
          <w:sz w:val="21"/>
          <w:szCs w:val="21"/>
          <w:highlight w:val="none"/>
          <w:u w:val="single"/>
        </w:rPr>
      </w:pPr>
      <w:r>
        <w:rPr>
          <w:rFonts w:hint="eastAsia" w:ascii="宋体" w:hAnsi="宋体" w:eastAsia="宋体" w:cs="宋体"/>
          <w:color w:val="0000FF"/>
          <w:sz w:val="21"/>
          <w:szCs w:val="21"/>
          <w:highlight w:val="none"/>
          <w:u w:val="single"/>
        </w:rPr>
        <w:t>3）1.5米×1.5米以下的孔洞，用坚实盖板盖住，有防止挪动、位移的措施。1.5米×1.5米以上的孔洞四周设两道防护栏杆，中间支挂水平安全网。</w:t>
      </w:r>
    </w:p>
    <w:p>
      <w:pPr>
        <w:adjustRightInd w:val="0"/>
        <w:spacing w:line="360" w:lineRule="auto"/>
        <w:ind w:firstLine="420" w:firstLineChars="200"/>
        <w:jc w:val="left"/>
        <w:textAlignment w:val="baseline"/>
        <w:rPr>
          <w:rFonts w:hint="eastAsia" w:ascii="宋体" w:hAnsi="宋体" w:eastAsia="宋体" w:cs="宋体"/>
          <w:color w:val="0000FF"/>
          <w:sz w:val="21"/>
          <w:szCs w:val="21"/>
          <w:highlight w:val="none"/>
          <w:u w:val="single"/>
        </w:rPr>
      </w:pPr>
      <w:r>
        <w:rPr>
          <w:rFonts w:hint="eastAsia" w:ascii="宋体" w:hAnsi="宋体" w:eastAsia="宋体" w:cs="宋体"/>
          <w:color w:val="0000FF"/>
          <w:sz w:val="21"/>
          <w:szCs w:val="21"/>
          <w:highlight w:val="none"/>
          <w:u w:val="single"/>
        </w:rPr>
        <w:t>4）管道井和烟道必须采取有效防护措施，防止人员、物体坠落，墙面等处的竖向洞口必须设置固定式防护门，或设置两道防护栏杆。</w:t>
      </w:r>
    </w:p>
    <w:p>
      <w:pPr>
        <w:adjustRightInd w:val="0"/>
        <w:spacing w:line="360" w:lineRule="auto"/>
        <w:ind w:firstLine="420" w:firstLineChars="200"/>
        <w:jc w:val="left"/>
        <w:textAlignment w:val="baseline"/>
        <w:rPr>
          <w:rFonts w:hint="eastAsia" w:ascii="宋体" w:hAnsi="宋体" w:eastAsia="宋体" w:cs="宋体"/>
          <w:color w:val="0000FF"/>
          <w:sz w:val="21"/>
          <w:szCs w:val="21"/>
          <w:highlight w:val="none"/>
          <w:u w:val="single"/>
        </w:rPr>
      </w:pPr>
      <w:r>
        <w:rPr>
          <w:rFonts w:hint="eastAsia" w:ascii="宋体" w:hAnsi="宋体" w:eastAsia="宋体" w:cs="宋体"/>
          <w:color w:val="0000FF"/>
          <w:sz w:val="21"/>
          <w:szCs w:val="21"/>
          <w:highlight w:val="none"/>
          <w:u w:val="single"/>
        </w:rPr>
        <w:t>5）因施工需要临时拆除洞口、临时防护的，必须设专人监护，监护人员撤离前必须将原防护设施复位。</w:t>
      </w:r>
    </w:p>
    <w:p>
      <w:pPr>
        <w:adjustRightInd w:val="0"/>
        <w:spacing w:line="360" w:lineRule="auto"/>
        <w:ind w:firstLine="420" w:firstLineChars="200"/>
        <w:jc w:val="left"/>
        <w:textAlignment w:val="baseline"/>
        <w:rPr>
          <w:rFonts w:hint="eastAsia" w:ascii="宋体" w:hAnsi="宋体" w:eastAsia="宋体" w:cs="宋体"/>
          <w:color w:val="0000FF"/>
          <w:sz w:val="21"/>
          <w:szCs w:val="21"/>
          <w:highlight w:val="none"/>
          <w:u w:val="single"/>
        </w:rPr>
      </w:pPr>
      <w:r>
        <w:rPr>
          <w:rFonts w:hint="eastAsia" w:ascii="宋体" w:hAnsi="宋体" w:eastAsia="宋体" w:cs="宋体"/>
          <w:color w:val="0000FF"/>
          <w:sz w:val="21"/>
          <w:szCs w:val="21"/>
          <w:highlight w:val="none"/>
          <w:u w:val="single"/>
        </w:rPr>
        <w:t>6）在2米以上高度施工作业时，必须有可靠防护的施工作业面，并设置安全稳固的爬梯。</w:t>
      </w:r>
    </w:p>
    <w:p>
      <w:pPr>
        <w:adjustRightInd w:val="0"/>
        <w:spacing w:line="360" w:lineRule="auto"/>
        <w:ind w:firstLine="420" w:firstLineChars="200"/>
        <w:jc w:val="left"/>
        <w:textAlignment w:val="baseline"/>
        <w:rPr>
          <w:rFonts w:hint="eastAsia" w:ascii="宋体" w:hAnsi="宋体" w:eastAsia="宋体" w:cs="宋体"/>
          <w:color w:val="0000FF"/>
          <w:sz w:val="21"/>
          <w:szCs w:val="21"/>
          <w:highlight w:val="none"/>
          <w:u w:val="single"/>
        </w:rPr>
      </w:pPr>
      <w:r>
        <w:rPr>
          <w:rFonts w:hint="eastAsia" w:ascii="宋体" w:hAnsi="宋体" w:eastAsia="宋体" w:cs="宋体"/>
          <w:color w:val="0000FF"/>
          <w:sz w:val="21"/>
          <w:szCs w:val="21"/>
          <w:highlight w:val="none"/>
          <w:u w:val="single"/>
        </w:rPr>
        <w:t>7）物料必须堆放平稳，不得放置在临边和洞口附近，也不得妨碍施工作业、通行。</w:t>
      </w:r>
    </w:p>
    <w:p>
      <w:pPr>
        <w:adjustRightInd w:val="0"/>
        <w:spacing w:line="360" w:lineRule="auto"/>
        <w:ind w:firstLine="420" w:firstLineChars="200"/>
        <w:jc w:val="left"/>
        <w:textAlignment w:val="baseline"/>
        <w:rPr>
          <w:rFonts w:hint="eastAsia" w:ascii="宋体" w:hAnsi="宋体" w:eastAsia="宋体" w:cs="宋体"/>
          <w:color w:val="0000FF"/>
          <w:sz w:val="21"/>
          <w:szCs w:val="21"/>
          <w:highlight w:val="none"/>
          <w:u w:val="single"/>
        </w:rPr>
      </w:pPr>
      <w:r>
        <w:rPr>
          <w:rFonts w:hint="eastAsia" w:ascii="宋体" w:hAnsi="宋体" w:eastAsia="宋体" w:cs="宋体"/>
          <w:color w:val="0000FF"/>
          <w:sz w:val="21"/>
          <w:szCs w:val="21"/>
          <w:highlight w:val="none"/>
          <w:u w:val="single"/>
        </w:rPr>
        <w:t>8）施工交叉作业时应当制定相应的安全措施，并指定专职人员进行检查与协调。</w:t>
      </w:r>
    </w:p>
    <w:p>
      <w:pPr>
        <w:adjustRightInd w:val="0"/>
        <w:spacing w:line="360" w:lineRule="auto"/>
        <w:ind w:firstLine="420" w:firstLineChars="200"/>
        <w:jc w:val="left"/>
        <w:textAlignment w:val="baseline"/>
        <w:rPr>
          <w:rFonts w:hint="eastAsia" w:ascii="宋体" w:hAnsi="宋体" w:eastAsia="宋体" w:cs="宋体"/>
          <w:color w:val="0000FF"/>
          <w:sz w:val="21"/>
          <w:szCs w:val="21"/>
          <w:highlight w:val="none"/>
          <w:u w:val="single"/>
        </w:rPr>
      </w:pPr>
      <w:r>
        <w:rPr>
          <w:rFonts w:hint="eastAsia" w:ascii="宋体" w:hAnsi="宋体" w:eastAsia="宋体" w:cs="宋体"/>
          <w:color w:val="0000FF"/>
          <w:sz w:val="21"/>
          <w:szCs w:val="21"/>
          <w:highlight w:val="none"/>
          <w:u w:val="single"/>
        </w:rPr>
        <w:t>9）各类悬挂物以及各类架体必须采取牢固稳定措施，临时建筑物应按规定要求搭设，以保证建筑物自身安全。</w:t>
      </w:r>
    </w:p>
    <w:p>
      <w:pPr>
        <w:adjustRightInd w:val="0"/>
        <w:spacing w:line="360" w:lineRule="auto"/>
        <w:ind w:firstLine="420" w:firstLineChars="200"/>
        <w:jc w:val="left"/>
        <w:textAlignment w:val="baseline"/>
        <w:rPr>
          <w:rFonts w:hint="eastAsia" w:ascii="宋体" w:hAnsi="宋体" w:eastAsia="宋体" w:cs="宋体"/>
          <w:color w:val="0000FF"/>
          <w:sz w:val="21"/>
          <w:szCs w:val="21"/>
          <w:highlight w:val="none"/>
          <w:u w:val="single"/>
        </w:rPr>
      </w:pPr>
      <w:r>
        <w:rPr>
          <w:rFonts w:hint="eastAsia" w:ascii="宋体" w:hAnsi="宋体" w:eastAsia="宋体" w:cs="宋体"/>
          <w:color w:val="0000FF"/>
          <w:sz w:val="21"/>
          <w:szCs w:val="21"/>
          <w:highlight w:val="none"/>
          <w:u w:val="single"/>
        </w:rPr>
        <w:t>10）施工现场一切安全防护设施，不准擅自拆改或做它用。</w:t>
      </w:r>
    </w:p>
    <w:p>
      <w:pPr>
        <w:adjustRightInd w:val="0"/>
        <w:spacing w:line="360" w:lineRule="auto"/>
        <w:ind w:firstLine="420" w:firstLineChars="200"/>
        <w:jc w:val="left"/>
        <w:textAlignment w:val="baseline"/>
        <w:rPr>
          <w:rFonts w:hint="eastAsia" w:ascii="宋体" w:hAnsi="宋体" w:eastAsia="宋体" w:cs="宋体"/>
          <w:color w:val="0000FF"/>
          <w:sz w:val="21"/>
          <w:szCs w:val="21"/>
          <w:highlight w:val="none"/>
          <w:u w:val="single"/>
        </w:rPr>
      </w:pPr>
      <w:r>
        <w:rPr>
          <w:rFonts w:hint="eastAsia" w:ascii="宋体" w:hAnsi="宋体" w:eastAsia="宋体" w:cs="宋体"/>
          <w:color w:val="0000FF"/>
          <w:sz w:val="21"/>
          <w:szCs w:val="21"/>
          <w:highlight w:val="none"/>
          <w:u w:val="single"/>
        </w:rPr>
        <w:t>11）承包人生活垃圾不得随便倾倒，应集中清理外运，定期灭“四害”；按发包人要求标准设立现场公共厕所，并应定时清洁和消毒，同时污废水必须经处理合格后排到发包人指定点。</w:t>
      </w:r>
    </w:p>
    <w:p>
      <w:pPr>
        <w:adjustRightInd w:val="0"/>
        <w:spacing w:line="360" w:lineRule="auto"/>
        <w:ind w:firstLine="420" w:firstLineChars="200"/>
        <w:jc w:val="left"/>
        <w:textAlignment w:val="baseline"/>
        <w:rPr>
          <w:rFonts w:hint="eastAsia" w:ascii="宋体" w:hAnsi="宋体" w:eastAsia="宋体" w:cs="宋体"/>
          <w:color w:val="0000FF"/>
          <w:sz w:val="21"/>
          <w:szCs w:val="21"/>
          <w:highlight w:val="none"/>
          <w:u w:val="single"/>
        </w:rPr>
      </w:pPr>
      <w:r>
        <w:rPr>
          <w:rFonts w:hint="eastAsia" w:ascii="宋体" w:hAnsi="宋体" w:eastAsia="宋体" w:cs="宋体"/>
          <w:color w:val="0000FF"/>
          <w:sz w:val="21"/>
          <w:szCs w:val="21"/>
          <w:highlight w:val="none"/>
          <w:u w:val="single"/>
        </w:rPr>
        <w:t>12）工程各阶段施工前，承包人应向监理工程师/总承包方报送本工程机械使用计划，包括机械型号、数量、安全状态、进出场时间等。</w:t>
      </w:r>
    </w:p>
    <w:p>
      <w:pPr>
        <w:adjustRightInd w:val="0"/>
        <w:spacing w:line="360" w:lineRule="auto"/>
        <w:ind w:firstLine="420" w:firstLineChars="200"/>
        <w:jc w:val="left"/>
        <w:textAlignment w:val="baseline"/>
        <w:rPr>
          <w:rFonts w:hint="eastAsia" w:ascii="宋体" w:hAnsi="宋体" w:eastAsia="宋体" w:cs="宋体"/>
          <w:color w:val="0000FF"/>
          <w:sz w:val="21"/>
          <w:szCs w:val="21"/>
          <w:highlight w:val="none"/>
          <w:u w:val="single"/>
        </w:rPr>
      </w:pPr>
      <w:r>
        <w:rPr>
          <w:rFonts w:hint="eastAsia" w:ascii="宋体" w:hAnsi="宋体" w:eastAsia="宋体" w:cs="宋体"/>
          <w:color w:val="0000FF"/>
          <w:sz w:val="21"/>
          <w:szCs w:val="21"/>
          <w:highlight w:val="none"/>
          <w:u w:val="single"/>
        </w:rPr>
        <w:t>13）承包人每月除对质量、进度检查外，同时例行对安全管理管理进行检查。</w:t>
      </w:r>
    </w:p>
    <w:p>
      <w:pPr>
        <w:adjustRightInd w:val="0"/>
        <w:spacing w:line="360" w:lineRule="auto"/>
        <w:ind w:firstLine="420" w:firstLineChars="200"/>
        <w:jc w:val="left"/>
        <w:textAlignment w:val="baseline"/>
        <w:rPr>
          <w:rFonts w:hint="eastAsia" w:ascii="宋体" w:hAnsi="宋体" w:eastAsia="宋体" w:cs="宋体"/>
          <w:color w:val="0000FF"/>
          <w:sz w:val="21"/>
          <w:szCs w:val="21"/>
          <w:highlight w:val="none"/>
          <w:u w:val="single"/>
        </w:rPr>
      </w:pPr>
      <w:r>
        <w:rPr>
          <w:rFonts w:hint="eastAsia" w:ascii="宋体" w:hAnsi="宋体" w:eastAsia="宋体" w:cs="宋体"/>
          <w:color w:val="0000FF"/>
          <w:sz w:val="21"/>
          <w:szCs w:val="21"/>
          <w:highlight w:val="none"/>
          <w:u w:val="single"/>
        </w:rPr>
        <w:t>14）对施工过程中所需的安全设施、设备及防护用品严格控制：包括施工过程中所需搭设的安全设施、设备及防护用品，必须按规定进行检查、验收合格后方可使用。</w:t>
      </w:r>
    </w:p>
    <w:p>
      <w:pPr>
        <w:adjustRightInd w:val="0"/>
        <w:spacing w:line="360" w:lineRule="auto"/>
        <w:ind w:firstLine="420" w:firstLineChars="200"/>
        <w:jc w:val="left"/>
        <w:textAlignment w:val="baseline"/>
        <w:rPr>
          <w:rFonts w:hint="eastAsia" w:ascii="宋体" w:hAnsi="宋体" w:eastAsia="宋体" w:cs="宋体"/>
          <w:color w:val="0000FF"/>
          <w:sz w:val="21"/>
          <w:szCs w:val="21"/>
          <w:highlight w:val="none"/>
          <w:u w:val="single"/>
        </w:rPr>
      </w:pPr>
      <w:r>
        <w:rPr>
          <w:rFonts w:hint="eastAsia" w:ascii="宋体" w:hAnsi="宋体" w:eastAsia="宋体" w:cs="宋体"/>
          <w:color w:val="0000FF"/>
          <w:sz w:val="21"/>
          <w:szCs w:val="21"/>
          <w:highlight w:val="none"/>
          <w:u w:val="single"/>
        </w:rPr>
        <w:t>15）承包人应对施工过程中各类持证上岗人员的资格严格控制：包括检查、验证持证的有效性，检查是否及时审证及超期、所对应工种与持证是否相符，并将所有证件复印件报监理部备案。违反此规定违约金为500元／证次。</w:t>
      </w:r>
    </w:p>
    <w:p>
      <w:pPr>
        <w:adjustRightInd w:val="0"/>
        <w:spacing w:line="360" w:lineRule="auto"/>
        <w:ind w:firstLine="420" w:firstLineChars="200"/>
        <w:jc w:val="left"/>
        <w:textAlignment w:val="baseline"/>
        <w:rPr>
          <w:rFonts w:hint="eastAsia" w:ascii="宋体" w:hAnsi="宋体" w:eastAsia="宋体" w:cs="宋体"/>
          <w:color w:val="0000FF"/>
          <w:sz w:val="21"/>
          <w:szCs w:val="21"/>
          <w:highlight w:val="none"/>
          <w:u w:val="single"/>
        </w:rPr>
      </w:pPr>
      <w:r>
        <w:rPr>
          <w:rFonts w:hint="eastAsia" w:ascii="宋体" w:hAnsi="宋体" w:eastAsia="宋体" w:cs="宋体"/>
          <w:color w:val="0000FF"/>
          <w:sz w:val="21"/>
          <w:szCs w:val="21"/>
          <w:highlight w:val="none"/>
          <w:u w:val="single"/>
        </w:rPr>
        <w:t>16）由施工作业面高空抛物、进入现场打闹，或酒后进入作业面每次违约金为500元，重复犯错的视情节加倍处罚。</w:t>
      </w:r>
    </w:p>
    <w:p>
      <w:pPr>
        <w:adjustRightInd w:val="0"/>
        <w:spacing w:line="360" w:lineRule="auto"/>
        <w:ind w:firstLine="420" w:firstLineChars="200"/>
        <w:jc w:val="left"/>
        <w:textAlignment w:val="baseline"/>
        <w:rPr>
          <w:rFonts w:hint="eastAsia" w:ascii="宋体" w:hAnsi="宋体" w:eastAsia="宋体" w:cs="宋体"/>
          <w:color w:val="0000FF"/>
          <w:sz w:val="21"/>
          <w:szCs w:val="21"/>
          <w:highlight w:val="none"/>
          <w:u w:val="single"/>
        </w:rPr>
      </w:pPr>
      <w:r>
        <w:rPr>
          <w:rFonts w:hint="eastAsia" w:ascii="宋体" w:hAnsi="宋体" w:eastAsia="宋体" w:cs="宋体"/>
          <w:color w:val="0000FF"/>
          <w:sz w:val="21"/>
          <w:szCs w:val="21"/>
          <w:highlight w:val="none"/>
          <w:u w:val="single"/>
        </w:rPr>
        <w:t>17)主管安全的负责人、专职安全员未经监理工程师/建设单位代表/总承包方同意，不参加每月现场安全检查和监理例会者每次违约金为500元。</w:t>
      </w:r>
    </w:p>
    <w:p>
      <w:pPr>
        <w:adjustRightInd w:val="0"/>
        <w:spacing w:line="360" w:lineRule="auto"/>
        <w:ind w:firstLine="420" w:firstLineChars="200"/>
        <w:jc w:val="left"/>
        <w:textAlignment w:val="baseline"/>
        <w:rPr>
          <w:rFonts w:hint="eastAsia" w:ascii="宋体" w:hAnsi="宋体" w:eastAsia="宋体" w:cs="宋体"/>
          <w:color w:val="0000FF"/>
          <w:sz w:val="21"/>
          <w:szCs w:val="21"/>
          <w:highlight w:val="none"/>
          <w:u w:val="single"/>
        </w:rPr>
      </w:pPr>
      <w:r>
        <w:rPr>
          <w:rFonts w:hint="eastAsia" w:ascii="宋体" w:hAnsi="宋体" w:eastAsia="宋体" w:cs="宋体"/>
          <w:color w:val="0000FF"/>
          <w:sz w:val="21"/>
          <w:szCs w:val="21"/>
          <w:highlight w:val="none"/>
          <w:u w:val="single"/>
        </w:rPr>
        <w:t>18）《施工现场临时用电安全技术规范》规定的要求编写现场临时用电施工组织设计，施工前对施工组织设计中的相关安全要求及措施进行审查、备案。施工中重点控制：施工现场临时用电的变配电装置、架空线路或电缆干线的敷设、分配电箱等用电设施，在通电投入使用前，按临时施工用电组织设计的要求进行检查、验收，合格后通电使用。</w:t>
      </w:r>
    </w:p>
    <w:p>
      <w:pPr>
        <w:adjustRightInd w:val="0"/>
        <w:spacing w:line="360" w:lineRule="auto"/>
        <w:ind w:firstLine="420" w:firstLineChars="200"/>
        <w:jc w:val="left"/>
        <w:textAlignment w:val="baseline"/>
        <w:rPr>
          <w:rFonts w:hint="eastAsia" w:ascii="宋体" w:hAnsi="宋体" w:eastAsia="宋体" w:cs="宋体"/>
          <w:color w:val="0000FF"/>
          <w:sz w:val="21"/>
          <w:szCs w:val="21"/>
          <w:highlight w:val="none"/>
          <w:u w:val="single"/>
        </w:rPr>
      </w:pPr>
      <w:r>
        <w:rPr>
          <w:rFonts w:hint="eastAsia" w:ascii="宋体" w:hAnsi="宋体" w:eastAsia="宋体" w:cs="宋体"/>
          <w:color w:val="0000FF"/>
          <w:sz w:val="21"/>
          <w:szCs w:val="21"/>
          <w:highlight w:val="none"/>
          <w:u w:val="single"/>
        </w:rPr>
        <w:t>19）施工现场每台设备应有各自专用的开关箱，必须实行“一机一闸”制，严禁用同一开关电器直接控制2台以上用电设备（含插座）。</w:t>
      </w:r>
    </w:p>
    <w:p>
      <w:pPr>
        <w:adjustRightInd w:val="0"/>
        <w:spacing w:line="360" w:lineRule="auto"/>
        <w:ind w:firstLine="420" w:firstLineChars="200"/>
        <w:jc w:val="left"/>
        <w:textAlignment w:val="baseline"/>
        <w:rPr>
          <w:rFonts w:hint="eastAsia" w:ascii="宋体" w:hAnsi="宋体" w:eastAsia="宋体" w:cs="宋体"/>
          <w:color w:val="0000FF"/>
          <w:sz w:val="21"/>
          <w:szCs w:val="21"/>
          <w:highlight w:val="none"/>
          <w:u w:val="single"/>
        </w:rPr>
      </w:pPr>
      <w:r>
        <w:rPr>
          <w:rFonts w:hint="eastAsia" w:ascii="宋体" w:hAnsi="宋体" w:eastAsia="宋体" w:cs="宋体"/>
          <w:color w:val="0000FF"/>
          <w:sz w:val="21"/>
          <w:szCs w:val="21"/>
          <w:highlight w:val="none"/>
          <w:u w:val="single"/>
        </w:rPr>
        <w:t>20）施工现场移动式配电箱和开关箱进出线，必须使用橡皮绝缘电缆。</w:t>
      </w:r>
    </w:p>
    <w:p>
      <w:pPr>
        <w:adjustRightInd w:val="0"/>
        <w:spacing w:line="360" w:lineRule="auto"/>
        <w:ind w:firstLine="420" w:firstLineChars="200"/>
        <w:jc w:val="left"/>
        <w:textAlignment w:val="baseline"/>
        <w:rPr>
          <w:rFonts w:hint="eastAsia" w:ascii="宋体" w:hAnsi="宋体" w:eastAsia="宋体" w:cs="宋体"/>
          <w:color w:val="0000FF"/>
          <w:sz w:val="21"/>
          <w:szCs w:val="21"/>
          <w:highlight w:val="none"/>
          <w:u w:val="single"/>
        </w:rPr>
      </w:pPr>
      <w:r>
        <w:rPr>
          <w:rFonts w:hint="eastAsia" w:ascii="宋体" w:hAnsi="宋体" w:eastAsia="宋体" w:cs="宋体"/>
          <w:color w:val="0000FF"/>
          <w:sz w:val="21"/>
          <w:szCs w:val="21"/>
          <w:highlight w:val="none"/>
          <w:u w:val="single"/>
        </w:rPr>
        <w:t>（16）承包人安全资料在工程施工前或阶段施工前，承包人应将有关资料及时报送监理工程师，以便审批。违反此规定每次违约金为1000元；</w:t>
      </w:r>
    </w:p>
    <w:p>
      <w:pPr>
        <w:adjustRightInd w:val="0"/>
        <w:spacing w:line="360" w:lineRule="auto"/>
        <w:ind w:firstLine="420" w:firstLineChars="200"/>
        <w:jc w:val="left"/>
        <w:textAlignment w:val="baseline"/>
        <w:rPr>
          <w:rFonts w:hint="eastAsia" w:ascii="宋体" w:hAnsi="宋体" w:eastAsia="宋体" w:cs="宋体"/>
          <w:color w:val="0000FF"/>
          <w:sz w:val="21"/>
          <w:szCs w:val="21"/>
          <w:highlight w:val="none"/>
          <w:u w:val="single"/>
        </w:rPr>
      </w:pPr>
      <w:r>
        <w:rPr>
          <w:rFonts w:hint="eastAsia" w:ascii="宋体" w:hAnsi="宋体" w:eastAsia="宋体" w:cs="宋体"/>
          <w:color w:val="0000FF"/>
          <w:sz w:val="21"/>
          <w:szCs w:val="21"/>
          <w:highlight w:val="none"/>
          <w:u w:val="single"/>
        </w:rPr>
        <w:t>1）《施工组织设计》和专项施工方案、季节性施工方案、施工总平面图布置图（现场检查发现与承包人所报送的方案、平面布置图不一致时每1000元/处，重复犯错的视情节加倍处罚）。</w:t>
      </w:r>
    </w:p>
    <w:p>
      <w:pPr>
        <w:adjustRightInd w:val="0"/>
        <w:spacing w:line="360" w:lineRule="auto"/>
        <w:ind w:firstLine="420" w:firstLineChars="200"/>
        <w:jc w:val="left"/>
        <w:textAlignment w:val="baseline"/>
        <w:rPr>
          <w:rFonts w:hint="eastAsia" w:ascii="宋体" w:hAnsi="宋体" w:eastAsia="宋体" w:cs="宋体"/>
          <w:color w:val="0000FF"/>
          <w:sz w:val="21"/>
          <w:szCs w:val="21"/>
          <w:highlight w:val="none"/>
          <w:u w:val="single"/>
        </w:rPr>
      </w:pPr>
      <w:r>
        <w:rPr>
          <w:rFonts w:hint="eastAsia" w:ascii="宋体" w:hAnsi="宋体" w:eastAsia="宋体" w:cs="宋体"/>
          <w:color w:val="0000FF"/>
          <w:sz w:val="21"/>
          <w:szCs w:val="21"/>
          <w:highlight w:val="none"/>
          <w:u w:val="single"/>
        </w:rPr>
        <w:t>2）安全技术措施、安全技术交底；</w:t>
      </w:r>
    </w:p>
    <w:p>
      <w:pPr>
        <w:adjustRightInd w:val="0"/>
        <w:spacing w:line="360" w:lineRule="auto"/>
        <w:ind w:firstLine="420" w:firstLineChars="200"/>
        <w:jc w:val="left"/>
        <w:textAlignment w:val="baseline"/>
        <w:rPr>
          <w:rFonts w:hint="eastAsia" w:ascii="宋体" w:hAnsi="宋体" w:eastAsia="宋体" w:cs="宋体"/>
          <w:color w:val="0000FF"/>
          <w:sz w:val="21"/>
          <w:szCs w:val="21"/>
          <w:highlight w:val="none"/>
          <w:u w:val="single"/>
        </w:rPr>
      </w:pPr>
      <w:r>
        <w:rPr>
          <w:rFonts w:hint="eastAsia" w:ascii="宋体" w:hAnsi="宋体" w:eastAsia="宋体" w:cs="宋体"/>
          <w:color w:val="0000FF"/>
          <w:sz w:val="21"/>
          <w:szCs w:val="21"/>
          <w:highlight w:val="none"/>
          <w:u w:val="single"/>
        </w:rPr>
        <w:t>3）分包的安全管理协议书；</w:t>
      </w:r>
    </w:p>
    <w:p>
      <w:pPr>
        <w:adjustRightInd w:val="0"/>
        <w:spacing w:line="360" w:lineRule="auto"/>
        <w:ind w:firstLine="420" w:firstLineChars="200"/>
        <w:jc w:val="left"/>
        <w:textAlignment w:val="baseline"/>
        <w:rPr>
          <w:rFonts w:hint="eastAsia" w:ascii="宋体" w:hAnsi="宋体" w:eastAsia="宋体" w:cs="宋体"/>
          <w:color w:val="0000FF"/>
          <w:sz w:val="21"/>
          <w:szCs w:val="21"/>
          <w:highlight w:val="none"/>
          <w:u w:val="single"/>
        </w:rPr>
      </w:pPr>
      <w:r>
        <w:rPr>
          <w:rFonts w:hint="eastAsia" w:ascii="宋体" w:hAnsi="宋体" w:eastAsia="宋体" w:cs="宋体"/>
          <w:color w:val="0000FF"/>
          <w:sz w:val="21"/>
          <w:szCs w:val="21"/>
          <w:highlight w:val="none"/>
          <w:u w:val="single"/>
        </w:rPr>
        <w:t>4）项目经理部安全生产管理体系及责任制；</w:t>
      </w:r>
    </w:p>
    <w:p>
      <w:pPr>
        <w:adjustRightInd w:val="0"/>
        <w:spacing w:line="360" w:lineRule="auto"/>
        <w:ind w:firstLine="420" w:firstLineChars="200"/>
        <w:jc w:val="left"/>
        <w:textAlignment w:val="baseline"/>
        <w:rPr>
          <w:rFonts w:hint="eastAsia" w:ascii="宋体" w:hAnsi="宋体" w:eastAsia="宋体" w:cs="宋体"/>
          <w:color w:val="0000FF"/>
          <w:sz w:val="21"/>
          <w:szCs w:val="21"/>
          <w:highlight w:val="none"/>
          <w:u w:val="single"/>
        </w:rPr>
      </w:pPr>
      <w:r>
        <w:rPr>
          <w:rFonts w:hint="eastAsia" w:ascii="宋体" w:hAnsi="宋体" w:eastAsia="宋体" w:cs="宋体"/>
          <w:color w:val="0000FF"/>
          <w:sz w:val="21"/>
          <w:szCs w:val="21"/>
          <w:highlight w:val="none"/>
          <w:u w:val="single"/>
        </w:rPr>
        <w:t>5）临时用电验收记录；电气设备测试、调试记录；接地电阻摇测记录；电工值班、维修记录；</w:t>
      </w:r>
    </w:p>
    <w:p>
      <w:pPr>
        <w:adjustRightInd w:val="0"/>
        <w:spacing w:line="360" w:lineRule="auto"/>
        <w:ind w:firstLine="420" w:firstLineChars="200"/>
        <w:jc w:val="left"/>
        <w:textAlignment w:val="baseline"/>
        <w:rPr>
          <w:rFonts w:hint="eastAsia" w:ascii="宋体" w:hAnsi="宋体" w:eastAsia="宋体" w:cs="宋体"/>
          <w:color w:val="0000FF"/>
          <w:sz w:val="21"/>
          <w:szCs w:val="21"/>
          <w:highlight w:val="none"/>
          <w:u w:val="single"/>
        </w:rPr>
      </w:pPr>
      <w:r>
        <w:rPr>
          <w:rFonts w:hint="eastAsia" w:ascii="宋体" w:hAnsi="宋体" w:eastAsia="宋体" w:cs="宋体"/>
          <w:color w:val="0000FF"/>
          <w:sz w:val="21"/>
          <w:szCs w:val="21"/>
          <w:highlight w:val="none"/>
          <w:u w:val="single"/>
        </w:rPr>
        <w:t>6）监理要求提供的其它进场资料；</w:t>
      </w:r>
    </w:p>
    <w:p>
      <w:pPr>
        <w:adjustRightInd w:val="0"/>
        <w:spacing w:line="360" w:lineRule="auto"/>
        <w:ind w:firstLine="420" w:firstLineChars="200"/>
        <w:jc w:val="left"/>
        <w:textAlignment w:val="baseline"/>
        <w:rPr>
          <w:rFonts w:hint="eastAsia" w:ascii="宋体" w:hAnsi="宋体" w:eastAsia="宋体" w:cs="宋体"/>
          <w:color w:val="0000FF"/>
          <w:sz w:val="21"/>
          <w:szCs w:val="21"/>
          <w:highlight w:val="none"/>
          <w:u w:val="single"/>
        </w:rPr>
      </w:pPr>
      <w:r>
        <w:rPr>
          <w:rFonts w:hint="eastAsia" w:ascii="宋体" w:hAnsi="宋体" w:eastAsia="宋体" w:cs="宋体"/>
          <w:color w:val="0000FF"/>
          <w:sz w:val="21"/>
          <w:szCs w:val="21"/>
          <w:highlight w:val="none"/>
          <w:u w:val="single"/>
        </w:rPr>
        <w:t>（17）承包人的专职人员在日常巡视、检查及验收的同时，要对发包人和监理单位所巡视、检查及验收部位的安全状态情况存在现安全隐患，及时整改，并将整改结果进行检查、落实并书面报送监理工程师，整改反馈逾期一天按每日1000元进行处罚。(如果监理工程师/发包方在4天内针对工程中同样或类似的安全问题对承包人做过二次书面提醒和要求而承包人无明显整改的，违约金加1倍。承包人在接到第二次书面提醒和要求后三天内无根本整改或接到监理工程师/总承包方第三次书面提醒：违约金加2倍。)</w:t>
      </w:r>
    </w:p>
    <w:p>
      <w:pPr>
        <w:adjustRightInd w:val="0"/>
        <w:spacing w:line="360" w:lineRule="auto"/>
        <w:ind w:firstLine="420" w:firstLineChars="200"/>
        <w:jc w:val="left"/>
        <w:textAlignment w:val="baseline"/>
        <w:rPr>
          <w:rFonts w:hint="eastAsia" w:ascii="宋体" w:hAnsi="宋体" w:eastAsia="宋体" w:cs="宋体"/>
          <w:color w:val="0000FF"/>
          <w:sz w:val="21"/>
          <w:szCs w:val="21"/>
          <w:highlight w:val="none"/>
          <w:u w:val="single"/>
        </w:rPr>
      </w:pPr>
      <w:r>
        <w:rPr>
          <w:rFonts w:hint="eastAsia" w:ascii="宋体" w:hAnsi="宋体" w:eastAsia="宋体" w:cs="宋体"/>
          <w:color w:val="0000FF"/>
          <w:sz w:val="21"/>
          <w:szCs w:val="21"/>
          <w:highlight w:val="none"/>
          <w:u w:val="single"/>
        </w:rPr>
        <w:t>（18）工程施工过程中发生事故的，承包人应立即通知监理人，监理人应立即通知发包人。发包人和承包人应立即组织人员和设备进行紧急抢救和抢修，减少人员伤亡和财产损失，防止事故扩大，并保护事故现场。需要移动现场物品时，应作出标记和书面记录，妥善保管有关证据。发包人和承包人应按国家有关规定，及时如实地向有关部门报告事故发生的情况，以及正在采取的紧急措施等。</w:t>
      </w:r>
    </w:p>
    <w:p>
      <w:pPr>
        <w:adjustRightInd w:val="0"/>
        <w:spacing w:line="360" w:lineRule="auto"/>
        <w:ind w:firstLine="420" w:firstLineChars="200"/>
        <w:jc w:val="left"/>
        <w:textAlignment w:val="baseline"/>
        <w:rPr>
          <w:rFonts w:hint="eastAsia" w:ascii="宋体" w:hAnsi="宋体" w:eastAsia="宋体" w:cs="宋体"/>
          <w:color w:val="0000FF"/>
          <w:sz w:val="21"/>
          <w:szCs w:val="21"/>
          <w:highlight w:val="none"/>
          <w:u w:val="single"/>
        </w:rPr>
      </w:pPr>
      <w:r>
        <w:rPr>
          <w:rFonts w:hint="eastAsia" w:ascii="宋体" w:hAnsi="宋体" w:eastAsia="宋体" w:cs="宋体"/>
          <w:color w:val="0000FF"/>
          <w:sz w:val="21"/>
          <w:szCs w:val="21"/>
          <w:highlight w:val="none"/>
          <w:u w:val="single"/>
        </w:rPr>
        <w:t>（19）承包人必须遵守工程建设管理、工程质量管理、安全、文明施工管理等有关制度，并建立相应的质量管理体系、安全管理体系和管理制度，实现项目安全管理整体目标。并制定切实可行的安全、文明施工措施，特别注意做好防高空坠落，防物体打击，安全用电，防火、防爆等措施并付诸实施。确保做到文明施工，安全施工，创建安全、文明工地。</w:t>
      </w:r>
    </w:p>
    <w:p>
      <w:pPr>
        <w:pStyle w:val="59"/>
        <w:ind w:left="0" w:firstLineChars="200"/>
      </w:pPr>
      <w:r>
        <w:rPr>
          <w:rFonts w:hint="eastAsia" w:ascii="宋体" w:hAnsi="宋体" w:cs="宋体"/>
          <w:color w:val="0000FF"/>
          <w:sz w:val="21"/>
          <w:szCs w:val="21"/>
          <w:highlight w:val="none"/>
          <w:u w:val="single"/>
        </w:rPr>
        <w:t>（20）落实网格化安全管理机制。承包人中标后，在项目开工前要结合项目特点制定项目安全生产网格化管理实施方案，明确网格人员配备数量等，所有专业分包单位纳入总包单位统一管理，对责任区域内其施工内容的安全生产负责，方案要报项目部审批通过后实施；发包人安装智慧工地—远程视频监控系统，承包人需配合完成塔吊高位球机的安装和拆卸、使用过程设备维护（包含但不限于保障网络不掉线、设备用电不断电、设备本身不被破坏等）、以及智慧工地设备安装的现场配合工作，相关费用在总包合同措施费用内包含，且不得向国贸智慧收取总包管理费、水电费等配合费用；为了防止在建工地出现燃气安全事故，承包人中标后，项目各类食堂加工烹饪应采用电器类设施，禁止使用瓶装燃气和醇基燃料；施工现场存在塔吊和施工电梯时，承包人项目部应配备专职机械设备管理员；承包人选用塔吊/施工电梯设备分包单位前须进行充分考察了解，不得选用当年发生亡人事故或上一年度信用评价结果为负面(如：福建省建机一体化企业信用综合评价结果等级为“C”)的塔吊/施工电梯设备分包单位；落实发包人关于《危险性较大的分部分项工程安全管理规定》。</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6.1.4 关于治安保卫的特别约定：</w:t>
      </w:r>
      <w:r>
        <w:rPr>
          <w:rFonts w:hint="eastAsia" w:cs="宋体"/>
          <w:color w:val="0000FF"/>
          <w:sz w:val="21"/>
          <w:szCs w:val="21"/>
          <w:highlight w:val="none"/>
          <w:u w:val="single"/>
        </w:rPr>
        <w:t>执行通用合同条款</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关于编制施工场地治安管理计划的约定：</w:t>
      </w:r>
      <w:r>
        <w:rPr>
          <w:rFonts w:hint="eastAsia" w:ascii="宋体" w:hAnsi="宋体" w:eastAsia="宋体" w:cs="宋体"/>
          <w:color w:val="0000FF"/>
          <w:sz w:val="21"/>
          <w:szCs w:val="21"/>
          <w:highlight w:val="none"/>
          <w:u w:val="single"/>
        </w:rPr>
        <w:t>执行通用合同条款，由承包人编制并报送监理和发包人确认</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6.1.5 文明施工</w:t>
      </w:r>
    </w:p>
    <w:p>
      <w:pPr>
        <w:adjustRightInd w:val="0"/>
        <w:spacing w:line="360" w:lineRule="auto"/>
        <w:ind w:firstLine="420" w:firstLineChars="200"/>
        <w:jc w:val="left"/>
        <w:textAlignment w:val="baseline"/>
        <w:rPr>
          <w:rFonts w:hint="eastAsia" w:ascii="宋体" w:hAnsi="宋体" w:eastAsia="宋体" w:cs="宋体"/>
          <w:color w:val="0000FF"/>
          <w:sz w:val="21"/>
          <w:szCs w:val="21"/>
          <w:highlight w:val="none"/>
          <w:u w:val="single"/>
          <w:lang w:val="en-US" w:eastAsia="zh-CN"/>
        </w:rPr>
      </w:pPr>
      <w:r>
        <w:rPr>
          <w:rFonts w:hint="eastAsia" w:cs="宋体"/>
          <w:color w:val="auto"/>
          <w:sz w:val="21"/>
          <w:szCs w:val="21"/>
          <w:highlight w:val="none"/>
        </w:rPr>
        <w:t>合同当事人对文明施工的要求：</w:t>
      </w:r>
      <w:r>
        <w:rPr>
          <w:rFonts w:hint="eastAsia" w:ascii="宋体" w:hAnsi="宋体" w:eastAsia="宋体" w:cs="宋体"/>
          <w:color w:val="0000FF"/>
          <w:sz w:val="21"/>
          <w:szCs w:val="21"/>
          <w:highlight w:val="none"/>
          <w:u w:val="single"/>
        </w:rPr>
        <w:t>在工程实施过程中，承包人应：（1）采取措施保障所有现场工作人员的安全，保证工程施工安全，现场施工应当保持有条不紊，避免现场工作人员的安全受到威胁；（2）在必要的时候和地方，或当监理工程师或有关主管部门要求时，应负责提供照明、警卫、护栏、警告标志等安全防护措施，并承担责任。（3）需承包人办理的有关施工场地交通、环卫和施工噪音管理等手续：由承包人按照有关部门要求及时办理，并承担相应的责任和费用。（4）承包人应负责整个场地的安全文明卫生管理，做到文明施工、保持施工场地清洁。</w:t>
      </w:r>
      <w:r>
        <w:rPr>
          <w:rFonts w:hint="eastAsia" w:cs="宋体"/>
          <w:color w:val="0000FF"/>
          <w:sz w:val="21"/>
          <w:szCs w:val="21"/>
          <w:highlight w:val="none"/>
          <w:u w:val="single"/>
        </w:rPr>
        <w:t>工人下班前要拉闸断电，清理杂物，做到活完料清场地净，违反此规定违约金为1000元／次。</w:t>
      </w:r>
      <w:r>
        <w:rPr>
          <w:rFonts w:hint="eastAsia" w:ascii="宋体" w:hAnsi="宋体" w:eastAsia="宋体" w:cs="宋体"/>
          <w:color w:val="0000FF"/>
          <w:sz w:val="21"/>
          <w:szCs w:val="21"/>
          <w:highlight w:val="none"/>
          <w:u w:val="single"/>
        </w:rPr>
        <w:t>（5）若承包人未按国家和地方及厦门市有关规定实施文明施工</w:t>
      </w:r>
      <w:r>
        <w:rPr>
          <w:rFonts w:hint="eastAsia" w:ascii="宋体" w:hAnsi="宋体" w:eastAsia="宋体" w:cs="宋体"/>
          <w:color w:val="0000FF"/>
          <w:sz w:val="21"/>
          <w:szCs w:val="21"/>
          <w:highlight w:val="none"/>
          <w:u w:val="single"/>
          <w:lang w:val="en-US" w:eastAsia="zh-CN"/>
        </w:rPr>
        <w:t>措施，致使施工现场文明施工检查不能达标的，发包人有权扣除施工合同价款中所计取的全部文明施工措施费，并且发包人有权另行选择施工单位实施，其费用从应付承包人的工程款中扣除。（6）承包人应负责协调解决施工期间周边地方或周边居民的关系，处理好之间的和谐关系，确保项目顺利施工。承包人应已充分考虑施工期间产生的噪音、扬尘、震动、占地、通行、光线等对第三人或邻近建(构)筑物安全与正常使用的影响及其扰民费用，因上述扰民或民扰行为引发相关费用，以及因上述扰民或民扰行为引发的人身伤亡、罚款、索赔、赔偿、诉讼费和其它费等，已含在签约合同 价中，全部由承包人负责承担，发包人不再另行支付。造成工期延误的，不予工期签证。</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6.1.6 关于安全文明施工费支付比例和支付期限的约定：</w:t>
      </w:r>
      <w:r>
        <w:rPr>
          <w:rFonts w:hint="eastAsia" w:hAnsi="Times New Roman"/>
          <w:color w:val="auto"/>
          <w:sz w:val="21"/>
          <w:szCs w:val="21"/>
          <w:highlight w:val="none"/>
          <w:u w:val="single"/>
        </w:rPr>
        <w:t>执行通用合同条款</w:t>
      </w:r>
      <w:r>
        <w:rPr>
          <w:rFonts w:hint="eastAsia" w:cs="宋体"/>
          <w:color w:val="auto"/>
          <w:sz w:val="21"/>
          <w:szCs w:val="21"/>
          <w:highlight w:val="none"/>
        </w:rPr>
        <w:t>。</w:t>
      </w:r>
    </w:p>
    <w:p>
      <w:pPr>
        <w:adjustRightInd w:val="0"/>
        <w:spacing w:line="360" w:lineRule="auto"/>
        <w:ind w:firstLine="420" w:firstLineChars="200"/>
        <w:jc w:val="left"/>
        <w:textAlignment w:val="baseline"/>
        <w:rPr>
          <w:rFonts w:hAnsi="Times New Roman"/>
          <w:color w:val="auto"/>
          <w:sz w:val="21"/>
          <w:szCs w:val="21"/>
          <w:highlight w:val="none"/>
        </w:rPr>
      </w:pPr>
      <w:r>
        <w:rPr>
          <w:rFonts w:hint="eastAsia" w:hAnsi="Times New Roman"/>
          <w:color w:val="auto"/>
          <w:sz w:val="21"/>
          <w:szCs w:val="21"/>
          <w:highlight w:val="none"/>
        </w:rPr>
        <w:t>6.3 环境保护</w:t>
      </w:r>
    </w:p>
    <w:p>
      <w:pPr>
        <w:adjustRightInd w:val="0"/>
        <w:spacing w:line="360" w:lineRule="auto"/>
        <w:ind w:firstLine="420" w:firstLineChars="200"/>
        <w:jc w:val="left"/>
        <w:textAlignment w:val="baseline"/>
        <w:rPr>
          <w:rFonts w:hAnsi="Times New Roman"/>
          <w:color w:val="auto"/>
          <w:sz w:val="21"/>
          <w:szCs w:val="21"/>
          <w:highlight w:val="none"/>
          <w:u w:val="single"/>
        </w:rPr>
      </w:pPr>
      <w:r>
        <w:rPr>
          <w:rFonts w:hint="eastAsia" w:hAnsi="Times New Roman"/>
          <w:color w:val="auto"/>
          <w:sz w:val="21"/>
          <w:szCs w:val="21"/>
          <w:highlight w:val="none"/>
        </w:rPr>
        <w:t>对环境保护的要求：</w:t>
      </w:r>
      <w:r>
        <w:rPr>
          <w:rFonts w:hint="eastAsia" w:cs="宋体"/>
          <w:color w:val="auto"/>
          <w:sz w:val="21"/>
          <w:szCs w:val="21"/>
          <w:highlight w:val="none"/>
          <w:u w:val="single"/>
        </w:rPr>
        <w:t>除执行通用合同条款外，承包人应按照扬尘污染防治有关现行有效管理规定执行</w:t>
      </w:r>
      <w:r>
        <w:rPr>
          <w:rFonts w:hint="eastAsia" w:hAnsi="Times New Roman"/>
          <w:color w:val="auto"/>
          <w:sz w:val="21"/>
          <w:szCs w:val="21"/>
          <w:highlight w:val="none"/>
          <w:u w:val="single"/>
        </w:rPr>
        <w:t>。</w:t>
      </w:r>
    </w:p>
    <w:p>
      <w:pPr>
        <w:adjustRightInd w:val="0"/>
        <w:spacing w:line="360" w:lineRule="auto"/>
        <w:ind w:firstLine="420" w:firstLineChars="200"/>
        <w:jc w:val="left"/>
        <w:textAlignment w:val="baseline"/>
        <w:rPr>
          <w:rFonts w:cs="宋体"/>
          <w:color w:val="auto"/>
          <w:sz w:val="21"/>
          <w:szCs w:val="21"/>
          <w:highlight w:val="none"/>
        </w:rPr>
      </w:pPr>
    </w:p>
    <w:p>
      <w:pPr>
        <w:keepNext/>
        <w:keepLines/>
        <w:adjustRightInd w:val="0"/>
        <w:spacing w:beforeLines="50" w:line="360" w:lineRule="auto"/>
        <w:textAlignment w:val="baseline"/>
        <w:outlineLvl w:val="4"/>
        <w:rPr>
          <w:rFonts w:cs="宋体"/>
          <w:b/>
          <w:bCs/>
          <w:color w:val="auto"/>
          <w:sz w:val="21"/>
          <w:szCs w:val="21"/>
          <w:highlight w:val="none"/>
        </w:rPr>
      </w:pPr>
      <w:r>
        <w:rPr>
          <w:rFonts w:hint="eastAsia" w:cs="宋体"/>
          <w:b/>
          <w:bCs/>
          <w:color w:val="auto"/>
          <w:sz w:val="21"/>
          <w:szCs w:val="21"/>
          <w:highlight w:val="none"/>
        </w:rPr>
        <w:t>7</w:t>
      </w:r>
      <w:bookmarkStart w:id="1360" w:name="_Toc13309391"/>
      <w:bookmarkStart w:id="1361" w:name="_Toc63471473"/>
      <w:r>
        <w:rPr>
          <w:rFonts w:hint="eastAsia" w:cs="宋体"/>
          <w:b/>
          <w:bCs/>
          <w:color w:val="auto"/>
          <w:sz w:val="21"/>
          <w:szCs w:val="21"/>
          <w:highlight w:val="none"/>
        </w:rPr>
        <w:t>. 工期和进度</w:t>
      </w:r>
    </w:p>
    <w:bookmarkEnd w:id="1360"/>
    <w:bookmarkEnd w:id="1361"/>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7.1 施工组织设计</w:t>
      </w:r>
    </w:p>
    <w:p>
      <w:pPr>
        <w:autoSpaceDE w:val="0"/>
        <w:autoSpaceDN w:val="0"/>
        <w:adjustRightInd w:val="0"/>
        <w:spacing w:line="360" w:lineRule="auto"/>
        <w:ind w:firstLine="420" w:firstLineChars="200"/>
        <w:jc w:val="left"/>
        <w:textAlignment w:val="baseline"/>
        <w:rPr>
          <w:rFonts w:hint="eastAsia" w:cs="宋体"/>
          <w:color w:val="0000FF"/>
          <w:sz w:val="21"/>
          <w:szCs w:val="21"/>
          <w:highlight w:val="none"/>
          <w:u w:val="single"/>
        </w:rPr>
      </w:pPr>
      <w:r>
        <w:rPr>
          <w:rFonts w:hint="eastAsia" w:cs="宋体"/>
          <w:color w:val="auto"/>
          <w:sz w:val="21"/>
          <w:szCs w:val="21"/>
          <w:highlight w:val="none"/>
        </w:rPr>
        <w:t>7.1.1 合同当事人约定的施工组织设计应包括的其他内容：</w:t>
      </w:r>
      <w:r>
        <w:rPr>
          <w:rFonts w:hint="eastAsia" w:cs="宋体"/>
          <w:color w:val="0000FF"/>
          <w:sz w:val="21"/>
          <w:szCs w:val="21"/>
          <w:highlight w:val="none"/>
          <w:u w:val="single"/>
        </w:rPr>
        <w:t>（1）承包人的进度计划必须服从发包人根据实际情况做出的调整、安排，并根据发包人需要做出进一步深化计划。</w:t>
      </w:r>
    </w:p>
    <w:p>
      <w:pPr>
        <w:autoSpaceDE w:val="0"/>
        <w:autoSpaceDN w:val="0"/>
        <w:adjustRightInd w:val="0"/>
        <w:spacing w:line="360" w:lineRule="auto"/>
        <w:ind w:firstLine="420" w:firstLineChars="200"/>
        <w:jc w:val="left"/>
        <w:textAlignment w:val="baseline"/>
        <w:rPr>
          <w:rFonts w:hint="eastAsia" w:cs="宋体"/>
          <w:color w:val="auto"/>
          <w:sz w:val="21"/>
          <w:szCs w:val="21"/>
          <w:highlight w:val="none"/>
        </w:rPr>
      </w:pPr>
      <w:r>
        <w:rPr>
          <w:rFonts w:hint="eastAsia" w:cs="宋体"/>
          <w:color w:val="0000FF"/>
          <w:sz w:val="21"/>
          <w:szCs w:val="21"/>
          <w:highlight w:val="none"/>
          <w:u w:val="single"/>
        </w:rPr>
        <w:t>（2）承包人必须配合发包人做好本项目的进度信息管理</w:t>
      </w:r>
      <w:r>
        <w:rPr>
          <w:rFonts w:hint="eastAsia" w:cs="宋体"/>
          <w:color w:val="auto"/>
          <w:sz w:val="21"/>
          <w:szCs w:val="21"/>
          <w:highlight w:val="none"/>
        </w:rPr>
        <w:t>。</w:t>
      </w:r>
    </w:p>
    <w:p>
      <w:pPr>
        <w:autoSpaceDE w:val="0"/>
        <w:autoSpaceDN w:val="0"/>
        <w:adjustRightInd w:val="0"/>
        <w:spacing w:line="360" w:lineRule="auto"/>
        <w:ind w:firstLine="420" w:firstLineChars="200"/>
        <w:jc w:val="left"/>
        <w:textAlignment w:val="baseline"/>
        <w:rPr>
          <w:color w:val="0000FF"/>
          <w:sz w:val="21"/>
          <w:szCs w:val="21"/>
          <w:u w:val="single"/>
        </w:rPr>
      </w:pPr>
      <w:r>
        <w:rPr>
          <w:rFonts w:hint="eastAsia"/>
          <w:color w:val="0000FF"/>
          <w:sz w:val="21"/>
          <w:szCs w:val="21"/>
          <w:u w:val="single"/>
        </w:rPr>
        <w:t>（</w:t>
      </w:r>
      <w:r>
        <w:rPr>
          <w:color w:val="0000FF"/>
          <w:sz w:val="21"/>
          <w:szCs w:val="21"/>
          <w:u w:val="single"/>
        </w:rPr>
        <w:t>3）本工程节点工期要求:</w:t>
      </w:r>
    </w:p>
    <w:p>
      <w:pPr>
        <w:autoSpaceDE w:val="0"/>
        <w:autoSpaceDN w:val="0"/>
        <w:adjustRightInd w:val="0"/>
        <w:spacing w:line="360" w:lineRule="auto"/>
        <w:ind w:firstLine="420" w:firstLineChars="200"/>
        <w:jc w:val="left"/>
        <w:textAlignment w:val="baseline"/>
        <w:rPr>
          <w:color w:val="0000FF"/>
          <w:sz w:val="21"/>
          <w:szCs w:val="21"/>
          <w:u w:val="single"/>
        </w:rPr>
      </w:pPr>
      <w:r>
        <w:rPr>
          <w:color w:val="0000FF"/>
          <w:sz w:val="21"/>
          <w:szCs w:val="21"/>
          <w:u w:val="single"/>
        </w:rPr>
        <w:t>1）施工许可证取得时间不得迟于中标通知书发出之后10天内。</w:t>
      </w:r>
    </w:p>
    <w:p>
      <w:pPr>
        <w:autoSpaceDE w:val="0"/>
        <w:autoSpaceDN w:val="0"/>
        <w:adjustRightInd w:val="0"/>
        <w:spacing w:line="360" w:lineRule="auto"/>
        <w:ind w:firstLine="420" w:firstLineChars="200"/>
        <w:jc w:val="left"/>
        <w:textAlignment w:val="baseline"/>
        <w:rPr>
          <w:color w:val="0000FF"/>
          <w:sz w:val="21"/>
          <w:szCs w:val="21"/>
          <w:u w:val="single"/>
        </w:rPr>
      </w:pPr>
      <w:r>
        <w:rPr>
          <w:color w:val="0000FF"/>
          <w:sz w:val="21"/>
          <w:szCs w:val="21"/>
          <w:u w:val="single"/>
        </w:rPr>
        <w:t>2）本合同工期均含节假日时间；承包人进场时间不得迟于本合同签订后3天内，若承包人未按时进场，发包人有权对承包人处以50000元/天的罚款。未经许可，承包人擅自对项目进行开发建设，相应工程量不计。开始时间有变化以发包人或监理人下发的工程联系单为准，但实际施工天数不变（即绝对施工时间不变），完成时间按此顺延。发包人有权根据实际情况调整各批次的开发节奏，承包人须无条件配合。</w:t>
      </w:r>
    </w:p>
    <w:p>
      <w:pPr>
        <w:autoSpaceDE w:val="0"/>
        <w:autoSpaceDN w:val="0"/>
        <w:adjustRightInd w:val="0"/>
        <w:spacing w:line="360" w:lineRule="auto"/>
        <w:ind w:firstLine="420" w:firstLineChars="200"/>
        <w:jc w:val="left"/>
        <w:textAlignment w:val="baseline"/>
        <w:rPr>
          <w:color w:val="0000FF"/>
          <w:sz w:val="21"/>
          <w:szCs w:val="21"/>
          <w:u w:val="single"/>
        </w:rPr>
      </w:pPr>
      <w:r>
        <w:rPr>
          <w:color w:val="0000FF"/>
          <w:sz w:val="21"/>
          <w:szCs w:val="21"/>
          <w:u w:val="single"/>
        </w:rPr>
        <w:t xml:space="preserve">3）竣工验收后30天内取得建设主管部门竣工备案证明。承包人必须配合发包人做好本工程竣工验收备案工作，并负责所有资料归档工作。  </w:t>
      </w:r>
    </w:p>
    <w:p>
      <w:pPr>
        <w:autoSpaceDE w:val="0"/>
        <w:autoSpaceDN w:val="0"/>
        <w:adjustRightInd w:val="0"/>
        <w:spacing w:line="360" w:lineRule="auto"/>
        <w:ind w:firstLine="420" w:firstLineChars="200"/>
        <w:jc w:val="left"/>
        <w:textAlignment w:val="baseline"/>
        <w:rPr>
          <w:color w:val="0000FF"/>
          <w:sz w:val="21"/>
          <w:szCs w:val="21"/>
          <w:u w:val="single"/>
        </w:rPr>
      </w:pPr>
      <w:r>
        <w:rPr>
          <w:color w:val="0000FF"/>
          <w:sz w:val="21"/>
          <w:szCs w:val="21"/>
          <w:u w:val="single"/>
        </w:rPr>
        <w:t>4）总工期：</w:t>
      </w:r>
      <w:r>
        <w:rPr>
          <w:rFonts w:hint="eastAsia"/>
          <w:color w:val="0000FF"/>
          <w:sz w:val="21"/>
          <w:szCs w:val="21"/>
          <w:u w:val="single"/>
          <w:lang w:val="en-US" w:eastAsia="zh-CN"/>
        </w:rPr>
        <w:t>710</w:t>
      </w:r>
      <w:r>
        <w:rPr>
          <w:color w:val="0000FF"/>
          <w:sz w:val="21"/>
          <w:szCs w:val="21"/>
          <w:u w:val="single"/>
        </w:rPr>
        <w:t>日历天 节点工期控制表：</w:t>
      </w:r>
    </w:p>
    <w:p>
      <w:pPr>
        <w:autoSpaceDE w:val="0"/>
        <w:autoSpaceDN w:val="0"/>
        <w:adjustRightInd w:val="0"/>
        <w:spacing w:line="360" w:lineRule="auto"/>
        <w:ind w:firstLine="420" w:firstLineChars="200"/>
        <w:jc w:val="left"/>
        <w:textAlignment w:val="baseline"/>
        <w:rPr>
          <w:color w:val="0000FF"/>
          <w:sz w:val="21"/>
          <w:szCs w:val="21"/>
          <w:u w:val="single"/>
        </w:rPr>
      </w:pPr>
      <w:r>
        <w:rPr>
          <w:rFonts w:hint="eastAsia"/>
          <w:color w:val="0000FF"/>
          <w:sz w:val="21"/>
          <w:szCs w:val="21"/>
          <w:u w:val="single"/>
        </w:rPr>
        <w:t>序号</w:t>
      </w:r>
      <w:r>
        <w:rPr>
          <w:color w:val="0000FF"/>
          <w:sz w:val="21"/>
          <w:szCs w:val="21"/>
          <w:u w:val="single"/>
        </w:rPr>
        <w:tab/>
      </w:r>
      <w:r>
        <w:rPr>
          <w:color w:val="0000FF"/>
          <w:sz w:val="21"/>
          <w:szCs w:val="21"/>
          <w:u w:val="single"/>
        </w:rPr>
        <w:t>工期节点</w:t>
      </w:r>
      <w:r>
        <w:rPr>
          <w:color w:val="0000FF"/>
          <w:sz w:val="21"/>
          <w:szCs w:val="21"/>
          <w:u w:val="single"/>
        </w:rPr>
        <w:tab/>
      </w:r>
      <w:r>
        <w:rPr>
          <w:color w:val="0000FF"/>
          <w:sz w:val="21"/>
          <w:szCs w:val="21"/>
          <w:u w:val="single"/>
        </w:rPr>
        <w:t>完成时间</w:t>
      </w:r>
      <w:r>
        <w:rPr>
          <w:color w:val="0000FF"/>
          <w:sz w:val="21"/>
          <w:szCs w:val="21"/>
          <w:u w:val="single"/>
        </w:rPr>
        <w:tab/>
      </w:r>
      <w:r>
        <w:rPr>
          <w:color w:val="0000FF"/>
          <w:sz w:val="21"/>
          <w:szCs w:val="21"/>
          <w:u w:val="single"/>
        </w:rPr>
        <w:t>备注</w:t>
      </w:r>
    </w:p>
    <w:p>
      <w:pPr>
        <w:spacing w:line="360" w:lineRule="auto"/>
        <w:ind w:firstLine="420"/>
        <w:rPr>
          <w:rFonts w:hint="eastAsia" w:cs="宋体"/>
          <w:color w:val="auto"/>
          <w:sz w:val="21"/>
          <w:szCs w:val="21"/>
          <w:highlight w:val="none"/>
          <w:u w:val="single"/>
        </w:rPr>
      </w:pPr>
      <w:r>
        <w:rPr>
          <w:rFonts w:hint="eastAsia" w:cs="宋体"/>
          <w:color w:val="auto"/>
          <w:sz w:val="21"/>
          <w:szCs w:val="21"/>
          <w:highlight w:val="none"/>
          <w:u w:val="single"/>
          <w:lang w:val="en-US" w:eastAsia="zh-CN"/>
        </w:rPr>
        <w:t>1、</w:t>
      </w:r>
      <w:r>
        <w:rPr>
          <w:rFonts w:hint="eastAsia" w:cs="宋体"/>
          <w:color w:val="auto"/>
          <w:sz w:val="21"/>
          <w:szCs w:val="21"/>
          <w:highlight w:val="none"/>
          <w:u w:val="single"/>
        </w:rPr>
        <w:t>桩基工程：开工后</w:t>
      </w:r>
      <w:r>
        <w:rPr>
          <w:rFonts w:hint="eastAsia" w:cs="宋体"/>
          <w:color w:val="auto"/>
          <w:sz w:val="21"/>
          <w:szCs w:val="21"/>
          <w:highlight w:val="none"/>
          <w:u w:val="single"/>
          <w:lang w:val="en-US" w:eastAsia="zh-CN"/>
        </w:rPr>
        <w:t>75</w:t>
      </w:r>
      <w:r>
        <w:rPr>
          <w:rFonts w:hint="eastAsia" w:cs="宋体"/>
          <w:color w:val="auto"/>
          <w:sz w:val="21"/>
          <w:szCs w:val="21"/>
          <w:highlight w:val="none"/>
          <w:u w:val="single"/>
        </w:rPr>
        <w:t>日历天内完成；</w:t>
      </w:r>
    </w:p>
    <w:p>
      <w:pPr>
        <w:spacing w:line="360" w:lineRule="auto"/>
        <w:ind w:firstLine="420"/>
        <w:rPr>
          <w:rFonts w:hint="eastAsia" w:cs="宋体"/>
          <w:color w:val="auto"/>
          <w:sz w:val="21"/>
          <w:szCs w:val="21"/>
          <w:highlight w:val="none"/>
          <w:u w:val="single"/>
        </w:rPr>
      </w:pPr>
      <w:r>
        <w:rPr>
          <w:rFonts w:hint="eastAsia" w:cs="宋体"/>
          <w:color w:val="auto"/>
          <w:sz w:val="21"/>
          <w:szCs w:val="21"/>
          <w:highlight w:val="none"/>
          <w:u w:val="single"/>
          <w:lang w:val="en-US" w:eastAsia="zh-CN"/>
        </w:rPr>
        <w:t>2、</w:t>
      </w:r>
      <w:r>
        <w:rPr>
          <w:rFonts w:hint="eastAsia" w:cs="宋体"/>
          <w:color w:val="auto"/>
          <w:sz w:val="21"/>
          <w:szCs w:val="21"/>
          <w:highlight w:val="none"/>
          <w:u w:val="single"/>
        </w:rPr>
        <w:t>主楼正负零：开工后1</w:t>
      </w:r>
      <w:r>
        <w:rPr>
          <w:rFonts w:hint="eastAsia" w:cs="宋体"/>
          <w:color w:val="auto"/>
          <w:sz w:val="21"/>
          <w:szCs w:val="21"/>
          <w:highlight w:val="none"/>
          <w:u w:val="single"/>
          <w:lang w:val="en-US" w:eastAsia="zh-CN"/>
        </w:rPr>
        <w:t>1</w:t>
      </w:r>
      <w:r>
        <w:rPr>
          <w:rFonts w:hint="eastAsia" w:cs="宋体"/>
          <w:color w:val="auto"/>
          <w:sz w:val="21"/>
          <w:szCs w:val="21"/>
          <w:highlight w:val="none"/>
          <w:u w:val="single"/>
        </w:rPr>
        <w:t>0日历天内完成；</w:t>
      </w:r>
    </w:p>
    <w:p>
      <w:pPr>
        <w:spacing w:line="360" w:lineRule="auto"/>
        <w:ind w:firstLine="420"/>
        <w:rPr>
          <w:rFonts w:hint="eastAsia" w:cs="宋体"/>
          <w:color w:val="auto"/>
          <w:sz w:val="21"/>
          <w:szCs w:val="21"/>
          <w:highlight w:val="none"/>
          <w:u w:val="single"/>
        </w:rPr>
      </w:pPr>
      <w:r>
        <w:rPr>
          <w:rFonts w:hint="eastAsia" w:cs="宋体"/>
          <w:color w:val="auto"/>
          <w:sz w:val="21"/>
          <w:szCs w:val="21"/>
          <w:highlight w:val="none"/>
          <w:u w:val="single"/>
          <w:lang w:val="en-US" w:eastAsia="zh-CN"/>
        </w:rPr>
        <w:t>3、</w:t>
      </w:r>
      <w:r>
        <w:rPr>
          <w:rFonts w:hint="eastAsia" w:cs="宋体"/>
          <w:color w:val="auto"/>
          <w:sz w:val="21"/>
          <w:szCs w:val="21"/>
          <w:highlight w:val="none"/>
          <w:u w:val="single"/>
        </w:rPr>
        <w:t>主体结构封顶：开工后2</w:t>
      </w:r>
      <w:r>
        <w:rPr>
          <w:rFonts w:hint="eastAsia" w:cs="宋体"/>
          <w:color w:val="auto"/>
          <w:sz w:val="21"/>
          <w:szCs w:val="21"/>
          <w:highlight w:val="none"/>
          <w:u w:val="single"/>
          <w:lang w:val="en-US" w:eastAsia="zh-CN"/>
        </w:rPr>
        <w:t>67</w:t>
      </w:r>
      <w:r>
        <w:rPr>
          <w:rFonts w:hint="eastAsia" w:cs="宋体"/>
          <w:color w:val="auto"/>
          <w:sz w:val="21"/>
          <w:szCs w:val="21"/>
          <w:highlight w:val="none"/>
          <w:u w:val="single"/>
        </w:rPr>
        <w:t>日历天内完成；</w:t>
      </w:r>
    </w:p>
    <w:p>
      <w:pPr>
        <w:autoSpaceDE w:val="0"/>
        <w:autoSpaceDN w:val="0"/>
        <w:adjustRightInd w:val="0"/>
        <w:spacing w:line="360" w:lineRule="auto"/>
        <w:ind w:firstLine="420" w:firstLineChars="200"/>
        <w:jc w:val="left"/>
        <w:textAlignment w:val="baseline"/>
        <w:rPr>
          <w:rFonts w:hint="eastAsia" w:cs="宋体"/>
          <w:color w:val="0000FF"/>
          <w:sz w:val="21"/>
          <w:szCs w:val="21"/>
          <w:highlight w:val="none"/>
          <w:u w:val="single"/>
          <w:lang w:val="en-US" w:eastAsia="zh-CN"/>
        </w:rPr>
      </w:pPr>
      <w:r>
        <w:rPr>
          <w:rFonts w:hint="eastAsia" w:cs="宋体"/>
          <w:color w:val="auto"/>
          <w:sz w:val="21"/>
          <w:szCs w:val="21"/>
          <w:highlight w:val="none"/>
          <w:u w:val="single"/>
          <w:lang w:val="en-US" w:eastAsia="zh-CN"/>
        </w:rPr>
        <w:t>8、</w:t>
      </w:r>
      <w:r>
        <w:rPr>
          <w:rFonts w:hint="eastAsia" w:cs="宋体"/>
          <w:color w:val="auto"/>
          <w:sz w:val="21"/>
          <w:szCs w:val="21"/>
          <w:highlight w:val="none"/>
          <w:u w:val="single"/>
        </w:rPr>
        <w:t>竣工备案：开工后</w:t>
      </w:r>
      <w:r>
        <w:rPr>
          <w:rFonts w:hint="eastAsia" w:cs="宋体"/>
          <w:color w:val="auto"/>
          <w:sz w:val="21"/>
          <w:szCs w:val="21"/>
          <w:highlight w:val="none"/>
          <w:u w:val="single"/>
          <w:lang w:val="en-US" w:eastAsia="zh-CN"/>
        </w:rPr>
        <w:t>710</w:t>
      </w:r>
      <w:r>
        <w:rPr>
          <w:rFonts w:hint="eastAsia" w:cs="宋体"/>
          <w:color w:val="auto"/>
          <w:sz w:val="21"/>
          <w:szCs w:val="21"/>
          <w:highlight w:val="none"/>
          <w:u w:val="single"/>
        </w:rPr>
        <w:t>日历天内完成</w:t>
      </w:r>
      <w:r>
        <w:rPr>
          <w:rFonts w:hint="eastAsia" w:cs="宋体"/>
          <w:color w:val="0000FF"/>
          <w:sz w:val="21"/>
          <w:szCs w:val="21"/>
          <w:highlight w:val="none"/>
          <w:u w:val="single"/>
          <w:lang w:val="en-US" w:eastAsia="zh-CN"/>
        </w:rPr>
        <w:t>。</w:t>
      </w:r>
    </w:p>
    <w:p>
      <w:pPr>
        <w:autoSpaceDE w:val="0"/>
        <w:autoSpaceDN w:val="0"/>
        <w:adjustRightInd w:val="0"/>
        <w:spacing w:line="360" w:lineRule="auto"/>
        <w:ind w:firstLine="420" w:firstLineChars="200"/>
        <w:jc w:val="left"/>
        <w:textAlignment w:val="baseline"/>
        <w:rPr>
          <w:color w:val="0000FF"/>
          <w:sz w:val="21"/>
          <w:szCs w:val="21"/>
          <w:u w:val="single"/>
        </w:rPr>
      </w:pPr>
      <w:r>
        <w:rPr>
          <w:rFonts w:hint="eastAsia"/>
          <w:color w:val="0000FF"/>
          <w:sz w:val="21"/>
          <w:szCs w:val="21"/>
          <w:u w:val="single"/>
        </w:rPr>
        <w:t>注：移交精装修完成标准：</w:t>
      </w:r>
      <w:r>
        <w:rPr>
          <w:color w:val="0000FF"/>
          <w:sz w:val="21"/>
          <w:szCs w:val="21"/>
          <w:u w:val="single"/>
        </w:rPr>
        <w:t>1.门窗洞口收口完成。2.外墙、铝合金门窗淋水试验完成无漏水。3.阳露台、厨房、卫生间结构蓄水完成无漏水。4.各种管线、底盒预埋完成。5给排水管道安装到位，完成通水通球试验。</w:t>
      </w:r>
    </w:p>
    <w:p>
      <w:pPr>
        <w:autoSpaceDE w:val="0"/>
        <w:autoSpaceDN w:val="0"/>
        <w:adjustRightInd w:val="0"/>
        <w:spacing w:line="360" w:lineRule="auto"/>
        <w:ind w:firstLine="420" w:firstLineChars="200"/>
        <w:jc w:val="left"/>
        <w:textAlignment w:val="baseline"/>
        <w:rPr>
          <w:rFonts w:hint="eastAsia"/>
          <w:color w:val="0000FF"/>
          <w:sz w:val="21"/>
          <w:szCs w:val="21"/>
          <w:u w:val="single"/>
        </w:rPr>
      </w:pPr>
      <w:r>
        <w:rPr>
          <w:rFonts w:hint="eastAsia"/>
          <w:color w:val="0000FF"/>
          <w:sz w:val="21"/>
          <w:szCs w:val="21"/>
          <w:u w:val="single"/>
        </w:rPr>
        <w:t>①</w:t>
      </w:r>
      <w:r>
        <w:rPr>
          <w:color w:val="0000FF"/>
          <w:sz w:val="21"/>
          <w:szCs w:val="21"/>
          <w:u w:val="single"/>
        </w:rPr>
        <w:t>如开工进场时间延后，则完成日期相应顺延，总工期天数不做调整，发包人有权根据实际情况调整各批次的开发节奏，承包人须无条件配合。</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color w:val="0000FF"/>
          <w:sz w:val="21"/>
          <w:szCs w:val="21"/>
          <w:u w:val="single"/>
        </w:rPr>
        <w:t>②在项目竣工备案时，承包人必须配合发包人做好本工程竣工验收备案工作，并负责所有资料归档工作。</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7.1.2 施工组织设计的提交和修改</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承包人提交详细施工组织设计的期限的约定：</w:t>
      </w:r>
      <w:r>
        <w:rPr>
          <w:rFonts w:hint="eastAsia" w:cs="宋体"/>
          <w:color w:val="0000FF"/>
          <w:sz w:val="21"/>
          <w:szCs w:val="21"/>
          <w:highlight w:val="none"/>
          <w:u w:val="single"/>
        </w:rPr>
        <w:t>（1）中标后7日历天内向监理人及发包人提交施工组织设计(施工方案)、总进度计划表（横道图和网络图）各壹式肆份，同时提供电子文本，经总监理工程师审定批准后执行。承包人未按期提交上述文件或未经审定批准即予实施的，视为承包人违约，承包人应立即改正并支付20000元的违约金。（2）每月20日须提供下月施工进度计划表壹式肆份，同时提供电子文本。</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发包人和监理人在收到详细的施工组织设计后确认或提出修改意见的期限：</w:t>
      </w:r>
      <w:r>
        <w:rPr>
          <w:rFonts w:hint="eastAsia" w:ascii="宋体" w:hAnsi="宋体" w:eastAsia="宋体" w:cs="宋体"/>
          <w:color w:val="0000FF"/>
          <w:sz w:val="21"/>
          <w:szCs w:val="21"/>
          <w:highlight w:val="none"/>
          <w:u w:val="single"/>
        </w:rPr>
        <w:t>在监理人收到施工组织设计后 7 天内确认提出修改意见</w:t>
      </w:r>
      <w:r>
        <w:rPr>
          <w:rFonts w:hint="eastAsia" w:cs="宋体"/>
          <w:color w:val="auto"/>
          <w:sz w:val="21"/>
          <w:szCs w:val="21"/>
          <w:highlight w:val="none"/>
        </w:rPr>
        <w:t>。</w:t>
      </w:r>
    </w:p>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7.2 施工进度计划</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7.2.2 施工进度计划的修订</w:t>
      </w:r>
    </w:p>
    <w:p>
      <w:pPr>
        <w:adjustRightInd w:val="0"/>
        <w:spacing w:line="360" w:lineRule="auto"/>
        <w:ind w:firstLine="420" w:firstLineChars="200"/>
        <w:jc w:val="left"/>
        <w:textAlignment w:val="baseline"/>
        <w:rPr>
          <w:rFonts w:hint="eastAsia" w:cs="宋体"/>
          <w:color w:val="auto"/>
          <w:sz w:val="21"/>
          <w:szCs w:val="21"/>
          <w:highlight w:val="none"/>
        </w:rPr>
      </w:pPr>
      <w:r>
        <w:rPr>
          <w:rFonts w:hint="eastAsia" w:cs="宋体"/>
          <w:color w:val="auto"/>
          <w:sz w:val="21"/>
          <w:szCs w:val="21"/>
          <w:highlight w:val="none"/>
        </w:rPr>
        <w:t>发包人和监理人在收到修订的施工进度计划后确认或提出修改意见的期限：</w:t>
      </w:r>
      <w:r>
        <w:rPr>
          <w:rFonts w:hint="eastAsia" w:ascii="宋体" w:hAnsi="宋体" w:eastAsia="宋体" w:cs="宋体"/>
          <w:color w:val="0000FF"/>
          <w:sz w:val="21"/>
          <w:szCs w:val="21"/>
          <w:highlight w:val="none"/>
          <w:u w:val="single"/>
        </w:rPr>
        <w:t>在监理人收到修订的施工进度计划后7天内确认或者提出修改意见</w:t>
      </w:r>
      <w:r>
        <w:rPr>
          <w:rFonts w:hint="eastAsia" w:cs="宋体"/>
          <w:color w:val="auto"/>
          <w:sz w:val="21"/>
          <w:szCs w:val="21"/>
          <w:highlight w:val="none"/>
        </w:rPr>
        <w:t>。</w:t>
      </w:r>
    </w:p>
    <w:p>
      <w:pPr>
        <w:pStyle w:val="59"/>
        <w:ind w:left="0" w:firstLineChars="200"/>
        <w:rPr>
          <w:rFonts w:hint="eastAsia"/>
        </w:rPr>
      </w:pPr>
      <w:r>
        <w:rPr>
          <w:rFonts w:hint="eastAsia"/>
        </w:rPr>
        <w:t>7.2.3工程中有关进度计划的其他要求：</w:t>
      </w:r>
    </w:p>
    <w:p>
      <w:pPr>
        <w:pStyle w:val="59"/>
        <w:ind w:left="0" w:firstLineChars="200"/>
        <w:rPr>
          <w:rFonts w:hint="eastAsia"/>
        </w:rPr>
      </w:pPr>
      <w:r>
        <w:rPr>
          <w:rFonts w:hint="eastAsia"/>
        </w:rPr>
        <w:t>承包人施工期间需根据招标方项目部统一格式，提交每周周计划及月计划，并将计划的完成率进行汇报。</w:t>
      </w:r>
    </w:p>
    <w:p>
      <w:pPr>
        <w:pStyle w:val="59"/>
        <w:ind w:left="0" w:firstLineChars="200"/>
        <w:rPr>
          <w:rFonts w:hint="eastAsia"/>
        </w:rPr>
      </w:pPr>
      <w:r>
        <w:rPr>
          <w:rFonts w:hint="eastAsia"/>
        </w:rPr>
        <w:t>月计划：上报时间定为每月25日，上报本月完成情况与下月进度计划；</w:t>
      </w:r>
    </w:p>
    <w:p>
      <w:pPr>
        <w:pStyle w:val="59"/>
        <w:ind w:left="0" w:firstLineChars="200"/>
        <w:rPr>
          <w:rFonts w:hint="eastAsia"/>
        </w:rPr>
      </w:pPr>
      <w:r>
        <w:rPr>
          <w:rFonts w:hint="eastAsia"/>
        </w:rPr>
        <w:t>周计划：每周四上报本周完成情况与下周施工计划；</w:t>
      </w:r>
    </w:p>
    <w:p>
      <w:pPr>
        <w:pStyle w:val="59"/>
        <w:ind w:left="0" w:firstLineChars="200"/>
        <w:rPr>
          <w:rFonts w:hint="eastAsia"/>
        </w:rPr>
      </w:pPr>
      <w:r>
        <w:rPr>
          <w:rFonts w:hint="eastAsia"/>
        </w:rPr>
        <w:t>周计划未能完成90%的情况，发包人将向承包人处罚500元/次。</w:t>
      </w:r>
    </w:p>
    <w:p>
      <w:pPr>
        <w:pStyle w:val="59"/>
        <w:ind w:left="0" w:firstLineChars="200"/>
        <w:rPr>
          <w:rFonts w:hint="eastAsia"/>
        </w:rPr>
      </w:pPr>
      <w:r>
        <w:rPr>
          <w:rFonts w:hint="eastAsia"/>
        </w:rPr>
        <w:t>月计划未能按照计划完成90%，处罚将于本月进度款相挂钩，具体处罚金额由发包人决定。</w:t>
      </w:r>
    </w:p>
    <w:p>
      <w:pPr>
        <w:pStyle w:val="59"/>
        <w:ind w:left="0" w:firstLineChars="200"/>
      </w:pPr>
      <w:r>
        <w:rPr>
          <w:rFonts w:hint="eastAsia"/>
        </w:rPr>
        <w:t>（若总工期无拖延，可根据具体情况撤销阶段违约处罚）。</w:t>
      </w:r>
    </w:p>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7.3 开工</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7.3.1 开工准备</w:t>
      </w:r>
    </w:p>
    <w:p>
      <w:pPr>
        <w:adjustRightInd w:val="0"/>
        <w:spacing w:line="360" w:lineRule="auto"/>
        <w:ind w:firstLine="645"/>
        <w:jc w:val="left"/>
        <w:textAlignment w:val="baseline"/>
        <w:rPr>
          <w:rFonts w:cs="宋体"/>
          <w:color w:val="auto"/>
          <w:sz w:val="21"/>
          <w:szCs w:val="21"/>
          <w:highlight w:val="none"/>
          <w:u w:val="single"/>
        </w:rPr>
      </w:pPr>
      <w:r>
        <w:rPr>
          <w:rFonts w:hint="eastAsia" w:cs="宋体"/>
          <w:color w:val="auto"/>
          <w:sz w:val="21"/>
          <w:szCs w:val="21"/>
          <w:highlight w:val="none"/>
        </w:rPr>
        <w:t>关于承包人提交工程开工报审表的期限：</w:t>
      </w:r>
      <w:r>
        <w:rPr>
          <w:rFonts w:hint="eastAsia" w:ascii="宋体" w:hAnsi="宋体" w:eastAsia="宋体" w:cs="宋体"/>
          <w:color w:val="0000FF"/>
          <w:sz w:val="21"/>
          <w:szCs w:val="21"/>
          <w:highlight w:val="none"/>
          <w:u w:val="single"/>
        </w:rPr>
        <w:t>合同签订后14天内，最迟不迟于开工通知载明的开工日期前7天</w:t>
      </w:r>
      <w:r>
        <w:rPr>
          <w:rFonts w:hint="eastAsia" w:cs="宋体"/>
          <w:color w:val="auto"/>
          <w:sz w:val="21"/>
          <w:szCs w:val="21"/>
          <w:highlight w:val="none"/>
        </w:rPr>
        <w:t>。</w:t>
      </w:r>
    </w:p>
    <w:p>
      <w:pPr>
        <w:adjustRightInd w:val="0"/>
        <w:spacing w:line="360" w:lineRule="auto"/>
        <w:ind w:firstLine="645"/>
        <w:jc w:val="left"/>
        <w:textAlignment w:val="baseline"/>
        <w:rPr>
          <w:rFonts w:cs="宋体"/>
          <w:color w:val="auto"/>
          <w:sz w:val="21"/>
          <w:szCs w:val="21"/>
          <w:highlight w:val="none"/>
        </w:rPr>
      </w:pPr>
      <w:r>
        <w:rPr>
          <w:rFonts w:hint="eastAsia" w:cs="宋体"/>
          <w:color w:val="auto"/>
          <w:sz w:val="21"/>
          <w:szCs w:val="21"/>
          <w:highlight w:val="none"/>
        </w:rPr>
        <w:t>关于发包人应完成的其他开工准备工作及期限：</w:t>
      </w:r>
      <w:r>
        <w:rPr>
          <w:rFonts w:hint="eastAsia" w:ascii="宋体" w:hAnsi="宋体" w:eastAsia="宋体" w:cs="宋体"/>
          <w:color w:val="0000FF"/>
          <w:sz w:val="21"/>
          <w:szCs w:val="21"/>
          <w:highlight w:val="none"/>
          <w:u w:val="single"/>
        </w:rPr>
        <w:t>执行通用合同条款</w:t>
      </w:r>
      <w:r>
        <w:rPr>
          <w:rFonts w:hint="eastAsia" w:cs="宋体"/>
          <w:color w:val="auto"/>
          <w:sz w:val="21"/>
          <w:szCs w:val="21"/>
          <w:highlight w:val="none"/>
        </w:rPr>
        <w:t>。</w:t>
      </w:r>
    </w:p>
    <w:p>
      <w:pPr>
        <w:adjustRightInd w:val="0"/>
        <w:spacing w:line="360" w:lineRule="auto"/>
        <w:ind w:firstLine="525" w:firstLineChars="250"/>
        <w:jc w:val="left"/>
        <w:textAlignment w:val="baseline"/>
        <w:rPr>
          <w:rFonts w:cs="宋体"/>
          <w:color w:val="auto"/>
          <w:sz w:val="21"/>
          <w:szCs w:val="21"/>
          <w:highlight w:val="none"/>
        </w:rPr>
      </w:pPr>
      <w:r>
        <w:rPr>
          <w:rFonts w:hint="eastAsia" w:cs="宋体"/>
          <w:color w:val="auto"/>
          <w:sz w:val="21"/>
          <w:szCs w:val="21"/>
          <w:highlight w:val="none"/>
        </w:rPr>
        <w:t>关于承包人应完成的其他开工准备工作及期限：</w:t>
      </w:r>
      <w:r>
        <w:rPr>
          <w:rFonts w:hint="eastAsia" w:ascii="宋体" w:hAnsi="宋体" w:eastAsia="宋体" w:cs="宋体"/>
          <w:color w:val="0000FF"/>
          <w:sz w:val="21"/>
          <w:szCs w:val="21"/>
          <w:highlight w:val="none"/>
          <w:u w:val="single"/>
        </w:rPr>
        <w:t>执行通用合同条款</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7.3.2开工通知</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因发包人原因造成监理人未能在计划开工日期之日起</w:t>
      </w:r>
      <w:r>
        <w:rPr>
          <w:rFonts w:hint="eastAsia" w:cs="宋体"/>
          <w:color w:val="auto"/>
          <w:sz w:val="21"/>
          <w:szCs w:val="21"/>
          <w:highlight w:val="none"/>
          <w:u w:val="single"/>
        </w:rPr>
        <w:t xml:space="preserve"> </w:t>
      </w:r>
      <w:r>
        <w:rPr>
          <w:rFonts w:hint="eastAsia" w:cs="宋体"/>
          <w:color w:val="0000FF"/>
          <w:sz w:val="21"/>
          <w:szCs w:val="21"/>
          <w:highlight w:val="none"/>
          <w:u w:val="single"/>
          <w:lang w:val="en-US" w:eastAsia="zh-CN"/>
        </w:rPr>
        <w:t>90</w:t>
      </w:r>
      <w:r>
        <w:rPr>
          <w:rFonts w:hint="eastAsia" w:cs="宋体"/>
          <w:color w:val="auto"/>
          <w:sz w:val="21"/>
          <w:szCs w:val="21"/>
          <w:highlight w:val="none"/>
          <w:u w:val="single"/>
        </w:rPr>
        <w:t xml:space="preserve"> </w:t>
      </w:r>
      <w:r>
        <w:rPr>
          <w:rFonts w:hint="eastAsia" w:cs="宋体"/>
          <w:color w:val="auto"/>
          <w:sz w:val="21"/>
          <w:szCs w:val="21"/>
          <w:highlight w:val="none"/>
        </w:rPr>
        <w:t>天内发出开工通知的，承包人有权提出价格调整要求，或者解除合同。</w:t>
      </w:r>
    </w:p>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7.4 测量放线</w:t>
      </w:r>
    </w:p>
    <w:p>
      <w:pPr>
        <w:adjustRightInd w:val="0"/>
        <w:spacing w:line="360" w:lineRule="auto"/>
        <w:ind w:firstLine="420" w:firstLineChars="200"/>
        <w:jc w:val="left"/>
        <w:textAlignment w:val="baseline"/>
        <w:rPr>
          <w:rFonts w:cs="宋体"/>
          <w:color w:val="auto"/>
          <w:sz w:val="21"/>
          <w:szCs w:val="21"/>
          <w:highlight w:val="none"/>
          <w:u w:val="single"/>
        </w:rPr>
      </w:pPr>
      <w:r>
        <w:rPr>
          <w:rFonts w:hint="eastAsia" w:cs="宋体"/>
          <w:color w:val="auto"/>
          <w:sz w:val="21"/>
          <w:szCs w:val="21"/>
          <w:highlight w:val="none"/>
        </w:rPr>
        <w:t>7.4.1发包人通过监理人向承包人提供测量基准点、基准线和水准点及其书面资料的期限：</w:t>
      </w:r>
      <w:r>
        <w:rPr>
          <w:rFonts w:hint="eastAsia" w:ascii="宋体" w:hAnsi="宋体" w:eastAsia="宋体" w:cs="宋体"/>
          <w:color w:val="0000FF"/>
          <w:sz w:val="21"/>
          <w:szCs w:val="21"/>
          <w:highlight w:val="none"/>
          <w:u w:val="single"/>
        </w:rPr>
        <w:t>最迟不得晚于开工通知载明的开工日期前7天</w:t>
      </w:r>
      <w:r>
        <w:rPr>
          <w:rFonts w:hint="eastAsia" w:cs="宋体"/>
          <w:color w:val="auto"/>
          <w:sz w:val="21"/>
          <w:szCs w:val="21"/>
          <w:highlight w:val="none"/>
        </w:rPr>
        <w:t>。</w:t>
      </w:r>
    </w:p>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7.5 工期延误</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7.5.1 因发包人原因导致工期延误</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（7）因发包人原因导致工期延误的其他情形：</w:t>
      </w:r>
      <w:r>
        <w:rPr>
          <w:rFonts w:hint="eastAsia" w:cs="宋体"/>
          <w:color w:val="auto"/>
          <w:sz w:val="21"/>
          <w:szCs w:val="21"/>
          <w:highlight w:val="none"/>
          <w:u w:val="single"/>
        </w:rPr>
        <w:t>发包人设计变更、增加工程量、延迟履行合同义务和其他非承包人原因导致的工期延误情形</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7.5.2 因承包人原因导致工期延误</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因承包人原因造成工期延误，逾期竣工违约金的计算方法为：</w:t>
      </w:r>
      <w:r>
        <w:rPr>
          <w:rFonts w:hint="eastAsia" w:cs="宋体"/>
          <w:color w:val="auto"/>
          <w:sz w:val="21"/>
          <w:szCs w:val="21"/>
          <w:highlight w:val="none"/>
          <w:u w:val="single"/>
        </w:rPr>
        <w:t>按照签约合同价格为基数，日万分之一计算逾期竣工违约金，逾期竣工违约金累计计算</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因承包人原因造成工期延误，逾期竣工违约金的上限：</w:t>
      </w:r>
      <w:r>
        <w:rPr>
          <w:rFonts w:hint="eastAsia" w:cs="宋体"/>
          <w:color w:val="auto"/>
          <w:sz w:val="21"/>
          <w:szCs w:val="21"/>
          <w:highlight w:val="none"/>
          <w:u w:val="single"/>
        </w:rPr>
        <w:t>逾期竣工违约金累计计算，最高不超过签约合同价格的</w:t>
      </w:r>
      <w:r>
        <w:rPr>
          <w:rFonts w:hint="default" w:cs="宋体"/>
          <w:color w:val="auto"/>
          <w:sz w:val="21"/>
          <w:szCs w:val="21"/>
          <w:highlight w:val="none"/>
          <w:u w:val="single"/>
          <w:lang w:val="en-US"/>
        </w:rPr>
        <w:t>3</w:t>
      </w:r>
      <w:r>
        <w:rPr>
          <w:rFonts w:hint="eastAsia" w:cs="宋体"/>
          <w:color w:val="auto"/>
          <w:sz w:val="21"/>
          <w:szCs w:val="21"/>
          <w:highlight w:val="none"/>
          <w:u w:val="single"/>
        </w:rPr>
        <w:t>%</w:t>
      </w:r>
      <w:r>
        <w:rPr>
          <w:rFonts w:hint="eastAsia" w:cs="宋体"/>
          <w:color w:val="auto"/>
          <w:sz w:val="21"/>
          <w:szCs w:val="21"/>
          <w:highlight w:val="none"/>
        </w:rPr>
        <w:t>。</w:t>
      </w:r>
    </w:p>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7.6 不利物质条件</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不利物质条件的其他情形和有关约定：</w:t>
      </w:r>
      <w:r>
        <w:rPr>
          <w:rFonts w:hint="eastAsia" w:ascii="宋体" w:hAnsi="宋体" w:eastAsia="宋体" w:cs="宋体"/>
          <w:color w:val="0000FF"/>
          <w:sz w:val="21"/>
          <w:szCs w:val="21"/>
          <w:highlight w:val="none"/>
          <w:u w:val="single"/>
        </w:rPr>
        <w:t>执行通用合同条款</w:t>
      </w:r>
      <w:r>
        <w:rPr>
          <w:rFonts w:hint="eastAsia" w:cs="宋体"/>
          <w:color w:val="auto"/>
          <w:sz w:val="21"/>
          <w:szCs w:val="21"/>
          <w:highlight w:val="none"/>
        </w:rPr>
        <w:t>。</w:t>
      </w:r>
    </w:p>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7.7异常恶劣的气候条件</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发包人和承包人同意以下情形视为异常恶劣的气候条件：</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w:t>
      </w:r>
      <w:r>
        <w:rPr>
          <w:rFonts w:hint="eastAsia" w:cs="宋体"/>
          <w:color w:val="auto"/>
          <w:sz w:val="21"/>
          <w:szCs w:val="21"/>
          <w:highlight w:val="none"/>
          <w:lang w:val="en-US" w:eastAsia="zh-CN"/>
        </w:rPr>
        <w:t>1</w:t>
      </w:r>
      <w:r>
        <w:rPr>
          <w:rFonts w:hint="eastAsia" w:cs="宋体"/>
          <w:color w:val="auto"/>
          <w:sz w:val="21"/>
          <w:szCs w:val="21"/>
          <w:highlight w:val="none"/>
        </w:rPr>
        <w:t>）</w:t>
      </w:r>
      <w:r>
        <w:rPr>
          <w:rFonts w:hint="eastAsia" w:ascii="宋体" w:hAnsi="宋体" w:eastAsia="宋体" w:cs="宋体"/>
          <w:color w:val="0000FF"/>
          <w:sz w:val="21"/>
          <w:szCs w:val="21"/>
          <w:highlight w:val="none"/>
          <w:u w:val="single"/>
        </w:rPr>
        <w:t>8级以上台风(以气象台发布的公告为准)</w:t>
      </w:r>
      <w:r>
        <w:rPr>
          <w:rFonts w:hint="eastAsia" w:cs="宋体"/>
          <w:color w:val="auto"/>
          <w:sz w:val="21"/>
          <w:szCs w:val="21"/>
          <w:highlight w:val="none"/>
        </w:rPr>
        <w:t>；</w:t>
      </w:r>
    </w:p>
    <w:p>
      <w:pPr>
        <w:adjustRightInd w:val="0"/>
        <w:spacing w:line="360" w:lineRule="auto"/>
        <w:ind w:firstLine="420" w:firstLineChars="200"/>
        <w:jc w:val="left"/>
        <w:textAlignment w:val="baseline"/>
        <w:rPr>
          <w:rFonts w:hint="eastAsia" w:ascii="宋体" w:hAnsi="宋体" w:eastAsia="宋体" w:cs="宋体"/>
          <w:color w:val="0000FF"/>
          <w:sz w:val="21"/>
          <w:szCs w:val="21"/>
          <w:highlight w:val="none"/>
          <w:u w:val="single"/>
        </w:rPr>
      </w:pPr>
      <w:r>
        <w:rPr>
          <w:rFonts w:hint="eastAsia" w:cs="宋体"/>
          <w:color w:val="auto"/>
          <w:sz w:val="21"/>
          <w:szCs w:val="21"/>
          <w:highlight w:val="none"/>
        </w:rPr>
        <w:t>（</w:t>
      </w:r>
      <w:r>
        <w:rPr>
          <w:rFonts w:hint="eastAsia" w:cs="宋体"/>
          <w:color w:val="auto"/>
          <w:sz w:val="21"/>
          <w:szCs w:val="21"/>
          <w:highlight w:val="none"/>
          <w:lang w:val="en-US" w:eastAsia="zh-CN"/>
        </w:rPr>
        <w:t>2</w:t>
      </w:r>
      <w:r>
        <w:rPr>
          <w:rFonts w:hint="eastAsia" w:cs="宋体"/>
          <w:color w:val="auto"/>
          <w:sz w:val="21"/>
          <w:szCs w:val="21"/>
          <w:highlight w:val="none"/>
        </w:rPr>
        <w:t>）</w:t>
      </w:r>
      <w:r>
        <w:rPr>
          <w:rFonts w:hint="eastAsia" w:ascii="宋体" w:hAnsi="宋体" w:eastAsia="宋体" w:cs="宋体"/>
          <w:color w:val="0000FF"/>
          <w:sz w:val="21"/>
          <w:szCs w:val="21"/>
          <w:highlight w:val="none"/>
          <w:u w:val="single"/>
        </w:rPr>
        <w:t>日降雨量达到100毫米以上(以气象台发布的公告为准)。发生上述异常恶劣气候情形的，均由承包人采取措施自行处理，由此增加的费用已包含在风险包干范围内。</w:t>
      </w:r>
    </w:p>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7.9 提前竣工的奖励</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7.9.2提前竣工的奖励：</w:t>
      </w:r>
      <w:r>
        <w:rPr>
          <w:rFonts w:hint="eastAsia" w:ascii="宋体" w:hAnsi="宋体" w:eastAsia="宋体" w:cs="宋体"/>
          <w:color w:val="0000FF"/>
          <w:sz w:val="21"/>
          <w:szCs w:val="21"/>
          <w:highlight w:val="none"/>
          <w:u w:val="single"/>
        </w:rPr>
        <w:t>无</w:t>
      </w:r>
      <w:r>
        <w:rPr>
          <w:rFonts w:hint="eastAsia" w:cs="宋体"/>
          <w:color w:val="auto"/>
          <w:sz w:val="21"/>
          <w:szCs w:val="21"/>
          <w:highlight w:val="none"/>
        </w:rPr>
        <w:t>。</w:t>
      </w:r>
    </w:p>
    <w:p>
      <w:pPr>
        <w:keepNext/>
        <w:keepLines/>
        <w:adjustRightInd w:val="0"/>
        <w:spacing w:beforeLines="50" w:line="360" w:lineRule="auto"/>
        <w:textAlignment w:val="baseline"/>
        <w:outlineLvl w:val="4"/>
        <w:rPr>
          <w:rFonts w:cs="宋体"/>
          <w:b/>
          <w:bCs/>
          <w:color w:val="auto"/>
          <w:sz w:val="21"/>
          <w:szCs w:val="21"/>
          <w:highlight w:val="none"/>
        </w:rPr>
      </w:pPr>
      <w:r>
        <w:rPr>
          <w:rFonts w:hint="eastAsia" w:cs="宋体"/>
          <w:b/>
          <w:bCs/>
          <w:color w:val="auto"/>
          <w:sz w:val="21"/>
          <w:szCs w:val="21"/>
          <w:highlight w:val="none"/>
        </w:rPr>
        <w:t>8</w:t>
      </w:r>
      <w:bookmarkStart w:id="1362" w:name="_Toc13309392"/>
      <w:bookmarkStart w:id="1363" w:name="_Toc63471474"/>
      <w:r>
        <w:rPr>
          <w:rFonts w:hint="eastAsia" w:cs="宋体"/>
          <w:b/>
          <w:bCs/>
          <w:color w:val="auto"/>
          <w:sz w:val="21"/>
          <w:szCs w:val="21"/>
          <w:highlight w:val="none"/>
        </w:rPr>
        <w:t>. 材料与设备</w:t>
      </w:r>
    </w:p>
    <w:bookmarkEnd w:id="1362"/>
    <w:bookmarkEnd w:id="1363"/>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8.6 样品</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8.6.1</w:t>
      </w:r>
      <w:r>
        <w:rPr>
          <w:rFonts w:hint="eastAsia" w:cs="宋体"/>
          <w:color w:val="auto"/>
          <w:sz w:val="21"/>
          <w:szCs w:val="21"/>
          <w:highlight w:val="none"/>
        </w:rPr>
        <w:tab/>
      </w:r>
      <w:r>
        <w:rPr>
          <w:rFonts w:hint="eastAsia" w:cs="宋体"/>
          <w:color w:val="auto"/>
          <w:sz w:val="21"/>
          <w:szCs w:val="21"/>
          <w:highlight w:val="none"/>
        </w:rPr>
        <w:t>样品的报送与封存</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需要承包人报送样品的材料或工程设备，样品的种类、名称、规格、数量要求：</w:t>
      </w:r>
      <w:r>
        <w:rPr>
          <w:rFonts w:hint="eastAsia" w:cs="宋体"/>
          <w:color w:val="0000FF"/>
          <w:sz w:val="21"/>
          <w:szCs w:val="21"/>
          <w:highlight w:val="none"/>
          <w:u w:val="single"/>
        </w:rPr>
        <w:t>具有相关的国家、省、市认可的产品合格证、质量保证书及产品说明等相关资料。施工材料如石材、瓷砖、陶砖（含文化石）、陶瓦、铝扣板、石膏板、楼梯栏杆、真石漆、吊顶、市政井盖、灯具、防水材料、植草格、门窗等（包含但不限于上述材料），承包人采购前应向发包人报送样板，承包范围内的景观成品、座椅、围墙栏杆等涉及外观选型的设施，施工单位应无偿报送小样，待发包人和监理工程师书面确定后方可施工。除上述约定的以外，其余均执行通用合同条款。</w:t>
      </w:r>
      <w:r>
        <w:rPr>
          <w:rFonts w:hint="eastAsia" w:cs="宋体"/>
          <w:color w:val="auto"/>
          <w:sz w:val="21"/>
          <w:szCs w:val="21"/>
          <w:highlight w:val="none"/>
        </w:rPr>
        <w:t>。</w:t>
      </w:r>
    </w:p>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8.8 施工设备和临时设施</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8.8.1 承包人提供的施工设备和临时设施</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关于修建临时设施费用承担的约定：</w:t>
      </w:r>
      <w:r>
        <w:rPr>
          <w:rFonts w:hint="eastAsia" w:cs="宋体"/>
          <w:color w:val="auto"/>
          <w:sz w:val="21"/>
          <w:szCs w:val="21"/>
          <w:highlight w:val="none"/>
          <w:u w:val="single"/>
        </w:rPr>
        <w:t>所有费用已包含在投标报价中，承包人承担临时设施的全部费用，如需要临时占地的，应由承包人办理申请手续并承担费用，发包人配合。施工过程中承包人应做好工地的围护工作，工地围墙如有非发包人原因造成的破损（包含市政修路导致的围墙损毁或需要配合拆除及恢复临时围挡等），承包人无条件修复且自行承担全部费用和责任</w:t>
      </w:r>
      <w:r>
        <w:rPr>
          <w:rFonts w:hint="eastAsia" w:cs="宋体"/>
          <w:color w:val="auto"/>
          <w:sz w:val="21"/>
          <w:szCs w:val="21"/>
          <w:highlight w:val="none"/>
        </w:rPr>
        <w:t>。</w:t>
      </w:r>
    </w:p>
    <w:p>
      <w:pPr>
        <w:keepNext/>
        <w:keepLines/>
        <w:adjustRightInd w:val="0"/>
        <w:spacing w:beforeLines="50" w:line="360" w:lineRule="auto"/>
        <w:textAlignment w:val="baseline"/>
        <w:outlineLvl w:val="4"/>
        <w:rPr>
          <w:rFonts w:cs="宋体"/>
          <w:b/>
          <w:bCs/>
          <w:color w:val="auto"/>
          <w:sz w:val="21"/>
          <w:szCs w:val="21"/>
          <w:highlight w:val="none"/>
        </w:rPr>
      </w:pPr>
      <w:r>
        <w:rPr>
          <w:rFonts w:hint="eastAsia" w:cs="宋体"/>
          <w:b/>
          <w:bCs/>
          <w:color w:val="auto"/>
          <w:sz w:val="21"/>
          <w:szCs w:val="21"/>
          <w:highlight w:val="none"/>
        </w:rPr>
        <w:t>9</w:t>
      </w:r>
      <w:bookmarkStart w:id="1364" w:name="_Toc63471475"/>
      <w:bookmarkStart w:id="1365" w:name="_Toc13309393"/>
      <w:r>
        <w:rPr>
          <w:rFonts w:hint="eastAsia" w:cs="宋体"/>
          <w:b/>
          <w:bCs/>
          <w:color w:val="auto"/>
          <w:sz w:val="21"/>
          <w:szCs w:val="21"/>
          <w:highlight w:val="none"/>
        </w:rPr>
        <w:t>. 试验与检验</w:t>
      </w:r>
    </w:p>
    <w:bookmarkEnd w:id="1364"/>
    <w:bookmarkEnd w:id="1365"/>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9.1试验设备与试验人员</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9.1.2 试验设备</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施工现场需要配置的试验场所：</w:t>
      </w:r>
      <w:r>
        <w:rPr>
          <w:rFonts w:hint="eastAsia" w:cs="宋体"/>
          <w:color w:val="0000FF"/>
          <w:sz w:val="21"/>
          <w:szCs w:val="21"/>
          <w:highlight w:val="none"/>
          <w:u w:val="single"/>
        </w:rPr>
        <w:t>满足本工程施工需要</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施工现场需要配备的试验设备：</w:t>
      </w:r>
      <w:r>
        <w:rPr>
          <w:rFonts w:hint="eastAsia" w:cs="宋体"/>
          <w:color w:val="0000FF"/>
          <w:sz w:val="21"/>
          <w:szCs w:val="21"/>
          <w:highlight w:val="none"/>
          <w:u w:val="single"/>
        </w:rPr>
        <w:t>满足本工程施工需要</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施工现场需要具备的其他试验条件：</w:t>
      </w:r>
      <w:r>
        <w:rPr>
          <w:rFonts w:hint="eastAsia" w:cs="宋体"/>
          <w:color w:val="0000FF"/>
          <w:sz w:val="21"/>
          <w:szCs w:val="21"/>
          <w:highlight w:val="none"/>
          <w:u w:val="single"/>
        </w:rPr>
        <w:t>满足本工程施工需要</w:t>
      </w:r>
      <w:r>
        <w:rPr>
          <w:rFonts w:hint="eastAsia" w:cs="宋体"/>
          <w:color w:val="auto"/>
          <w:sz w:val="21"/>
          <w:szCs w:val="21"/>
          <w:highlight w:val="none"/>
        </w:rPr>
        <w:t>。</w:t>
      </w:r>
    </w:p>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 xml:space="preserve">9.4 现场工艺试验 </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现场工艺试验的有关约定：</w:t>
      </w:r>
      <w:r>
        <w:rPr>
          <w:rFonts w:hint="eastAsia" w:cs="宋体"/>
          <w:color w:val="0000FF"/>
          <w:sz w:val="21"/>
          <w:szCs w:val="21"/>
          <w:highlight w:val="none"/>
          <w:u w:val="single"/>
        </w:rPr>
        <w:t>满足本工程施工需要</w:t>
      </w:r>
      <w:r>
        <w:rPr>
          <w:rFonts w:hint="eastAsia" w:cs="宋体"/>
          <w:color w:val="auto"/>
          <w:sz w:val="21"/>
          <w:szCs w:val="21"/>
          <w:highlight w:val="none"/>
        </w:rPr>
        <w:t>。</w:t>
      </w:r>
    </w:p>
    <w:p>
      <w:pPr>
        <w:keepNext/>
        <w:keepLines/>
        <w:adjustRightInd w:val="0"/>
        <w:spacing w:beforeLines="50" w:line="360" w:lineRule="auto"/>
        <w:textAlignment w:val="baseline"/>
        <w:outlineLvl w:val="4"/>
        <w:rPr>
          <w:rFonts w:cs="宋体"/>
          <w:b/>
          <w:bCs/>
          <w:color w:val="auto"/>
          <w:sz w:val="21"/>
          <w:szCs w:val="21"/>
          <w:highlight w:val="none"/>
        </w:rPr>
      </w:pPr>
      <w:r>
        <w:rPr>
          <w:rFonts w:hint="eastAsia" w:cs="宋体"/>
          <w:b/>
          <w:bCs/>
          <w:color w:val="auto"/>
          <w:sz w:val="21"/>
          <w:szCs w:val="21"/>
          <w:highlight w:val="none"/>
        </w:rPr>
        <w:t>1</w:t>
      </w:r>
      <w:bookmarkStart w:id="1366" w:name="_Toc13309394"/>
      <w:bookmarkStart w:id="1367" w:name="_Toc63471476"/>
      <w:r>
        <w:rPr>
          <w:rFonts w:hint="eastAsia" w:cs="宋体"/>
          <w:b/>
          <w:bCs/>
          <w:color w:val="auto"/>
          <w:sz w:val="21"/>
          <w:szCs w:val="21"/>
          <w:highlight w:val="none"/>
        </w:rPr>
        <w:t>0. 变更</w:t>
      </w:r>
    </w:p>
    <w:bookmarkEnd w:id="1366"/>
    <w:bookmarkEnd w:id="1367"/>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10.1变更的范围</w:t>
      </w:r>
    </w:p>
    <w:p>
      <w:pPr>
        <w:adjustRightInd w:val="0"/>
        <w:spacing w:line="360" w:lineRule="auto"/>
        <w:ind w:firstLine="600"/>
        <w:jc w:val="left"/>
        <w:textAlignment w:val="baseline"/>
        <w:rPr>
          <w:rFonts w:hAnsi="Times New Roman"/>
          <w:color w:val="auto"/>
          <w:sz w:val="21"/>
          <w:szCs w:val="21"/>
          <w:highlight w:val="none"/>
        </w:rPr>
      </w:pPr>
      <w:r>
        <w:rPr>
          <w:rFonts w:hint="eastAsia" w:cs="宋体"/>
          <w:color w:val="auto"/>
          <w:sz w:val="21"/>
          <w:szCs w:val="21"/>
          <w:highlight w:val="none"/>
        </w:rPr>
        <w:t>关于变更的范围的约定：</w:t>
      </w:r>
      <w:r>
        <w:rPr>
          <w:rFonts w:hint="eastAsia" w:cs="宋体"/>
          <w:color w:val="auto"/>
          <w:sz w:val="21"/>
          <w:szCs w:val="21"/>
          <w:highlight w:val="none"/>
          <w:u w:val="single"/>
        </w:rPr>
        <w:t>执行通用合同条款并符合以下规定：</w:t>
      </w:r>
    </w:p>
    <w:p>
      <w:pPr>
        <w:adjustRightInd w:val="0"/>
        <w:spacing w:line="360" w:lineRule="auto"/>
        <w:ind w:firstLine="420"/>
        <w:textAlignment w:val="baseline"/>
        <w:rPr>
          <w:rFonts w:cs="宋体"/>
          <w:color w:val="auto"/>
          <w:sz w:val="21"/>
          <w:szCs w:val="21"/>
          <w:highlight w:val="none"/>
          <w:u w:val="single"/>
        </w:rPr>
      </w:pPr>
      <w:r>
        <w:rPr>
          <w:rFonts w:hint="eastAsia" w:cs="宋体"/>
          <w:color w:val="auto"/>
          <w:sz w:val="21"/>
          <w:szCs w:val="21"/>
          <w:highlight w:val="none"/>
          <w:u w:val="single"/>
        </w:rPr>
        <w:t>（1）严格建设标准，擅自提高建设标准、规模的工程，一律不得追加投资,严禁以承包人工艺改变、材料设备采购困难等为由要求勘察设计单位进行变更；</w:t>
      </w:r>
    </w:p>
    <w:p>
      <w:pPr>
        <w:adjustRightInd w:val="0"/>
        <w:spacing w:line="360" w:lineRule="auto"/>
        <w:ind w:firstLine="489" w:firstLineChars="233"/>
        <w:textAlignment w:val="baseline"/>
        <w:rPr>
          <w:rFonts w:hint="eastAsia" w:cs="宋体"/>
          <w:color w:val="auto"/>
          <w:sz w:val="21"/>
          <w:szCs w:val="21"/>
          <w:highlight w:val="none"/>
          <w:u w:val="single"/>
        </w:rPr>
      </w:pPr>
      <w:r>
        <w:rPr>
          <w:rFonts w:hint="eastAsia" w:cs="宋体"/>
          <w:color w:val="auto"/>
          <w:sz w:val="21"/>
          <w:szCs w:val="21"/>
          <w:highlight w:val="none"/>
          <w:u w:val="single"/>
        </w:rPr>
        <w:t>（2）除因不可抗力需要实施应急抢险工程外，设计变更涉及增加造价的，应报经批准</w:t>
      </w:r>
    </w:p>
    <w:p>
      <w:pPr>
        <w:adjustRightInd w:val="0"/>
        <w:spacing w:line="360" w:lineRule="auto"/>
        <w:ind w:firstLine="489" w:firstLineChars="233"/>
        <w:textAlignment w:val="baseline"/>
        <w:rPr>
          <w:rFonts w:hint="eastAsia" w:cs="宋体"/>
          <w:color w:val="auto"/>
          <w:sz w:val="21"/>
          <w:szCs w:val="21"/>
          <w:highlight w:val="none"/>
          <w:u w:val="single"/>
        </w:rPr>
      </w:pPr>
      <w:r>
        <w:rPr>
          <w:rFonts w:hint="eastAsia" w:cs="宋体"/>
          <w:color w:val="auto"/>
          <w:sz w:val="21"/>
          <w:szCs w:val="21"/>
          <w:highlight w:val="none"/>
          <w:u w:val="single"/>
        </w:rPr>
        <w:t>后方可实施。</w:t>
      </w:r>
    </w:p>
    <w:p>
      <w:pPr>
        <w:adjustRightInd w:val="0"/>
        <w:spacing w:line="360" w:lineRule="auto"/>
        <w:ind w:firstLine="489" w:firstLineChars="233"/>
        <w:textAlignment w:val="baseline"/>
        <w:rPr>
          <w:iCs/>
          <w:color w:val="auto"/>
          <w:sz w:val="21"/>
          <w:szCs w:val="21"/>
          <w:highlight w:val="none"/>
          <w:u w:val="single"/>
        </w:rPr>
      </w:pPr>
      <w:r>
        <w:rPr>
          <w:rFonts w:hint="eastAsia" w:cs="宋体"/>
          <w:color w:val="auto"/>
          <w:sz w:val="21"/>
          <w:szCs w:val="21"/>
          <w:highlight w:val="none"/>
          <w:u w:val="single"/>
        </w:rPr>
        <w:t>（3）发包人设计变更涉及增加造价未按程序报经批准的，承包人有权不予实施。</w:t>
      </w:r>
    </w:p>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10.4 变更估价</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10.4.1 变更估价原则</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关于变更估价的约定:</w:t>
      </w:r>
    </w:p>
    <w:p>
      <w:pPr>
        <w:adjustRightInd w:val="0"/>
        <w:spacing w:line="360" w:lineRule="auto"/>
        <w:ind w:firstLine="420"/>
        <w:textAlignment w:val="baseline"/>
        <w:rPr>
          <w:rFonts w:cs="宋体"/>
          <w:color w:val="auto"/>
          <w:sz w:val="21"/>
          <w:szCs w:val="21"/>
          <w:highlight w:val="none"/>
          <w:u w:val="single"/>
        </w:rPr>
      </w:pPr>
      <w:r>
        <w:rPr>
          <w:rFonts w:hint="eastAsia" w:cs="宋体"/>
          <w:color w:val="auto"/>
          <w:sz w:val="21"/>
          <w:szCs w:val="21"/>
          <w:highlight w:val="none"/>
          <w:u w:val="single"/>
        </w:rPr>
        <w:t>（1）因变更引起工程量变化或项目特征变化的,综合单价按照下列方式确定：</w:t>
      </w:r>
    </w:p>
    <w:p>
      <w:pPr>
        <w:adjustRightInd w:val="0"/>
        <w:spacing w:line="360" w:lineRule="auto"/>
        <w:ind w:firstLine="420"/>
        <w:textAlignment w:val="baseline"/>
        <w:rPr>
          <w:rFonts w:cs="宋体"/>
          <w:color w:val="auto"/>
          <w:sz w:val="21"/>
          <w:szCs w:val="21"/>
          <w:highlight w:val="none"/>
          <w:u w:val="single"/>
        </w:rPr>
      </w:pPr>
      <w:r>
        <w:rPr>
          <w:rFonts w:hint="eastAsia" w:cs="宋体"/>
          <w:color w:val="auto"/>
          <w:sz w:val="21"/>
          <w:szCs w:val="21"/>
          <w:highlight w:val="none"/>
          <w:u w:val="single"/>
        </w:rPr>
        <w:t>①已标价工程量清单中已有适用于此变更的综合单价的，按已有的综合单价计算。</w:t>
      </w:r>
    </w:p>
    <w:p>
      <w:pPr>
        <w:adjustRightInd w:val="0"/>
        <w:spacing w:line="360" w:lineRule="auto"/>
        <w:ind w:firstLine="420"/>
        <w:textAlignment w:val="baseline"/>
        <w:rPr>
          <w:rFonts w:cs="宋体"/>
          <w:color w:val="auto"/>
          <w:sz w:val="21"/>
          <w:szCs w:val="21"/>
          <w:highlight w:val="none"/>
          <w:u w:val="single"/>
        </w:rPr>
      </w:pPr>
      <w:r>
        <w:rPr>
          <w:rFonts w:hint="eastAsia" w:cs="宋体"/>
          <w:color w:val="auto"/>
          <w:sz w:val="21"/>
          <w:szCs w:val="21"/>
          <w:highlight w:val="none"/>
          <w:u w:val="single"/>
        </w:rPr>
        <w:t>②已标价工程量清单中没有适用于此变更的综合单价的，按《建设工程工程量清单计价规范》（</w:t>
      </w:r>
      <w:r>
        <w:rPr>
          <w:rFonts w:cs="宋体"/>
          <w:color w:val="auto"/>
          <w:sz w:val="21"/>
          <w:szCs w:val="21"/>
          <w:highlight w:val="none"/>
          <w:u w:val="single"/>
        </w:rPr>
        <w:t>GB 50861-2013</w:t>
      </w:r>
      <w:r>
        <w:rPr>
          <w:rFonts w:hint="eastAsia" w:cs="宋体"/>
          <w:color w:val="auto"/>
          <w:sz w:val="21"/>
          <w:szCs w:val="21"/>
          <w:highlight w:val="none"/>
          <w:u w:val="single"/>
        </w:rPr>
        <w:t>）及造价管理机构颁布的施工当期的定额、费用标准（不计风险）、价格信息，按招标控制价编制原则计算后，乘以中标价降幅系数（中标价降幅系数=（中标价-专业工程暂估价-暂列金）/（招标控制价-专业工程暂估价-暂列金）×100%）。若定额缺项的，由承包人提出适当的单价，经发包人审核后确定。</w:t>
      </w:r>
    </w:p>
    <w:p>
      <w:pPr>
        <w:adjustRightInd w:val="0"/>
        <w:spacing w:line="360" w:lineRule="auto"/>
        <w:ind w:firstLine="420"/>
        <w:textAlignment w:val="baseline"/>
        <w:rPr>
          <w:rFonts w:cs="宋体"/>
          <w:color w:val="auto"/>
          <w:sz w:val="21"/>
          <w:szCs w:val="21"/>
          <w:highlight w:val="none"/>
          <w:u w:val="single"/>
        </w:rPr>
      </w:pPr>
      <w:r>
        <w:rPr>
          <w:rFonts w:hint="eastAsia" w:cs="宋体"/>
          <w:color w:val="auto"/>
          <w:sz w:val="21"/>
          <w:szCs w:val="21"/>
          <w:highlight w:val="none"/>
          <w:u w:val="single"/>
        </w:rPr>
        <w:t>③若上述适用的综合单价投标时有多个不同报价，工程量增加时以最低的综合单价为准，工程量减少时以最高的综合单价为准。</w:t>
      </w:r>
    </w:p>
    <w:p>
      <w:pPr>
        <w:adjustRightInd w:val="0"/>
        <w:spacing w:line="360" w:lineRule="auto"/>
        <w:ind w:firstLine="420"/>
        <w:textAlignment w:val="baseline"/>
        <w:rPr>
          <w:rFonts w:cs="宋体"/>
          <w:color w:val="auto"/>
          <w:sz w:val="21"/>
          <w:szCs w:val="21"/>
          <w:highlight w:val="none"/>
          <w:u w:val="single"/>
        </w:rPr>
      </w:pPr>
      <w:r>
        <w:rPr>
          <w:rFonts w:hint="eastAsia" w:cs="宋体"/>
          <w:color w:val="auto"/>
          <w:sz w:val="21"/>
          <w:szCs w:val="21"/>
          <w:highlight w:val="none"/>
          <w:u w:val="single"/>
        </w:rPr>
        <w:t>（2）承包人的综合单价高于“招标控制价中相应的综合单价乘以中标降幅系数”时，其偏差幅度超过10%的（不含），或承包人的综合单价低于“招标控制价中相应的综合单价乘以中标降幅系数”时，其偏差幅度超过20%的（不含），比较承包人的综合单价与“招标控制价中相应的综合单价乘以中标降幅系数”，增加的工程量执行较低单价，减少的工程量执行较高单价。</w:t>
      </w:r>
    </w:p>
    <w:p>
      <w:pPr>
        <w:adjustRightInd w:val="0"/>
        <w:spacing w:line="300" w:lineRule="auto"/>
        <w:ind w:firstLine="480"/>
        <w:jc w:val="left"/>
        <w:textAlignment w:val="baseline"/>
        <w:rPr>
          <w:rFonts w:cs="宋体"/>
          <w:color w:val="auto"/>
          <w:sz w:val="21"/>
          <w:szCs w:val="21"/>
          <w:highlight w:val="none"/>
          <w:u w:val="single"/>
        </w:rPr>
      </w:pPr>
      <w:r>
        <w:rPr>
          <w:rFonts w:hint="eastAsia" w:cs="宋体"/>
          <w:color w:val="auto"/>
          <w:sz w:val="21"/>
          <w:szCs w:val="21"/>
          <w:highlight w:val="none"/>
          <w:u w:val="single"/>
        </w:rPr>
        <w:t>（3）若变更导致实际完成的变更工程量与已标价工程量清单中列明的工程量变化幅度超过±15%（不含）的且变更金额超过±20万元（不含）时，按以下规定调整不平衡报价后计算超过部分工程量的变更造价：</w:t>
      </w:r>
    </w:p>
    <w:p>
      <w:pPr>
        <w:adjustRightInd w:val="0"/>
        <w:spacing w:line="300" w:lineRule="auto"/>
        <w:ind w:firstLine="480"/>
        <w:jc w:val="left"/>
        <w:textAlignment w:val="baseline"/>
        <w:rPr>
          <w:rFonts w:cs="宋体"/>
          <w:color w:val="auto"/>
          <w:sz w:val="21"/>
          <w:szCs w:val="21"/>
          <w:highlight w:val="none"/>
          <w:u w:val="single"/>
        </w:rPr>
      </w:pPr>
      <w:r>
        <w:rPr>
          <w:rFonts w:hint="eastAsia" w:cs="宋体"/>
          <w:color w:val="auto"/>
          <w:sz w:val="21"/>
          <w:szCs w:val="21"/>
          <w:highlight w:val="none"/>
          <w:u w:val="single"/>
        </w:rPr>
        <w:t>①工程量增加超过15%且变更增加金额超过20万元时，取“已标价工程量清单中投标报价中适用或类似的综合单价”和“招标控制价中相应的综合单价乘以中标价降幅系数”的较低值计算超过部分所增加的变更造价。</w:t>
      </w:r>
    </w:p>
    <w:p>
      <w:pPr>
        <w:adjustRightInd w:val="0"/>
        <w:spacing w:line="300" w:lineRule="auto"/>
        <w:ind w:firstLine="480"/>
        <w:jc w:val="left"/>
        <w:textAlignment w:val="baseline"/>
        <w:rPr>
          <w:rFonts w:cs="宋体"/>
          <w:color w:val="auto"/>
          <w:sz w:val="21"/>
          <w:szCs w:val="21"/>
          <w:highlight w:val="none"/>
          <w:u w:val="single"/>
        </w:rPr>
      </w:pPr>
      <w:r>
        <w:rPr>
          <w:rFonts w:hint="eastAsia" w:cs="宋体"/>
          <w:color w:val="auto"/>
          <w:sz w:val="21"/>
          <w:szCs w:val="21"/>
          <w:highlight w:val="none"/>
          <w:u w:val="single"/>
        </w:rPr>
        <w:t>②工程量减少超过15%且变更减少金额超过20万元时，取“已标价工程量清单中投标报价中适用或类似的综合单价”和“招标控制价中相应的综合单价乘以中标价降幅系数”的较高值计算超过部分所减少的变更造价。</w:t>
      </w:r>
    </w:p>
    <w:p>
      <w:pPr>
        <w:pStyle w:val="59"/>
        <w:ind w:left="0" w:leftChars="0" w:firstLine="420" w:firstLineChars="200"/>
        <w:rPr>
          <w:color w:val="auto"/>
          <w:highlight w:val="none"/>
        </w:rPr>
      </w:pPr>
      <w:r>
        <w:rPr>
          <w:rFonts w:hint="eastAsia" w:cs="宋体"/>
          <w:color w:val="auto"/>
          <w:sz w:val="21"/>
          <w:szCs w:val="21"/>
          <w:highlight w:val="none"/>
          <w:u w:val="single"/>
        </w:rPr>
        <w:t>（4）没有价格信息的材料，</w:t>
      </w:r>
      <w:r>
        <w:rPr>
          <w:rFonts w:hint="eastAsia" w:cs="宋体"/>
          <w:color w:val="auto"/>
          <w:szCs w:val="21"/>
          <w:highlight w:val="none"/>
          <w:u w:val="single"/>
        </w:rPr>
        <w:t>按厦门市缺项材料选用定价机制有关规定执行</w:t>
      </w:r>
      <w:r>
        <w:rPr>
          <w:rFonts w:hint="eastAsia" w:cs="宋体"/>
          <w:color w:val="auto"/>
          <w:sz w:val="21"/>
          <w:szCs w:val="21"/>
          <w:highlight w:val="none"/>
          <w:u w:val="single"/>
        </w:rPr>
        <w:t>。</w:t>
      </w:r>
    </w:p>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10.5承包人的合理化建议</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监理人审查承包人合理化建议的期限：</w:t>
      </w:r>
      <w:r>
        <w:rPr>
          <w:rFonts w:hint="eastAsia" w:cs="宋体"/>
          <w:color w:val="0000FF"/>
          <w:sz w:val="21"/>
          <w:szCs w:val="21"/>
          <w:highlight w:val="none"/>
          <w:u w:val="single"/>
        </w:rPr>
        <w:t>收到承包人合理化建议后7天</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发包人审批承包人合理化建议的期限：</w:t>
      </w:r>
      <w:r>
        <w:rPr>
          <w:rFonts w:hint="eastAsia" w:cs="宋体"/>
          <w:color w:val="0000FF"/>
          <w:sz w:val="21"/>
          <w:szCs w:val="21"/>
          <w:highlight w:val="none"/>
          <w:u w:val="single"/>
        </w:rPr>
        <w:t>收到监理人报送的承包人合理化建议后7天</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u w:val="single"/>
        </w:rPr>
      </w:pPr>
      <w:r>
        <w:rPr>
          <w:rFonts w:hint="eastAsia" w:cs="宋体"/>
          <w:color w:val="auto"/>
          <w:sz w:val="21"/>
          <w:szCs w:val="21"/>
          <w:highlight w:val="none"/>
        </w:rPr>
        <w:t>承包人提出的合理化建议降低了合同价格或者提高了工程经济效益的奖励的方法和金额为：</w:t>
      </w:r>
      <w:r>
        <w:rPr>
          <w:rFonts w:hint="eastAsia" w:cs="宋体"/>
          <w:color w:val="auto"/>
          <w:sz w:val="21"/>
          <w:szCs w:val="21"/>
          <w:highlight w:val="none"/>
          <w:u w:val="single"/>
          <w:lang w:val="en-US" w:eastAsia="zh-CN"/>
        </w:rPr>
        <w:t xml:space="preserve"> </w:t>
      </w:r>
      <w:r>
        <w:rPr>
          <w:rFonts w:hint="eastAsia" w:hAnsi="Times New Roman"/>
          <w:color w:val="0000FF"/>
          <w:sz w:val="21"/>
          <w:szCs w:val="21"/>
          <w:highlight w:val="none"/>
          <w:u w:val="single"/>
          <w:lang w:val="en-US" w:eastAsia="zh-CN"/>
        </w:rPr>
        <w:t>/</w:t>
      </w:r>
      <w:r>
        <w:rPr>
          <w:rFonts w:hint="eastAsia" w:hAnsi="Times New Roman"/>
          <w:color w:val="auto"/>
          <w:sz w:val="21"/>
          <w:szCs w:val="21"/>
          <w:highlight w:val="none"/>
          <w:u w:val="single"/>
          <w:lang w:val="en-US" w:eastAsia="zh-CN"/>
        </w:rPr>
        <w:t xml:space="preserve"> </w:t>
      </w:r>
      <w:r>
        <w:rPr>
          <w:rFonts w:hint="eastAsia" w:cs="宋体"/>
          <w:color w:val="auto"/>
          <w:sz w:val="21"/>
          <w:szCs w:val="21"/>
          <w:highlight w:val="none"/>
        </w:rPr>
        <w:t>。</w:t>
      </w:r>
    </w:p>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10.7 暂估价</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暂估价分包工程、服务的明细详见附件10：《专业工程暂估价表》。</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10.7.1 依法必须招标的暂估价项目</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（1）对于依法必须招标的暂估价项目的确认和批准采取第</w:t>
      </w:r>
      <w:r>
        <w:rPr>
          <w:rFonts w:hint="eastAsia" w:cs="宋体"/>
          <w:color w:val="auto"/>
          <w:sz w:val="21"/>
          <w:szCs w:val="21"/>
          <w:highlight w:val="none"/>
          <w:u w:val="single"/>
        </w:rPr>
        <w:t xml:space="preserve">   2  </w:t>
      </w:r>
      <w:r>
        <w:rPr>
          <w:rFonts w:hint="eastAsia" w:cs="宋体"/>
          <w:color w:val="auto"/>
          <w:sz w:val="21"/>
          <w:szCs w:val="21"/>
          <w:highlight w:val="none"/>
        </w:rPr>
        <w:t>种方式确定。</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u w:val="single"/>
        </w:rPr>
        <w:t>（2）依法必须招标的暂估价项目，招标采购前应审核控制价。承包人以暂估价项目的结算价为基数，计取 1.5%专业工程总承包服务费，不再另计其他费用。暂估价中含分包项目企业管理费、利润、总价措施项目费合计费率 6%,分包项目中若有工程设备的，工程设备不参与计取企业管理费、利润、总价措施项目费</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10.7.2 不属于依法必须招标的暂估价项目</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对于不属于依法必须招标的暂估价项目的确认和批准采取第</w:t>
      </w:r>
      <w:r>
        <w:rPr>
          <w:rFonts w:hint="eastAsia" w:cs="宋体"/>
          <w:color w:val="auto"/>
          <w:sz w:val="21"/>
          <w:szCs w:val="21"/>
          <w:highlight w:val="none"/>
          <w:u w:val="single"/>
        </w:rPr>
        <w:t xml:space="preserve"> </w:t>
      </w:r>
      <w:r>
        <w:rPr>
          <w:rFonts w:hint="eastAsia" w:cs="宋体"/>
          <w:color w:val="0000FF"/>
          <w:sz w:val="21"/>
          <w:szCs w:val="21"/>
          <w:highlight w:val="none"/>
          <w:u w:val="single"/>
          <w:lang w:val="en-US" w:eastAsia="zh-CN"/>
        </w:rPr>
        <w:t>1</w:t>
      </w:r>
      <w:r>
        <w:rPr>
          <w:rFonts w:hint="eastAsia" w:cs="宋体"/>
          <w:color w:val="auto"/>
          <w:sz w:val="21"/>
          <w:szCs w:val="21"/>
          <w:highlight w:val="none"/>
          <w:u w:val="single"/>
        </w:rPr>
        <w:t xml:space="preserve">  </w:t>
      </w:r>
      <w:r>
        <w:rPr>
          <w:rFonts w:hint="eastAsia" w:cs="宋体"/>
          <w:color w:val="auto"/>
          <w:sz w:val="21"/>
          <w:szCs w:val="21"/>
          <w:highlight w:val="none"/>
        </w:rPr>
        <w:t>种方式确定。</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第3种方式：承包人直接实施的暂估价项目</w:t>
      </w:r>
    </w:p>
    <w:p>
      <w:pPr>
        <w:adjustRightInd w:val="0"/>
        <w:spacing w:line="360" w:lineRule="auto"/>
        <w:jc w:val="left"/>
        <w:textAlignment w:val="baseline"/>
        <w:rPr>
          <w:rFonts w:cs="宋体"/>
          <w:color w:val="auto"/>
          <w:sz w:val="21"/>
          <w:szCs w:val="21"/>
          <w:highlight w:val="none"/>
        </w:rPr>
      </w:pPr>
      <w:r>
        <w:rPr>
          <w:rFonts w:hint="eastAsia" w:cs="宋体"/>
          <w:color w:val="auto"/>
          <w:sz w:val="21"/>
          <w:szCs w:val="21"/>
          <w:highlight w:val="none"/>
        </w:rPr>
        <w:t>承包人直接实施的暂估价项目的约定：</w:t>
      </w:r>
      <w:r>
        <w:rPr>
          <w:rFonts w:hint="eastAsia" w:cs="宋体"/>
          <w:color w:val="auto"/>
          <w:sz w:val="21"/>
          <w:szCs w:val="21"/>
          <w:highlight w:val="none"/>
          <w:u w:val="single"/>
        </w:rPr>
        <w:t xml:space="preserve"> </w:t>
      </w:r>
      <w:r>
        <w:rPr>
          <w:rFonts w:hint="eastAsia" w:cs="宋体"/>
          <w:color w:val="0000FF"/>
          <w:sz w:val="21"/>
          <w:szCs w:val="21"/>
          <w:highlight w:val="none"/>
          <w:u w:val="single"/>
          <w:lang w:val="en-US" w:eastAsia="zh-CN"/>
        </w:rPr>
        <w:t>/</w:t>
      </w:r>
      <w:r>
        <w:rPr>
          <w:rFonts w:hint="eastAsia" w:cs="宋体"/>
          <w:color w:val="auto"/>
          <w:sz w:val="21"/>
          <w:szCs w:val="21"/>
          <w:highlight w:val="none"/>
          <w:u w:val="single"/>
        </w:rPr>
        <w:t xml:space="preserve"> </w:t>
      </w:r>
      <w:r>
        <w:rPr>
          <w:rFonts w:hint="eastAsia" w:cs="宋体"/>
          <w:color w:val="auto"/>
          <w:sz w:val="21"/>
          <w:szCs w:val="21"/>
          <w:highlight w:val="none"/>
        </w:rPr>
        <w:t>。</w:t>
      </w:r>
    </w:p>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10.8 暂列金额</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合同当事人关于暂列金额使用的约定：</w:t>
      </w:r>
      <w:r>
        <w:rPr>
          <w:rFonts w:hint="eastAsia" w:cs="宋体"/>
          <w:color w:val="auto"/>
          <w:sz w:val="21"/>
          <w:szCs w:val="21"/>
          <w:highlight w:val="none"/>
          <w:u w:val="single"/>
        </w:rPr>
        <w:t>执行通用合同条款，暂列金额必须以暂列事项有实际发生为准，未发生的不得计入工程结算价款</w:t>
      </w:r>
      <w:r>
        <w:rPr>
          <w:rFonts w:hint="eastAsia" w:cs="宋体"/>
          <w:color w:val="auto"/>
          <w:sz w:val="21"/>
          <w:szCs w:val="21"/>
          <w:highlight w:val="none"/>
        </w:rPr>
        <w:t>。</w:t>
      </w:r>
    </w:p>
    <w:p>
      <w:pPr>
        <w:keepNext/>
        <w:keepLines/>
        <w:adjustRightInd w:val="0"/>
        <w:spacing w:beforeLines="50" w:line="360" w:lineRule="auto"/>
        <w:textAlignment w:val="baseline"/>
        <w:outlineLvl w:val="4"/>
        <w:rPr>
          <w:rFonts w:cs="宋体"/>
          <w:b/>
          <w:bCs/>
          <w:color w:val="auto"/>
          <w:sz w:val="21"/>
          <w:szCs w:val="21"/>
          <w:highlight w:val="none"/>
        </w:rPr>
      </w:pPr>
      <w:r>
        <w:rPr>
          <w:rFonts w:hint="eastAsia" w:cs="宋体"/>
          <w:b/>
          <w:bCs/>
          <w:color w:val="auto"/>
          <w:sz w:val="21"/>
          <w:szCs w:val="21"/>
          <w:highlight w:val="none"/>
        </w:rPr>
        <w:t>1</w:t>
      </w:r>
      <w:bookmarkStart w:id="1368" w:name="_Toc63471477"/>
      <w:bookmarkStart w:id="1369" w:name="_Toc13309395"/>
      <w:r>
        <w:rPr>
          <w:rFonts w:hint="eastAsia" w:cs="宋体"/>
          <w:b/>
          <w:bCs/>
          <w:color w:val="auto"/>
          <w:sz w:val="21"/>
          <w:szCs w:val="21"/>
          <w:highlight w:val="none"/>
        </w:rPr>
        <w:t>1. 价格调整</w:t>
      </w:r>
    </w:p>
    <w:bookmarkEnd w:id="1368"/>
    <w:bookmarkEnd w:id="1369"/>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11.1 市场价格波动引起的调整</w:t>
      </w:r>
    </w:p>
    <w:p>
      <w:pPr>
        <w:autoSpaceDE w:val="0"/>
        <w:autoSpaceDN w:val="0"/>
        <w:adjustRightInd w:val="0"/>
        <w:spacing w:line="360" w:lineRule="auto"/>
        <w:ind w:firstLine="400"/>
        <w:jc w:val="left"/>
        <w:textAlignment w:val="baseline"/>
        <w:rPr>
          <w:rFonts w:cs="宋体"/>
          <w:color w:val="auto"/>
          <w:sz w:val="21"/>
          <w:szCs w:val="21"/>
          <w:highlight w:val="none"/>
          <w:u w:val="single"/>
        </w:rPr>
      </w:pPr>
      <w:r>
        <w:rPr>
          <w:rFonts w:hint="eastAsia" w:cs="宋体"/>
          <w:color w:val="auto"/>
          <w:sz w:val="21"/>
          <w:szCs w:val="21"/>
          <w:highlight w:val="none"/>
          <w:u w:val="single"/>
        </w:rPr>
        <w:t>11.1.1人工费价差调整</w:t>
      </w:r>
    </w:p>
    <w:p>
      <w:pPr>
        <w:autoSpaceDE w:val="0"/>
        <w:autoSpaceDN w:val="0"/>
        <w:adjustRightInd w:val="0"/>
        <w:spacing w:line="360" w:lineRule="auto"/>
        <w:ind w:firstLine="400"/>
        <w:jc w:val="left"/>
        <w:textAlignment w:val="baseline"/>
        <w:rPr>
          <w:rFonts w:cs="宋体"/>
          <w:color w:val="auto"/>
          <w:sz w:val="21"/>
          <w:szCs w:val="21"/>
          <w:highlight w:val="none"/>
          <w:u w:val="single"/>
        </w:rPr>
      </w:pPr>
      <w:r>
        <w:rPr>
          <w:rFonts w:hint="eastAsia" w:cs="宋体"/>
          <w:color w:val="auto"/>
          <w:sz w:val="21"/>
          <w:szCs w:val="21"/>
          <w:highlight w:val="none"/>
          <w:u w:val="single"/>
        </w:rPr>
        <w:t>（</w:t>
      </w:r>
      <w:r>
        <w:rPr>
          <w:rFonts w:hint="eastAsia" w:cs="宋体"/>
          <w:color w:val="auto"/>
          <w:sz w:val="21"/>
          <w:szCs w:val="21"/>
          <w:highlight w:val="none"/>
          <w:u w:val="single"/>
          <w:lang w:val="en-US" w:eastAsia="zh-CN"/>
        </w:rPr>
        <w:t>1</w:t>
      </w:r>
      <w:r>
        <w:rPr>
          <w:rFonts w:hint="eastAsia" w:cs="宋体"/>
          <w:color w:val="auto"/>
          <w:sz w:val="21"/>
          <w:szCs w:val="21"/>
          <w:highlight w:val="none"/>
          <w:u w:val="single"/>
        </w:rPr>
        <w:t>）人工费调整方式：</w:t>
      </w:r>
    </w:p>
    <w:p>
      <w:pPr>
        <w:autoSpaceDE w:val="0"/>
        <w:autoSpaceDN w:val="0"/>
        <w:adjustRightInd w:val="0"/>
        <w:spacing w:line="360" w:lineRule="auto"/>
        <w:ind w:firstLine="400"/>
        <w:jc w:val="left"/>
        <w:textAlignment w:val="baseline"/>
        <w:rPr>
          <w:rFonts w:cs="宋体"/>
          <w:color w:val="auto"/>
          <w:sz w:val="21"/>
          <w:szCs w:val="21"/>
          <w:highlight w:val="none"/>
          <w:u w:val="single"/>
        </w:rPr>
      </w:pPr>
      <w:r>
        <w:rPr>
          <w:rFonts w:hint="eastAsia" w:cs="宋体"/>
          <w:color w:val="auto"/>
          <w:sz w:val="21"/>
          <w:szCs w:val="21"/>
          <w:highlight w:val="none"/>
          <w:u w:val="single"/>
        </w:rPr>
        <w:t>①已标价工程量清单中的人工费总额低于招标控制价中的人工费总额的1.05倍（含）的，按已标价工程量清单中的人工费为基数，按照福建省住房和城乡建设厅、厦门市建设局施工期间发布的人工费调整指数及调整原则进行调整。</w:t>
      </w:r>
    </w:p>
    <w:p>
      <w:pPr>
        <w:autoSpaceDE w:val="0"/>
        <w:autoSpaceDN w:val="0"/>
        <w:adjustRightInd w:val="0"/>
        <w:spacing w:line="360" w:lineRule="auto"/>
        <w:ind w:firstLine="400"/>
        <w:jc w:val="left"/>
        <w:textAlignment w:val="baseline"/>
        <w:rPr>
          <w:rFonts w:cs="宋体"/>
          <w:color w:val="auto"/>
          <w:sz w:val="21"/>
          <w:szCs w:val="21"/>
          <w:highlight w:val="none"/>
          <w:u w:val="single"/>
        </w:rPr>
      </w:pPr>
      <w:r>
        <w:rPr>
          <w:rFonts w:hint="eastAsia" w:cs="宋体"/>
          <w:color w:val="auto"/>
          <w:sz w:val="21"/>
          <w:szCs w:val="21"/>
          <w:highlight w:val="none"/>
          <w:u w:val="single"/>
        </w:rPr>
        <w:t>②已标价工程量清单中的人工费总额高于招标控制价中的人工费总额的1.05倍的（不含）的，招标控制价人工费总额的1.05倍以内的部分，按上述①原则调整；超出招标控制价人工费总额的1.05倍的部分，不作调整。</w:t>
      </w:r>
    </w:p>
    <w:p>
      <w:pPr>
        <w:autoSpaceDE w:val="0"/>
        <w:autoSpaceDN w:val="0"/>
        <w:adjustRightInd w:val="0"/>
        <w:spacing w:line="360" w:lineRule="auto"/>
        <w:ind w:firstLine="400"/>
        <w:jc w:val="left"/>
        <w:textAlignment w:val="baseline"/>
        <w:rPr>
          <w:rFonts w:cs="宋体"/>
          <w:color w:val="auto"/>
          <w:sz w:val="21"/>
          <w:szCs w:val="21"/>
          <w:highlight w:val="none"/>
          <w:u w:val="single"/>
        </w:rPr>
      </w:pPr>
      <w:r>
        <w:rPr>
          <w:rFonts w:hint="eastAsia" w:cs="宋体"/>
          <w:color w:val="auto"/>
          <w:sz w:val="21"/>
          <w:szCs w:val="21"/>
          <w:highlight w:val="none"/>
          <w:u w:val="single"/>
        </w:rPr>
        <w:t>③合同履行期间，出现多个人工费指数时，按照人工费指数对应的已完工程量分别调整人工费价差。</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u w:val="single"/>
        </w:rPr>
        <w:t>④承包人按实际发生月份每月统计人工费，经监理、发包人确认后，作为人工费调差依据。当累计调差人工费高于可调人工费总量后，后续人工费不作调整。</w:t>
      </w:r>
    </w:p>
    <w:p>
      <w:pPr>
        <w:adjustRightInd w:val="0"/>
        <w:spacing w:line="360" w:lineRule="auto"/>
        <w:ind w:firstLine="420" w:firstLineChars="200"/>
        <w:jc w:val="left"/>
        <w:textAlignment w:val="baseline"/>
        <w:rPr>
          <w:rFonts w:cs="宋体"/>
          <w:bCs/>
          <w:color w:val="auto"/>
          <w:sz w:val="21"/>
          <w:szCs w:val="21"/>
          <w:highlight w:val="none"/>
        </w:rPr>
      </w:pPr>
      <w:r>
        <w:rPr>
          <w:rFonts w:hint="eastAsia" w:cs="宋体"/>
          <w:bCs/>
          <w:color w:val="auto"/>
          <w:sz w:val="21"/>
          <w:szCs w:val="21"/>
          <w:highlight w:val="none"/>
        </w:rPr>
        <w:t>11.1.2主要材料和设备价差调整</w:t>
      </w:r>
    </w:p>
    <w:p>
      <w:pPr>
        <w:adjustRightInd w:val="0"/>
        <w:spacing w:line="360" w:lineRule="auto"/>
        <w:ind w:firstLine="420" w:firstLineChars="200"/>
        <w:jc w:val="left"/>
        <w:textAlignment w:val="baseline"/>
        <w:rPr>
          <w:rFonts w:hint="eastAsia" w:cs="宋体"/>
          <w:bCs/>
          <w:color w:val="auto"/>
          <w:sz w:val="21"/>
          <w:szCs w:val="21"/>
          <w:highlight w:val="none"/>
        </w:rPr>
      </w:pPr>
      <w:r>
        <w:rPr>
          <w:rFonts w:hint="eastAsia" w:cs="宋体"/>
          <w:bCs/>
          <w:color w:val="auto"/>
          <w:sz w:val="21"/>
          <w:szCs w:val="21"/>
          <w:highlight w:val="none"/>
        </w:rPr>
        <w:t>主要材料的风险承包幅度为：</w:t>
      </w:r>
      <w:r>
        <w:rPr>
          <w:rFonts w:hint="eastAsia" w:cs="宋体"/>
          <w:bCs/>
          <w:color w:val="auto"/>
          <w:sz w:val="21"/>
          <w:szCs w:val="21"/>
          <w:highlight w:val="none"/>
          <w:u w:val="single"/>
        </w:rPr>
        <w:t xml:space="preserve">±5% </w:t>
      </w:r>
      <w:r>
        <w:rPr>
          <w:rFonts w:hint="eastAsia" w:cs="宋体"/>
          <w:bCs/>
          <w:color w:val="auto"/>
          <w:sz w:val="21"/>
          <w:szCs w:val="21"/>
          <w:highlight w:val="none"/>
        </w:rPr>
        <w:t>。</w:t>
      </w:r>
    </w:p>
    <w:p>
      <w:pPr>
        <w:adjustRightInd w:val="0"/>
        <w:spacing w:line="360" w:lineRule="auto"/>
        <w:ind w:firstLine="420" w:firstLineChars="200"/>
        <w:jc w:val="left"/>
        <w:textAlignment w:val="baseline"/>
        <w:rPr>
          <w:rFonts w:hint="eastAsia" w:cs="宋体"/>
          <w:bCs/>
          <w:color w:val="auto"/>
          <w:sz w:val="21"/>
          <w:szCs w:val="21"/>
          <w:highlight w:val="none"/>
          <w:u w:val="single"/>
        </w:rPr>
      </w:pPr>
      <w:r>
        <w:rPr>
          <w:rFonts w:hint="eastAsia" w:cs="宋体"/>
          <w:bCs/>
          <w:color w:val="auto"/>
          <w:sz w:val="21"/>
          <w:szCs w:val="21"/>
          <w:highlight w:val="none"/>
        </w:rPr>
        <w:t>（1）</w:t>
      </w:r>
      <w:r>
        <w:rPr>
          <w:rFonts w:hint="eastAsia" w:cs="宋体"/>
          <w:bCs/>
          <w:color w:val="auto"/>
          <w:sz w:val="21"/>
          <w:szCs w:val="21"/>
          <w:highlight w:val="none"/>
          <w:u w:val="single"/>
        </w:rPr>
        <w:t>材料价格调整按《厦门市建设局 关于加强厦门市建设工程主要材料和设备价格风险管控的通知》（厦建筑[2021]64 号）执行，具体方式如下：</w:t>
      </w:r>
    </w:p>
    <w:p>
      <w:pPr>
        <w:adjustRightInd w:val="0"/>
        <w:spacing w:line="360" w:lineRule="auto"/>
        <w:ind w:firstLine="420" w:firstLineChars="200"/>
        <w:jc w:val="left"/>
        <w:textAlignment w:val="baseline"/>
        <w:rPr>
          <w:rFonts w:hint="eastAsia" w:cs="宋体"/>
          <w:bCs/>
          <w:color w:val="auto"/>
          <w:sz w:val="21"/>
          <w:szCs w:val="21"/>
          <w:highlight w:val="none"/>
          <w:u w:val="single"/>
        </w:rPr>
      </w:pPr>
      <w:r>
        <w:rPr>
          <w:rFonts w:hint="eastAsia" w:cs="宋体"/>
          <w:bCs/>
          <w:color w:val="auto"/>
          <w:sz w:val="21"/>
          <w:szCs w:val="21"/>
          <w:highlight w:val="none"/>
          <w:u w:val="single"/>
        </w:rPr>
        <w:t>①价格波动风险分担：可调材料价格在施工期间上涨或下跌幅度在 5%以内（含）的，材料价差由承包人承担或收益，超过 5%的部分由发包人承担或收益。</w:t>
      </w:r>
    </w:p>
    <w:p>
      <w:pPr>
        <w:adjustRightInd w:val="0"/>
        <w:spacing w:line="360" w:lineRule="auto"/>
        <w:ind w:firstLine="420" w:firstLineChars="200"/>
        <w:jc w:val="left"/>
        <w:textAlignment w:val="baseline"/>
        <w:rPr>
          <w:rFonts w:hint="eastAsia" w:cs="宋体"/>
          <w:bCs/>
          <w:color w:val="auto"/>
          <w:sz w:val="21"/>
          <w:szCs w:val="21"/>
          <w:highlight w:val="none"/>
          <w:u w:val="single"/>
        </w:rPr>
      </w:pPr>
      <w:r>
        <w:rPr>
          <w:rFonts w:hint="eastAsia" w:cs="宋体"/>
          <w:bCs/>
          <w:color w:val="auto"/>
          <w:sz w:val="21"/>
          <w:szCs w:val="21"/>
          <w:highlight w:val="none"/>
          <w:u w:val="single"/>
        </w:rPr>
        <w:t>②可调差的材料类别包括：钢（管）材（钢筋、钢板、型钢、钢管含镀锌钢管、焊接钢管、无缝钢管等）、铝合金型材、铝单板、水泥及商品混凝土、沥青及沥青混凝土、砂石、玻璃、电线电缆、铜管、铸铁管等，以及单项材料或设备占总造价 1%（含）以上的材料价格变化，且变化超过材料基期价的±5%的部分。</w:t>
      </w:r>
    </w:p>
    <w:p>
      <w:pPr>
        <w:adjustRightInd w:val="0"/>
        <w:spacing w:line="360" w:lineRule="auto"/>
        <w:ind w:firstLine="420" w:firstLineChars="200"/>
        <w:jc w:val="left"/>
        <w:textAlignment w:val="baseline"/>
        <w:rPr>
          <w:rFonts w:hint="eastAsia" w:cs="宋体"/>
          <w:bCs/>
          <w:color w:val="auto"/>
          <w:sz w:val="21"/>
          <w:szCs w:val="21"/>
          <w:highlight w:val="none"/>
          <w:u w:val="single"/>
        </w:rPr>
      </w:pPr>
      <w:r>
        <w:rPr>
          <w:rFonts w:hint="eastAsia" w:cs="宋体"/>
          <w:bCs/>
          <w:color w:val="auto"/>
          <w:sz w:val="21"/>
          <w:szCs w:val="21"/>
          <w:highlight w:val="none"/>
          <w:u w:val="single"/>
        </w:rPr>
        <w:t>③材料价格调整方式：</w:t>
      </w:r>
    </w:p>
    <w:p>
      <w:pPr>
        <w:adjustRightInd w:val="0"/>
        <w:spacing w:line="360" w:lineRule="auto"/>
        <w:ind w:firstLine="420" w:firstLineChars="200"/>
        <w:jc w:val="left"/>
        <w:textAlignment w:val="baseline"/>
        <w:rPr>
          <w:rFonts w:hint="eastAsia" w:cs="宋体"/>
          <w:bCs/>
          <w:color w:val="auto"/>
          <w:sz w:val="21"/>
          <w:szCs w:val="21"/>
          <w:highlight w:val="none"/>
          <w:u w:val="single"/>
        </w:rPr>
      </w:pPr>
      <w:r>
        <w:rPr>
          <w:rFonts w:hint="eastAsia" w:cs="宋体"/>
          <w:bCs/>
          <w:color w:val="auto"/>
          <w:sz w:val="21"/>
          <w:szCs w:val="21"/>
          <w:highlight w:val="none"/>
          <w:u w:val="single"/>
        </w:rPr>
        <w:t>关于基准价格的约定：报告期价</w:t>
      </w:r>
    </w:p>
    <w:p>
      <w:pPr>
        <w:adjustRightInd w:val="0"/>
        <w:spacing w:line="360" w:lineRule="auto"/>
        <w:ind w:firstLine="420" w:firstLineChars="200"/>
        <w:jc w:val="left"/>
        <w:textAlignment w:val="baseline"/>
        <w:rPr>
          <w:rFonts w:hint="eastAsia" w:cs="宋体"/>
          <w:bCs/>
          <w:color w:val="auto"/>
          <w:sz w:val="21"/>
          <w:szCs w:val="21"/>
          <w:highlight w:val="none"/>
          <w:u w:val="single"/>
        </w:rPr>
      </w:pPr>
      <w:r>
        <w:rPr>
          <w:rFonts w:hint="eastAsia" w:cs="宋体"/>
          <w:bCs/>
          <w:color w:val="auto"/>
          <w:sz w:val="21"/>
          <w:szCs w:val="21"/>
          <w:highlight w:val="none"/>
          <w:u w:val="single"/>
        </w:rPr>
        <w:t>合同履行期间，材料报告期价变化超过材料基期价的±5%的部分。该部分的材料价差调整和计取方法如下：</w:t>
      </w:r>
    </w:p>
    <w:p>
      <w:pPr>
        <w:adjustRightInd w:val="0"/>
        <w:spacing w:line="360" w:lineRule="auto"/>
        <w:ind w:firstLine="420" w:firstLineChars="200"/>
        <w:jc w:val="left"/>
        <w:textAlignment w:val="baseline"/>
        <w:rPr>
          <w:rFonts w:hint="eastAsia" w:cs="宋体"/>
          <w:bCs/>
          <w:color w:val="auto"/>
          <w:sz w:val="21"/>
          <w:szCs w:val="21"/>
          <w:highlight w:val="none"/>
          <w:u w:val="single"/>
        </w:rPr>
      </w:pPr>
      <w:r>
        <w:rPr>
          <w:rFonts w:hint="eastAsia" w:cs="宋体"/>
          <w:bCs/>
          <w:color w:val="auto"/>
          <w:sz w:val="21"/>
          <w:szCs w:val="21"/>
          <w:highlight w:val="none"/>
          <w:u w:val="single"/>
        </w:rPr>
        <w:t>1、当主要材料价格上涨幅度超过 5%时，可调价差的计算规则：价差调整费用=可调价差材料用量×[报告期价-基期价×(1-5%)]×(1+税率)。</w:t>
      </w:r>
    </w:p>
    <w:p>
      <w:pPr>
        <w:adjustRightInd w:val="0"/>
        <w:spacing w:line="360" w:lineRule="auto"/>
        <w:ind w:firstLine="420" w:firstLineChars="200"/>
        <w:jc w:val="left"/>
        <w:textAlignment w:val="baseline"/>
        <w:rPr>
          <w:rFonts w:hint="eastAsia" w:cs="宋体"/>
          <w:bCs/>
          <w:color w:val="auto"/>
          <w:sz w:val="21"/>
          <w:szCs w:val="21"/>
          <w:highlight w:val="none"/>
          <w:u w:val="single"/>
        </w:rPr>
      </w:pPr>
      <w:r>
        <w:rPr>
          <w:rFonts w:hint="eastAsia" w:cs="宋体"/>
          <w:bCs/>
          <w:color w:val="auto"/>
          <w:sz w:val="21"/>
          <w:szCs w:val="21"/>
          <w:highlight w:val="none"/>
          <w:u w:val="single"/>
        </w:rPr>
        <w:t>2、当主要材料价格下降幅度超过 5%时，可调价差的计算规则：价差调整费用=可调价差材料用量×[报告期价-基期价×(1-5%)]×(1+税率)。</w:t>
      </w:r>
    </w:p>
    <w:p>
      <w:pPr>
        <w:adjustRightInd w:val="0"/>
        <w:spacing w:line="360" w:lineRule="auto"/>
        <w:ind w:firstLine="420" w:firstLineChars="200"/>
        <w:jc w:val="left"/>
        <w:textAlignment w:val="baseline"/>
        <w:rPr>
          <w:rFonts w:hint="eastAsia" w:cs="宋体"/>
          <w:bCs/>
          <w:color w:val="auto"/>
          <w:sz w:val="21"/>
          <w:szCs w:val="21"/>
          <w:highlight w:val="none"/>
          <w:u w:val="single"/>
        </w:rPr>
      </w:pPr>
      <w:r>
        <w:rPr>
          <w:rFonts w:hint="eastAsia" w:cs="宋体"/>
          <w:bCs/>
          <w:color w:val="auto"/>
          <w:sz w:val="21"/>
          <w:szCs w:val="21"/>
          <w:highlight w:val="none"/>
          <w:u w:val="single"/>
        </w:rPr>
        <w:t>其中：“可调价差材料用量”为当月经核定实际完成工程量相应的用量；“报告期价”为施工当月厦门市建设工程造价站发布的材料市场信息综合价；“基期价”为招标控制价编制期对应的厦门市建设工程造价站发布的材料市场信息综合价。</w:t>
      </w:r>
    </w:p>
    <w:p>
      <w:pPr>
        <w:numPr>
          <w:ilvl w:val="0"/>
          <w:numId w:val="19"/>
        </w:numPr>
        <w:adjustRightInd w:val="0"/>
        <w:spacing w:line="360" w:lineRule="auto"/>
        <w:ind w:left="0" w:leftChars="0" w:firstLine="420" w:firstLineChars="200"/>
        <w:jc w:val="left"/>
        <w:textAlignment w:val="baseline"/>
        <w:rPr>
          <w:rFonts w:hint="eastAsia" w:cs="宋体"/>
          <w:bCs/>
          <w:color w:val="auto"/>
          <w:sz w:val="21"/>
          <w:szCs w:val="21"/>
          <w:highlight w:val="none"/>
          <w:u w:val="single"/>
        </w:rPr>
      </w:pPr>
      <w:r>
        <w:rPr>
          <w:rFonts w:hint="eastAsia" w:cs="宋体"/>
          <w:bCs/>
          <w:color w:val="auto"/>
          <w:sz w:val="21"/>
          <w:szCs w:val="21"/>
          <w:highlight w:val="none"/>
          <w:u w:val="single"/>
        </w:rPr>
        <w:t>承包人按材料实际使用月份逐月提出可调价差用量，经监理、发包人确认，作为材料调差的依据。当累计调差材料用量高于招标控制价中材料用量的 1.05 倍（不含 1.05），超出部分不做调整。</w:t>
      </w:r>
    </w:p>
    <w:p>
      <w:pPr>
        <w:pStyle w:val="59"/>
        <w:numPr>
          <w:ilvl w:val="0"/>
          <w:numId w:val="0"/>
        </w:numPr>
        <w:ind w:leftChars="200"/>
        <w:rPr>
          <w:rFonts w:hint="eastAsia"/>
          <w:highlight w:val="none"/>
        </w:rPr>
      </w:pPr>
      <w:r>
        <w:rPr>
          <w:rFonts w:hint="eastAsia"/>
          <w:highlight w:val="none"/>
        </w:rPr>
        <w:t>11.1.3 施工机械使用费价差调整</w:t>
      </w:r>
    </w:p>
    <w:p>
      <w:pPr>
        <w:pStyle w:val="59"/>
        <w:keepNext w:val="0"/>
        <w:keepLines w:val="0"/>
        <w:pageBreakBefore w:val="0"/>
        <w:widowControl w:val="0"/>
        <w:numPr>
          <w:ilvl w:val="0"/>
          <w:numId w:val="0"/>
        </w:numPr>
        <w:kinsoku/>
        <w:wordWrap/>
        <w:overflowPunct/>
        <w:topLinePunct w:val="0"/>
        <w:autoSpaceDE/>
        <w:autoSpaceDN/>
        <w:bidi w:val="0"/>
        <w:adjustRightInd/>
        <w:snapToGrid/>
        <w:ind w:leftChars="0" w:firstLine="420" w:firstLineChars="200"/>
        <w:textAlignment w:val="auto"/>
        <w:rPr>
          <w:rFonts w:hint="eastAsia"/>
          <w:highlight w:val="none"/>
        </w:rPr>
      </w:pPr>
      <w:r>
        <w:rPr>
          <w:rFonts w:hint="eastAsia"/>
          <w:highlight w:val="none"/>
        </w:rPr>
        <w:t>（2）施工机械台班单价的风险承包幅度为</w:t>
      </w:r>
      <w:r>
        <w:rPr>
          <w:rFonts w:hint="eastAsia"/>
          <w:highlight w:val="none"/>
          <w:u w:val="single"/>
        </w:rPr>
        <w:t>施工机械台班价格变化不予调整（不含人工费、燃料动力材料价格变动在本合同约定幅度以外的）</w:t>
      </w:r>
      <w:r>
        <w:rPr>
          <w:rFonts w:hint="eastAsia"/>
          <w:highlight w:val="none"/>
        </w:rPr>
        <w:t>。</w:t>
      </w:r>
    </w:p>
    <w:p>
      <w:pPr>
        <w:keepNext/>
        <w:keepLines/>
        <w:adjustRightInd w:val="0"/>
        <w:spacing w:beforeLines="50" w:line="360" w:lineRule="auto"/>
        <w:textAlignment w:val="baseline"/>
        <w:outlineLvl w:val="4"/>
        <w:rPr>
          <w:rFonts w:cs="宋体"/>
          <w:b/>
          <w:bCs/>
          <w:color w:val="auto"/>
          <w:sz w:val="21"/>
          <w:szCs w:val="21"/>
          <w:highlight w:val="none"/>
        </w:rPr>
      </w:pPr>
      <w:r>
        <w:rPr>
          <w:rFonts w:hint="eastAsia" w:cs="宋体"/>
          <w:b/>
          <w:bCs/>
          <w:color w:val="auto"/>
          <w:sz w:val="21"/>
          <w:szCs w:val="21"/>
          <w:highlight w:val="none"/>
        </w:rPr>
        <w:t>1</w:t>
      </w:r>
      <w:bookmarkStart w:id="1370" w:name="_Toc63471478"/>
      <w:bookmarkStart w:id="1371" w:name="_Toc13309396"/>
      <w:r>
        <w:rPr>
          <w:rFonts w:hint="eastAsia" w:cs="宋体"/>
          <w:b/>
          <w:bCs/>
          <w:color w:val="auto"/>
          <w:sz w:val="21"/>
          <w:szCs w:val="21"/>
          <w:highlight w:val="none"/>
        </w:rPr>
        <w:t>2. 合同价格、计量与支付</w:t>
      </w:r>
    </w:p>
    <w:bookmarkEnd w:id="1370"/>
    <w:bookmarkEnd w:id="1371"/>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12.1 合同价格形式</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12.1.1单价合同。</w:t>
      </w:r>
    </w:p>
    <w:p>
      <w:pPr>
        <w:adjustRightInd w:val="0"/>
        <w:spacing w:line="360" w:lineRule="auto"/>
        <w:jc w:val="left"/>
        <w:textAlignment w:val="baseline"/>
        <w:rPr>
          <w:rFonts w:cs="宋体"/>
          <w:color w:val="auto"/>
          <w:sz w:val="21"/>
          <w:szCs w:val="21"/>
          <w:highlight w:val="none"/>
        </w:rPr>
      </w:pPr>
      <w:r>
        <w:rPr>
          <w:rFonts w:hint="eastAsia" w:cs="宋体"/>
          <w:color w:val="auto"/>
          <w:sz w:val="21"/>
          <w:szCs w:val="21"/>
          <w:highlight w:val="none"/>
        </w:rPr>
        <w:t>综合单价其它风险内容：</w:t>
      </w:r>
      <w:r>
        <w:rPr>
          <w:rFonts w:hint="eastAsia" w:cs="宋体"/>
          <w:color w:val="auto"/>
          <w:sz w:val="21"/>
          <w:szCs w:val="21"/>
          <w:highlight w:val="none"/>
          <w:u w:val="single"/>
        </w:rPr>
        <w:t xml:space="preserve"> </w:t>
      </w:r>
      <w:r>
        <w:rPr>
          <w:rFonts w:hint="eastAsia" w:cs="宋体"/>
          <w:color w:val="0000FF"/>
          <w:sz w:val="21"/>
          <w:szCs w:val="21"/>
          <w:highlight w:val="none"/>
          <w:u w:val="single"/>
          <w:lang w:val="en-US" w:eastAsia="zh-CN"/>
        </w:rPr>
        <w:t>/</w:t>
      </w:r>
      <w:r>
        <w:rPr>
          <w:rFonts w:hint="eastAsia" w:cs="宋体"/>
          <w:color w:val="auto"/>
          <w:sz w:val="21"/>
          <w:szCs w:val="21"/>
          <w:highlight w:val="none"/>
          <w:u w:val="single"/>
        </w:rPr>
        <w:t xml:space="preserve"> </w:t>
      </w:r>
      <w:r>
        <w:rPr>
          <w:rFonts w:hint="eastAsia" w:cs="宋体"/>
          <w:color w:val="auto"/>
          <w:sz w:val="21"/>
          <w:szCs w:val="21"/>
          <w:highlight w:val="none"/>
        </w:rPr>
        <w:t>。</w:t>
      </w:r>
    </w:p>
    <w:p>
      <w:pPr>
        <w:adjustRightInd w:val="0"/>
        <w:spacing w:line="360" w:lineRule="auto"/>
        <w:jc w:val="left"/>
        <w:textAlignment w:val="baseline"/>
        <w:rPr>
          <w:rFonts w:cs="宋体"/>
          <w:color w:val="auto"/>
          <w:sz w:val="21"/>
          <w:szCs w:val="21"/>
          <w:highlight w:val="none"/>
        </w:rPr>
      </w:pPr>
      <w:r>
        <w:rPr>
          <w:rFonts w:hint="eastAsia" w:cs="宋体"/>
          <w:color w:val="auto"/>
          <w:sz w:val="21"/>
          <w:szCs w:val="21"/>
          <w:highlight w:val="none"/>
        </w:rPr>
        <w:t>超过风险范围以外的调整方式：</w:t>
      </w:r>
      <w:r>
        <w:rPr>
          <w:rFonts w:hint="eastAsia" w:cs="宋体"/>
          <w:color w:val="auto"/>
          <w:sz w:val="21"/>
          <w:szCs w:val="21"/>
          <w:highlight w:val="none"/>
          <w:u w:val="single"/>
        </w:rPr>
        <w:t xml:space="preserve"> </w:t>
      </w:r>
      <w:r>
        <w:rPr>
          <w:rFonts w:hint="eastAsia" w:cs="宋体"/>
          <w:color w:val="0000FF"/>
          <w:sz w:val="21"/>
          <w:szCs w:val="21"/>
          <w:highlight w:val="none"/>
          <w:u w:val="single"/>
          <w:lang w:val="en-US" w:eastAsia="zh-CN"/>
        </w:rPr>
        <w:t>/</w:t>
      </w:r>
      <w:r>
        <w:rPr>
          <w:rFonts w:hint="eastAsia" w:cs="宋体"/>
          <w:color w:val="auto"/>
          <w:sz w:val="21"/>
          <w:szCs w:val="21"/>
          <w:highlight w:val="none"/>
          <w:u w:val="single"/>
        </w:rPr>
        <w:t xml:space="preserve"> </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12.1.2总价合同。</w:t>
      </w:r>
    </w:p>
    <w:p>
      <w:pPr>
        <w:autoSpaceDE w:val="0"/>
        <w:autoSpaceDN w:val="0"/>
        <w:adjustRightInd w:val="0"/>
        <w:spacing w:line="360" w:lineRule="auto"/>
        <w:ind w:firstLine="400"/>
        <w:jc w:val="left"/>
        <w:textAlignment w:val="baseline"/>
        <w:rPr>
          <w:rFonts w:cs="宋体"/>
          <w:color w:val="auto"/>
          <w:sz w:val="21"/>
          <w:szCs w:val="21"/>
          <w:highlight w:val="none"/>
          <w:u w:val="single"/>
        </w:rPr>
      </w:pPr>
      <w:r>
        <w:rPr>
          <w:rFonts w:hint="eastAsia" w:cs="宋体"/>
          <w:color w:val="auto"/>
          <w:sz w:val="21"/>
          <w:szCs w:val="21"/>
          <w:highlight w:val="none"/>
          <w:u w:val="single"/>
        </w:rPr>
        <w:t>（1）总价包含的风险范围：</w:t>
      </w:r>
    </w:p>
    <w:p>
      <w:pPr>
        <w:adjustRightInd w:val="0"/>
        <w:spacing w:line="360" w:lineRule="auto"/>
        <w:ind w:firstLine="420" w:firstLineChars="200"/>
        <w:jc w:val="left"/>
        <w:textAlignment w:val="baseline"/>
        <w:rPr>
          <w:rFonts w:hint="eastAsia" w:cs="宋体"/>
          <w:color w:val="auto"/>
          <w:sz w:val="21"/>
          <w:szCs w:val="21"/>
          <w:highlight w:val="none"/>
          <w:u w:val="single"/>
        </w:rPr>
      </w:pPr>
      <w:r>
        <w:rPr>
          <w:rFonts w:hint="eastAsia" w:cs="宋体"/>
          <w:color w:val="auto"/>
          <w:sz w:val="21"/>
          <w:szCs w:val="21"/>
          <w:highlight w:val="none"/>
          <w:u w:val="single"/>
        </w:rPr>
        <w:t>①因工程量清单有错、漏影响工程造价在±3%（含±3%）以内的；</w:t>
      </w:r>
    </w:p>
    <w:p>
      <w:pPr>
        <w:adjustRightInd w:val="0"/>
        <w:spacing w:line="360" w:lineRule="auto"/>
        <w:ind w:firstLine="420" w:firstLineChars="200"/>
        <w:jc w:val="left"/>
        <w:textAlignment w:val="baseline"/>
        <w:rPr>
          <w:rFonts w:hint="eastAsia" w:cs="宋体"/>
          <w:color w:val="auto"/>
          <w:sz w:val="21"/>
          <w:szCs w:val="21"/>
          <w:highlight w:val="none"/>
          <w:u w:val="single"/>
        </w:rPr>
      </w:pPr>
      <w:r>
        <w:rPr>
          <w:rFonts w:hint="eastAsia" w:cs="宋体"/>
          <w:color w:val="auto"/>
          <w:sz w:val="21"/>
          <w:szCs w:val="21"/>
          <w:highlight w:val="none"/>
          <w:u w:val="single"/>
        </w:rPr>
        <w:t>②因市场变化、政策性调整导致施工机械台班价格变化（不含人费、燃料动力材料价格变化在本合同约定幅度以内的）；</w:t>
      </w:r>
    </w:p>
    <w:p>
      <w:pPr>
        <w:adjustRightInd w:val="0"/>
        <w:spacing w:line="360" w:lineRule="auto"/>
        <w:ind w:firstLine="420" w:firstLineChars="200"/>
        <w:jc w:val="left"/>
        <w:textAlignment w:val="baseline"/>
        <w:rPr>
          <w:rFonts w:hint="eastAsia" w:cs="宋体"/>
          <w:color w:val="auto"/>
          <w:sz w:val="21"/>
          <w:szCs w:val="21"/>
          <w:highlight w:val="none"/>
          <w:u w:val="single"/>
        </w:rPr>
      </w:pPr>
      <w:r>
        <w:rPr>
          <w:rFonts w:hint="eastAsia" w:cs="宋体"/>
          <w:color w:val="auto"/>
          <w:sz w:val="21"/>
          <w:szCs w:val="21"/>
          <w:highlight w:val="none"/>
          <w:u w:val="single"/>
        </w:rPr>
        <w:t>③因天气、地形、地质等自然条件的变化，采取的临时措施。</w:t>
      </w:r>
    </w:p>
    <w:p>
      <w:pPr>
        <w:adjustRightInd w:val="0"/>
        <w:spacing w:line="360" w:lineRule="auto"/>
        <w:ind w:firstLine="420" w:firstLineChars="200"/>
        <w:jc w:val="left"/>
        <w:textAlignment w:val="baseline"/>
        <w:rPr>
          <w:rFonts w:hint="eastAsia" w:cs="宋体"/>
          <w:color w:val="auto"/>
          <w:sz w:val="21"/>
          <w:szCs w:val="21"/>
          <w:highlight w:val="none"/>
          <w:u w:val="single"/>
        </w:rPr>
      </w:pPr>
      <w:r>
        <w:rPr>
          <w:rFonts w:hint="eastAsia" w:cs="宋体"/>
          <w:color w:val="auto"/>
          <w:sz w:val="21"/>
          <w:szCs w:val="21"/>
          <w:highlight w:val="none"/>
          <w:u w:val="single"/>
        </w:rPr>
        <w:t xml:space="preserve">（2）风险费用的计算方法：综合上述风险因素并根据工程大小、技术复杂程度、施工难易程度、施工自然条件，发包人按规定已考虑 </w:t>
      </w:r>
      <w:r>
        <w:rPr>
          <w:rFonts w:hint="eastAsia" w:cs="宋体"/>
          <w:color w:val="auto"/>
          <w:sz w:val="21"/>
          <w:szCs w:val="21"/>
          <w:highlight w:val="none"/>
          <w:u w:val="single"/>
          <w:lang w:val="en-US" w:eastAsia="zh-CN"/>
        </w:rPr>
        <w:t>1.5</w:t>
      </w:r>
      <w:r>
        <w:rPr>
          <w:rFonts w:hint="eastAsia" w:cs="宋体"/>
          <w:color w:val="auto"/>
          <w:sz w:val="21"/>
          <w:szCs w:val="21"/>
          <w:highlight w:val="none"/>
          <w:u w:val="single"/>
        </w:rPr>
        <w:t>%的风险包干系数计入在工程招标控制价中。承包人在投标报价时已考虑了上述风险因素并计取了风险包干费用。在风险范围内的工程造价包干，施工过程和竣工结算时将不再调整。</w:t>
      </w:r>
    </w:p>
    <w:p>
      <w:pPr>
        <w:adjustRightInd w:val="0"/>
        <w:spacing w:line="360" w:lineRule="auto"/>
        <w:ind w:firstLine="420" w:firstLineChars="200"/>
        <w:jc w:val="left"/>
        <w:textAlignment w:val="baseline"/>
        <w:rPr>
          <w:rFonts w:hint="eastAsia" w:cs="宋体"/>
          <w:color w:val="auto"/>
          <w:sz w:val="21"/>
          <w:szCs w:val="21"/>
          <w:highlight w:val="none"/>
          <w:u w:val="single"/>
        </w:rPr>
      </w:pPr>
      <w:r>
        <w:rPr>
          <w:rFonts w:hint="eastAsia" w:cs="宋体"/>
          <w:color w:val="auto"/>
          <w:sz w:val="21"/>
          <w:szCs w:val="21"/>
          <w:highlight w:val="none"/>
          <w:u w:val="single"/>
        </w:rPr>
        <w:t>（3）采用固定总价合同，出现以下几种情况合同价款可进行调整；</w:t>
      </w:r>
    </w:p>
    <w:p>
      <w:pPr>
        <w:adjustRightInd w:val="0"/>
        <w:spacing w:line="360" w:lineRule="auto"/>
        <w:ind w:firstLine="420" w:firstLineChars="200"/>
        <w:jc w:val="left"/>
        <w:textAlignment w:val="baseline"/>
        <w:rPr>
          <w:rFonts w:hint="eastAsia" w:cs="宋体"/>
          <w:color w:val="auto"/>
          <w:sz w:val="21"/>
          <w:szCs w:val="21"/>
          <w:highlight w:val="none"/>
          <w:u w:val="single"/>
        </w:rPr>
      </w:pPr>
      <w:r>
        <w:rPr>
          <w:rFonts w:hint="eastAsia" w:cs="宋体"/>
          <w:color w:val="auto"/>
          <w:sz w:val="21"/>
          <w:szCs w:val="21"/>
          <w:highlight w:val="none"/>
          <w:u w:val="single"/>
        </w:rPr>
        <w:t>①非承包人原因造成的变更，且变更程序符合相关规定的项目；</w:t>
      </w:r>
    </w:p>
    <w:p>
      <w:pPr>
        <w:adjustRightInd w:val="0"/>
        <w:spacing w:line="360" w:lineRule="auto"/>
        <w:ind w:firstLine="420" w:firstLineChars="200"/>
        <w:jc w:val="left"/>
        <w:textAlignment w:val="baseline"/>
        <w:rPr>
          <w:rFonts w:hint="eastAsia" w:cs="宋体"/>
          <w:color w:val="auto"/>
          <w:sz w:val="21"/>
          <w:szCs w:val="21"/>
          <w:highlight w:val="none"/>
          <w:u w:val="single"/>
        </w:rPr>
      </w:pPr>
      <w:r>
        <w:rPr>
          <w:rFonts w:hint="eastAsia" w:cs="宋体"/>
          <w:color w:val="auto"/>
          <w:sz w:val="21"/>
          <w:szCs w:val="21"/>
          <w:highlight w:val="none"/>
          <w:u w:val="single"/>
        </w:rPr>
        <w:t>②发包人提供的地质勘察结果与实际不符，导致基础工程发生变更的；</w:t>
      </w:r>
    </w:p>
    <w:p>
      <w:pPr>
        <w:adjustRightInd w:val="0"/>
        <w:spacing w:line="360" w:lineRule="auto"/>
        <w:ind w:firstLine="420" w:firstLineChars="200"/>
        <w:jc w:val="left"/>
        <w:textAlignment w:val="baseline"/>
        <w:rPr>
          <w:rFonts w:hint="eastAsia" w:cs="宋体"/>
          <w:color w:val="auto"/>
          <w:sz w:val="21"/>
          <w:szCs w:val="21"/>
          <w:highlight w:val="none"/>
          <w:u w:val="single"/>
        </w:rPr>
      </w:pPr>
      <w:r>
        <w:rPr>
          <w:rFonts w:hint="eastAsia" w:cs="宋体"/>
          <w:color w:val="auto"/>
          <w:sz w:val="21"/>
          <w:szCs w:val="21"/>
          <w:highlight w:val="none"/>
          <w:u w:val="single"/>
        </w:rPr>
        <w:t>③在施工期间福建省住房和城乡建设厅发布了人工费指数调整、厦门市建设局发布了厦门市人工费指数调整；</w:t>
      </w:r>
    </w:p>
    <w:p>
      <w:pPr>
        <w:adjustRightInd w:val="0"/>
        <w:spacing w:line="360" w:lineRule="auto"/>
        <w:ind w:firstLine="420" w:firstLineChars="200"/>
        <w:jc w:val="left"/>
        <w:textAlignment w:val="baseline"/>
        <w:rPr>
          <w:rFonts w:hint="eastAsia" w:cs="宋体"/>
          <w:color w:val="auto"/>
          <w:sz w:val="21"/>
          <w:szCs w:val="21"/>
          <w:highlight w:val="none"/>
          <w:u w:val="single"/>
        </w:rPr>
      </w:pPr>
      <w:r>
        <w:rPr>
          <w:rFonts w:hint="eastAsia" w:cs="宋体"/>
          <w:color w:val="auto"/>
          <w:sz w:val="21"/>
          <w:szCs w:val="21"/>
          <w:highlight w:val="none"/>
          <w:u w:val="single"/>
        </w:rPr>
        <w:t>④可调材料价格变动在本合同约定幅度以外的。</w:t>
      </w:r>
    </w:p>
    <w:p>
      <w:pPr>
        <w:adjustRightInd w:val="0"/>
        <w:spacing w:line="360" w:lineRule="auto"/>
        <w:ind w:firstLine="420" w:firstLineChars="200"/>
        <w:jc w:val="left"/>
        <w:textAlignment w:val="baseline"/>
        <w:rPr>
          <w:rFonts w:cs="宋体"/>
          <w:color w:val="auto"/>
          <w:sz w:val="21"/>
          <w:szCs w:val="21"/>
          <w:highlight w:val="none"/>
          <w:u w:val="single"/>
        </w:rPr>
      </w:pPr>
      <w:r>
        <w:rPr>
          <w:rFonts w:hint="eastAsia" w:cs="宋体"/>
          <w:color w:val="auto"/>
          <w:sz w:val="21"/>
          <w:szCs w:val="21"/>
          <w:highlight w:val="none"/>
          <w:u w:val="single"/>
        </w:rPr>
        <w:t>⑤因承包人纳税人身份类别、纳税方式、政策调整等变化导致所开具发票种类或者税率变化的，合同不含税价款不变，并根据“合同不含税价款+承包人实际提供发票的增值税进项税额”计算合同总价。</w:t>
      </w:r>
    </w:p>
    <w:p>
      <w:pPr>
        <w:adjustRightInd w:val="0"/>
        <w:spacing w:line="360" w:lineRule="auto"/>
        <w:jc w:val="left"/>
        <w:textAlignment w:val="baseline"/>
        <w:rPr>
          <w:rFonts w:cs="宋体"/>
          <w:color w:val="auto"/>
          <w:sz w:val="21"/>
          <w:szCs w:val="21"/>
          <w:highlight w:val="none"/>
        </w:rPr>
      </w:pPr>
      <w:r>
        <w:rPr>
          <w:rFonts w:hint="eastAsia" w:cs="宋体"/>
          <w:color w:val="auto"/>
          <w:sz w:val="21"/>
          <w:szCs w:val="21"/>
          <w:highlight w:val="none"/>
        </w:rPr>
        <w:t>综合单价其它风险内容：</w:t>
      </w:r>
      <w:r>
        <w:rPr>
          <w:rFonts w:hint="eastAsia" w:cs="宋体"/>
          <w:color w:val="auto"/>
          <w:sz w:val="21"/>
          <w:szCs w:val="21"/>
          <w:highlight w:val="none"/>
          <w:u w:val="single"/>
        </w:rPr>
        <w:t xml:space="preserve"> </w:t>
      </w:r>
      <w:r>
        <w:rPr>
          <w:rFonts w:hint="eastAsia" w:cs="宋体"/>
          <w:color w:val="0000FF"/>
          <w:sz w:val="21"/>
          <w:szCs w:val="21"/>
          <w:highlight w:val="none"/>
          <w:u w:val="single"/>
          <w:lang w:val="en-US" w:eastAsia="zh-CN"/>
        </w:rPr>
        <w:t>/</w:t>
      </w:r>
      <w:r>
        <w:rPr>
          <w:rFonts w:hint="eastAsia" w:cs="宋体"/>
          <w:color w:val="auto"/>
          <w:sz w:val="21"/>
          <w:szCs w:val="21"/>
          <w:highlight w:val="none"/>
          <w:u w:val="single"/>
        </w:rPr>
        <w:t xml:space="preserve"> </w:t>
      </w:r>
      <w:r>
        <w:rPr>
          <w:rFonts w:hint="eastAsia" w:cs="宋体"/>
          <w:color w:val="auto"/>
          <w:sz w:val="21"/>
          <w:szCs w:val="21"/>
          <w:highlight w:val="none"/>
        </w:rPr>
        <w:t>。</w:t>
      </w:r>
    </w:p>
    <w:p>
      <w:pPr>
        <w:adjustRightInd w:val="0"/>
        <w:spacing w:line="360" w:lineRule="auto"/>
        <w:jc w:val="left"/>
        <w:textAlignment w:val="baseline"/>
        <w:rPr>
          <w:rFonts w:cs="宋体"/>
          <w:color w:val="auto"/>
          <w:sz w:val="21"/>
          <w:szCs w:val="21"/>
          <w:highlight w:val="none"/>
        </w:rPr>
      </w:pPr>
      <w:r>
        <w:rPr>
          <w:rFonts w:hint="eastAsia" w:cs="宋体"/>
          <w:color w:val="auto"/>
          <w:sz w:val="21"/>
          <w:szCs w:val="21"/>
          <w:highlight w:val="none"/>
        </w:rPr>
        <w:t>超过风险范围以外的调整方式：</w:t>
      </w:r>
      <w:r>
        <w:rPr>
          <w:rFonts w:hint="eastAsia" w:cs="宋体"/>
          <w:color w:val="auto"/>
          <w:sz w:val="21"/>
          <w:szCs w:val="21"/>
          <w:highlight w:val="none"/>
          <w:u w:val="single"/>
        </w:rPr>
        <w:t xml:space="preserve"> </w:t>
      </w:r>
      <w:r>
        <w:rPr>
          <w:rFonts w:hint="eastAsia" w:cs="宋体"/>
          <w:color w:val="0000FF"/>
          <w:sz w:val="21"/>
          <w:szCs w:val="21"/>
          <w:highlight w:val="none"/>
          <w:u w:val="single"/>
          <w:lang w:val="en-US" w:eastAsia="zh-CN"/>
        </w:rPr>
        <w:t>/</w:t>
      </w:r>
      <w:r>
        <w:rPr>
          <w:rFonts w:hint="eastAsia" w:cs="宋体"/>
          <w:color w:val="auto"/>
          <w:sz w:val="21"/>
          <w:szCs w:val="21"/>
          <w:highlight w:val="none"/>
          <w:u w:val="single"/>
        </w:rPr>
        <w:t xml:space="preserve"> </w:t>
      </w:r>
      <w:r>
        <w:rPr>
          <w:rFonts w:hint="eastAsia" w:cs="宋体"/>
          <w:color w:val="auto"/>
          <w:sz w:val="21"/>
          <w:szCs w:val="21"/>
          <w:highlight w:val="none"/>
        </w:rPr>
        <w:t>。</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FF"/>
          <w:sz w:val="21"/>
          <w:szCs w:val="21"/>
          <w:highlight w:val="none"/>
          <w:u w:val="single"/>
        </w:rPr>
      </w:pPr>
      <w:r>
        <w:rPr>
          <w:rFonts w:hint="eastAsia" w:cs="宋体"/>
          <w:color w:val="auto"/>
          <w:sz w:val="21"/>
          <w:szCs w:val="21"/>
          <w:highlight w:val="none"/>
        </w:rPr>
        <w:t>12.1.3其他价格方式：</w:t>
      </w:r>
      <w:r>
        <w:rPr>
          <w:rFonts w:hint="eastAsia" w:ascii="宋体" w:hAnsi="宋体" w:eastAsia="宋体" w:cs="宋体"/>
          <w:color w:val="0000FF"/>
          <w:kern w:val="0"/>
          <w:sz w:val="21"/>
          <w:szCs w:val="21"/>
          <w:highlight w:val="none"/>
          <w:u w:val="single"/>
          <w:lang w:val="en-US" w:eastAsia="zh-CN" w:bidi="ar"/>
        </w:rPr>
        <w:t>（1）工程量清单中包含的项目或数量实际没有发生（含承包人实际未施工部分）或减少的，应当取消或扣减，承包人已充分考虑因发包人调整承包范围或根据当地实际情况或市场操作模式需将部分专业工程进行分包或地质原因产生的工程量调整及由此可能造成对承包人潜在利润、费用分摊、市场行情价差和款项支付等的影响；不可抗力因素造成承包人的损失，以投保理赔确定赔偿价款为准，承包人若实际损失超出投保理赔由承包人自行承担。</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kern w:val="0"/>
          <w:sz w:val="21"/>
          <w:szCs w:val="21"/>
          <w:highlight w:val="none"/>
          <w:u w:val="single"/>
          <w:lang w:val="en-US" w:eastAsia="zh-CN" w:bidi="ar"/>
        </w:rPr>
      </w:pPr>
      <w:r>
        <w:rPr>
          <w:rFonts w:hint="eastAsia" w:cs="宋体"/>
          <w:color w:val="0000FF"/>
          <w:kern w:val="0"/>
          <w:sz w:val="21"/>
          <w:szCs w:val="21"/>
          <w:highlight w:val="none"/>
          <w:u w:val="single"/>
          <w:lang w:val="en-US" w:eastAsia="zh-CN" w:bidi="ar"/>
        </w:rPr>
        <w:t>（2</w:t>
      </w:r>
      <w:r>
        <w:rPr>
          <w:rFonts w:hint="eastAsia" w:ascii="宋体" w:hAnsi="宋体" w:eastAsia="宋体" w:cs="宋体"/>
          <w:color w:val="0000FF"/>
          <w:kern w:val="0"/>
          <w:sz w:val="21"/>
          <w:szCs w:val="21"/>
          <w:highlight w:val="none"/>
          <w:u w:val="single"/>
          <w:lang w:val="en-US" w:eastAsia="zh-CN" w:bidi="ar"/>
        </w:rPr>
        <w:t>）承包人已根据工程项目建设所在地地材供应的各种情况，在合同价中自行考虑。本工程施工组织设计中，总工期安排应包含桩基检测的时间。承包人应详细勘察现场，必要时应开挖施工便道或采取其他临时措施，确保材料的进退场，此费用已含在合同总价中，包干使用，实际施工时不再增加。</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kern w:val="0"/>
          <w:sz w:val="21"/>
          <w:szCs w:val="21"/>
          <w:highlight w:val="none"/>
          <w:u w:val="single"/>
          <w:lang w:val="en-US" w:eastAsia="zh-CN" w:bidi="ar"/>
        </w:rPr>
      </w:pPr>
      <w:r>
        <w:rPr>
          <w:rFonts w:hint="eastAsia" w:cs="宋体"/>
          <w:color w:val="0000FF"/>
          <w:kern w:val="0"/>
          <w:sz w:val="21"/>
          <w:szCs w:val="21"/>
          <w:highlight w:val="none"/>
          <w:u w:val="single"/>
          <w:lang w:val="en-US" w:eastAsia="zh-CN" w:bidi="ar"/>
        </w:rPr>
        <w:t>（3</w:t>
      </w:r>
      <w:r>
        <w:rPr>
          <w:rFonts w:hint="eastAsia" w:cs="宋体"/>
          <w:color w:val="FF0000"/>
          <w:kern w:val="0"/>
          <w:sz w:val="21"/>
          <w:szCs w:val="21"/>
          <w:highlight w:val="none"/>
          <w:u w:val="single"/>
          <w:lang w:val="en-US" w:eastAsia="zh-CN" w:bidi="ar"/>
        </w:rPr>
        <w:t>）</w:t>
      </w:r>
      <w:r>
        <w:rPr>
          <w:rFonts w:hint="eastAsia" w:ascii="宋体" w:hAnsi="宋体" w:eastAsia="宋体" w:cs="宋体"/>
          <w:color w:val="FF0000"/>
          <w:kern w:val="0"/>
          <w:sz w:val="21"/>
          <w:szCs w:val="21"/>
          <w:highlight w:val="none"/>
          <w:u w:val="single"/>
          <w:lang w:val="en-US" w:eastAsia="zh-CN" w:bidi="ar"/>
        </w:rPr>
        <w:t>本工程由于地质勘察成果提交时间和现场情况较复杂等因素，发包人有权根据实际情况进行设计变更调整桩型</w:t>
      </w:r>
      <w:r>
        <w:rPr>
          <w:rFonts w:hint="eastAsia" w:cs="宋体"/>
          <w:color w:val="FF0000"/>
          <w:kern w:val="0"/>
          <w:sz w:val="21"/>
          <w:szCs w:val="21"/>
          <w:highlight w:val="none"/>
          <w:u w:val="single"/>
          <w:lang w:val="en-US" w:eastAsia="zh-CN" w:bidi="ar"/>
        </w:rPr>
        <w:t>或工艺</w:t>
      </w:r>
      <w:r>
        <w:rPr>
          <w:rFonts w:hint="eastAsia" w:ascii="宋体" w:hAnsi="宋体" w:eastAsia="宋体" w:cs="宋体"/>
          <w:color w:val="FF0000"/>
          <w:kern w:val="0"/>
          <w:sz w:val="21"/>
          <w:szCs w:val="21"/>
          <w:highlight w:val="none"/>
          <w:u w:val="single"/>
          <w:lang w:val="en-US" w:eastAsia="zh-CN" w:bidi="ar"/>
        </w:rPr>
        <w:t>，由此设计变更和地质原因产生的相应桩型工程量变化的单价按“风险范围以外合同价款调整方法”中约定执行，且承包人不得以此推延工期及索赔。</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single"/>
        </w:rPr>
      </w:pPr>
      <w:r>
        <w:rPr>
          <w:rFonts w:hint="eastAsia" w:ascii="宋体" w:hAnsi="宋体" w:eastAsia="宋体" w:cs="宋体"/>
          <w:color w:val="0000FF"/>
          <w:kern w:val="0"/>
          <w:sz w:val="21"/>
          <w:szCs w:val="21"/>
          <w:highlight w:val="none"/>
          <w:u w:val="single"/>
          <w:lang w:val="en-US" w:eastAsia="zh-CN" w:bidi="ar"/>
        </w:rPr>
        <w:t>（</w:t>
      </w:r>
      <w:r>
        <w:rPr>
          <w:rFonts w:hint="eastAsia" w:cs="宋体"/>
          <w:color w:val="0000FF"/>
          <w:kern w:val="0"/>
          <w:sz w:val="21"/>
          <w:szCs w:val="21"/>
          <w:highlight w:val="none"/>
          <w:u w:val="single"/>
          <w:lang w:val="en-US" w:eastAsia="zh-CN" w:bidi="ar"/>
        </w:rPr>
        <w:t>4</w:t>
      </w:r>
      <w:r>
        <w:rPr>
          <w:rFonts w:hint="eastAsia" w:ascii="宋体" w:hAnsi="宋体" w:eastAsia="宋体" w:cs="宋体"/>
          <w:color w:val="0000FF"/>
          <w:kern w:val="0"/>
          <w:sz w:val="21"/>
          <w:szCs w:val="21"/>
          <w:highlight w:val="none"/>
          <w:u w:val="single"/>
          <w:lang w:val="en-US" w:eastAsia="zh-CN" w:bidi="ar"/>
        </w:rPr>
        <w:t xml:space="preserve">）政府（或发包人）对本工程建设项目作出停建、缓建的决定或重大设计变更导致本工程在规划、使用、功能方面有重大调整，造成停建、缓建的，延误工期相应顺延，由此引起的相关费用由承包人提出适当的费用索赔和证明文件，由发包人会同监理工程师根据实际情况初步审核后，报发包人或发包人委托的第三方机构确定。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single"/>
        </w:rPr>
      </w:pPr>
      <w:r>
        <w:rPr>
          <w:rFonts w:hint="eastAsia" w:ascii="宋体" w:hAnsi="宋体" w:eastAsia="宋体" w:cs="宋体"/>
          <w:color w:val="0000FF"/>
          <w:kern w:val="0"/>
          <w:sz w:val="21"/>
          <w:szCs w:val="21"/>
          <w:highlight w:val="none"/>
          <w:u w:val="single"/>
          <w:lang w:val="en-US" w:eastAsia="zh-CN" w:bidi="ar"/>
        </w:rPr>
        <w:t>（</w:t>
      </w:r>
      <w:r>
        <w:rPr>
          <w:rFonts w:hint="eastAsia" w:cs="宋体"/>
          <w:color w:val="0000FF"/>
          <w:kern w:val="0"/>
          <w:sz w:val="21"/>
          <w:szCs w:val="21"/>
          <w:highlight w:val="none"/>
          <w:u w:val="single"/>
          <w:lang w:val="en-US" w:eastAsia="zh-CN" w:bidi="ar"/>
        </w:rPr>
        <w:t>5</w:t>
      </w:r>
      <w:r>
        <w:rPr>
          <w:rFonts w:hint="eastAsia" w:ascii="宋体" w:hAnsi="宋体" w:eastAsia="宋体" w:cs="宋体"/>
          <w:color w:val="0000FF"/>
          <w:kern w:val="0"/>
          <w:sz w:val="21"/>
          <w:szCs w:val="21"/>
          <w:highlight w:val="none"/>
          <w:u w:val="single"/>
          <w:lang w:val="en-US" w:eastAsia="zh-CN" w:bidi="ar"/>
        </w:rPr>
        <w:t xml:space="preserve">）承包人应根据本工程的质量、工期目标要求，充分考虑相关赶工措施费用和为达到合同要求的质量等级需要增加的费用（包括措施费等），此部分费用已计入合同总价中，项目工程竣工结算时不另行计取这些费用。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kern w:val="0"/>
          <w:sz w:val="21"/>
          <w:szCs w:val="21"/>
          <w:highlight w:val="none"/>
          <w:u w:val="single"/>
          <w:lang w:val="en-US" w:eastAsia="zh-CN" w:bidi="ar"/>
        </w:rPr>
      </w:pPr>
      <w:r>
        <w:rPr>
          <w:rFonts w:hint="eastAsia" w:ascii="宋体" w:hAnsi="宋体" w:eastAsia="宋体" w:cs="宋体"/>
          <w:color w:val="FF0000"/>
          <w:kern w:val="0"/>
          <w:sz w:val="21"/>
          <w:szCs w:val="21"/>
          <w:highlight w:val="none"/>
          <w:u w:val="single"/>
          <w:lang w:val="en-US" w:eastAsia="zh-CN" w:bidi="ar"/>
        </w:rPr>
        <w:t>（</w:t>
      </w:r>
      <w:r>
        <w:rPr>
          <w:rFonts w:hint="eastAsia" w:cs="宋体"/>
          <w:color w:val="FF0000"/>
          <w:kern w:val="0"/>
          <w:sz w:val="21"/>
          <w:szCs w:val="21"/>
          <w:highlight w:val="none"/>
          <w:u w:val="single"/>
          <w:lang w:val="en-US" w:eastAsia="zh-CN" w:bidi="ar"/>
        </w:rPr>
        <w:t>6</w:t>
      </w:r>
      <w:r>
        <w:rPr>
          <w:rFonts w:hint="eastAsia" w:ascii="宋体" w:hAnsi="宋体" w:eastAsia="宋体" w:cs="宋体"/>
          <w:color w:val="FF0000"/>
          <w:kern w:val="0"/>
          <w:sz w:val="21"/>
          <w:szCs w:val="21"/>
          <w:highlight w:val="none"/>
          <w:u w:val="single"/>
          <w:lang w:val="en-US" w:eastAsia="zh-CN" w:bidi="ar"/>
        </w:rPr>
        <w:t>）</w:t>
      </w:r>
      <w:r>
        <w:rPr>
          <w:rFonts w:hint="eastAsia" w:ascii="宋体" w:hAnsi="宋体" w:eastAsia="宋体" w:cs="宋体"/>
          <w:color w:val="0000FF"/>
          <w:kern w:val="0"/>
          <w:sz w:val="21"/>
          <w:szCs w:val="21"/>
          <w:highlight w:val="none"/>
          <w:u w:val="single"/>
          <w:lang w:val="en-US" w:eastAsia="zh-CN" w:bidi="ar"/>
        </w:rPr>
        <w:t>本工程承包人应根据相关规定及工程需要进行相应分项工程的二次深化设计（包含但不限于铝合金门窗、抗震支架、钢构雨棚、等），应委托有相应资质的单位深化设计，相关的深化设计应满足国家、地方现行的相关规范及验收标准，且应满足工程设计单位的技术要求及发包人的技术、标准及效果要求。承包人应在确保总工期的前提下，负责深化设计图纸报送各职能部门审查通过，并经工程设计单位及发包人确认，且作为施工、竣工验收依据。以上需由承包人二次深化设计的项目，除约定可调整费用外，其余发生费用的均不予调整，由承包人综合考虑在合同清单报价中，不再调整。</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cs="宋体"/>
          <w:color w:val="0000FF"/>
          <w:sz w:val="21"/>
          <w:szCs w:val="21"/>
          <w:highlight w:val="none"/>
          <w:u w:val="single"/>
          <w:lang w:bidi="ar"/>
        </w:rPr>
      </w:pPr>
      <w:r>
        <w:rPr>
          <w:rFonts w:hint="eastAsia" w:cs="宋体"/>
          <w:color w:val="0000FF"/>
          <w:sz w:val="21"/>
          <w:szCs w:val="21"/>
          <w:highlight w:val="none"/>
          <w:u w:val="single"/>
          <w:lang w:bidi="ar"/>
        </w:rPr>
        <w:t>（</w:t>
      </w:r>
      <w:r>
        <w:rPr>
          <w:rFonts w:hint="eastAsia" w:cs="宋体"/>
          <w:color w:val="0000FF"/>
          <w:sz w:val="21"/>
          <w:szCs w:val="21"/>
          <w:highlight w:val="none"/>
          <w:u w:val="single"/>
          <w:lang w:eastAsia="zh-CN" w:bidi="ar"/>
        </w:rPr>
        <w:t>6</w:t>
      </w:r>
      <w:r>
        <w:rPr>
          <w:rFonts w:hint="eastAsia" w:cs="宋体"/>
          <w:color w:val="0000FF"/>
          <w:sz w:val="21"/>
          <w:szCs w:val="21"/>
          <w:highlight w:val="none"/>
          <w:u w:val="single"/>
          <w:lang w:bidi="ar"/>
        </w:rPr>
        <w:t>.1）需要二次深化设计造价管理：本工程如有分项的施工图纸需要进一步优化深化，深化设计方案经原设计单位及发包人书面同意后，并保证现有的设计品质与质量，承包人对图纸的深化设计进度及图纸的审批进度应保证满足发包人对工程施工的进度要求。因深化设计造成造价变化，相应造价需按照程序报发包人审核确认，若费用增加，合同价格不予调整；若造价减少，则对应核减合同价格。深化设计的费用已含在合同金额中。</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single"/>
        </w:rPr>
      </w:pPr>
      <w:r>
        <w:rPr>
          <w:rFonts w:hint="eastAsia" w:cs="宋体"/>
          <w:color w:val="0000FF"/>
          <w:sz w:val="21"/>
          <w:szCs w:val="21"/>
          <w:highlight w:val="none"/>
          <w:u w:val="single"/>
          <w:lang w:bidi="ar"/>
        </w:rPr>
        <w:t>（</w:t>
      </w:r>
      <w:r>
        <w:rPr>
          <w:rFonts w:hint="eastAsia" w:cs="宋体"/>
          <w:color w:val="0000FF"/>
          <w:sz w:val="21"/>
          <w:szCs w:val="21"/>
          <w:highlight w:val="none"/>
          <w:u w:val="single"/>
          <w:lang w:eastAsia="zh-CN" w:bidi="ar"/>
        </w:rPr>
        <w:t>6</w:t>
      </w:r>
      <w:r>
        <w:rPr>
          <w:rFonts w:hint="eastAsia" w:cs="宋体"/>
          <w:color w:val="0000FF"/>
          <w:sz w:val="21"/>
          <w:szCs w:val="21"/>
          <w:highlight w:val="none"/>
          <w:u w:val="single"/>
          <w:lang w:val="en-US" w:eastAsia="zh-CN" w:bidi="ar"/>
        </w:rPr>
        <w:t>.2</w:t>
      </w:r>
      <w:r>
        <w:rPr>
          <w:rFonts w:hint="eastAsia" w:cs="宋体"/>
          <w:color w:val="0000FF"/>
          <w:sz w:val="21"/>
          <w:szCs w:val="21"/>
          <w:highlight w:val="none"/>
          <w:u w:val="single"/>
          <w:lang w:bidi="ar"/>
        </w:rPr>
        <w:t>）抗震支架：本工程抗震支架的施工图纸需要进一步深化，深化设计方案须经原设计单位及发包人同意后，按照报送相关职能部门审查通过的深化设计图纸进行施工及验收。深化设计费用已包含在投标报价中，原则上深化设计造成费用增加的，合同价格不予调整，若深化设计后节约成本（不含采用装配式承重支架与抗震支架一体化系统可减少的各专业按定额要求计取的一般支吊架的费用）的，则节省投资部分由建设单位、承包人各按50%共同受益。</w:t>
      </w:r>
      <w:r>
        <w:rPr>
          <w:rFonts w:hint="eastAsia" w:ascii="宋体" w:hAnsi="宋体" w:eastAsia="宋体" w:cs="宋体"/>
          <w:color w:val="0000FF"/>
          <w:kern w:val="0"/>
          <w:sz w:val="21"/>
          <w:szCs w:val="21"/>
          <w:highlight w:val="none"/>
          <w:u w:val="single"/>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single"/>
        </w:rPr>
      </w:pPr>
      <w:r>
        <w:rPr>
          <w:rFonts w:hint="eastAsia" w:ascii="宋体" w:hAnsi="宋体" w:eastAsia="宋体" w:cs="宋体"/>
          <w:color w:val="FF0000"/>
          <w:kern w:val="0"/>
          <w:sz w:val="21"/>
          <w:szCs w:val="21"/>
          <w:highlight w:val="none"/>
          <w:u w:val="single"/>
          <w:lang w:val="en-US" w:eastAsia="zh-CN" w:bidi="ar"/>
        </w:rPr>
        <w:t>（</w:t>
      </w:r>
      <w:r>
        <w:rPr>
          <w:rFonts w:hint="eastAsia" w:cs="宋体"/>
          <w:color w:val="FF0000"/>
          <w:kern w:val="0"/>
          <w:sz w:val="21"/>
          <w:szCs w:val="21"/>
          <w:highlight w:val="none"/>
          <w:u w:val="single"/>
          <w:lang w:val="en-US" w:eastAsia="zh-CN" w:bidi="ar"/>
        </w:rPr>
        <w:t>7</w:t>
      </w:r>
      <w:r>
        <w:rPr>
          <w:rFonts w:hint="eastAsia" w:ascii="宋体" w:hAnsi="宋体" w:eastAsia="宋体" w:cs="宋体"/>
          <w:color w:val="FF0000"/>
          <w:kern w:val="0"/>
          <w:sz w:val="21"/>
          <w:szCs w:val="21"/>
          <w:highlight w:val="none"/>
          <w:u w:val="single"/>
          <w:lang w:val="en-US" w:eastAsia="zh-CN" w:bidi="ar"/>
        </w:rPr>
        <w:t>）</w:t>
      </w:r>
      <w:r>
        <w:rPr>
          <w:rFonts w:hint="eastAsia" w:ascii="宋体" w:hAnsi="宋体" w:eastAsia="宋体" w:cs="宋体"/>
          <w:color w:val="0000FF"/>
          <w:kern w:val="0"/>
          <w:sz w:val="21"/>
          <w:szCs w:val="21"/>
          <w:highlight w:val="none"/>
          <w:u w:val="single"/>
          <w:lang w:val="en-US" w:eastAsia="zh-CN" w:bidi="ar"/>
        </w:rPr>
        <w:t xml:space="preserve">本工程投标人在报价时应充分考虑雨季及台风对本工程的影响，并考虑施工道路硬化、文明施工等需要支出的各项费用，并将因此产生的各项费用综合进入工程报价中。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single"/>
        </w:rPr>
      </w:pPr>
      <w:r>
        <w:rPr>
          <w:rFonts w:hint="eastAsia" w:ascii="宋体" w:hAnsi="宋体" w:eastAsia="宋体" w:cs="宋体"/>
          <w:color w:val="FF0000"/>
          <w:kern w:val="0"/>
          <w:sz w:val="21"/>
          <w:szCs w:val="21"/>
          <w:highlight w:val="none"/>
          <w:u w:val="single"/>
          <w:lang w:val="en-US" w:eastAsia="zh-CN" w:bidi="ar"/>
        </w:rPr>
        <w:t>（</w:t>
      </w:r>
      <w:r>
        <w:rPr>
          <w:rFonts w:hint="eastAsia" w:cs="宋体"/>
          <w:color w:val="FF0000"/>
          <w:kern w:val="0"/>
          <w:sz w:val="21"/>
          <w:szCs w:val="21"/>
          <w:highlight w:val="none"/>
          <w:u w:val="single"/>
          <w:lang w:val="en-US" w:eastAsia="zh-CN" w:bidi="ar"/>
        </w:rPr>
        <w:t>8</w:t>
      </w:r>
      <w:r>
        <w:rPr>
          <w:rFonts w:hint="eastAsia" w:ascii="宋体" w:hAnsi="宋体" w:eastAsia="宋体" w:cs="宋体"/>
          <w:color w:val="FF0000"/>
          <w:kern w:val="0"/>
          <w:sz w:val="21"/>
          <w:szCs w:val="21"/>
          <w:highlight w:val="none"/>
          <w:u w:val="single"/>
          <w:lang w:val="en-US" w:eastAsia="zh-CN" w:bidi="ar"/>
        </w:rPr>
        <w:t>）</w:t>
      </w:r>
      <w:r>
        <w:rPr>
          <w:rFonts w:hint="eastAsia" w:ascii="宋体" w:hAnsi="宋体" w:eastAsia="宋体" w:cs="宋体"/>
          <w:color w:val="0000FF"/>
          <w:kern w:val="0"/>
          <w:sz w:val="21"/>
          <w:szCs w:val="21"/>
          <w:highlight w:val="none"/>
          <w:u w:val="single"/>
          <w:lang w:val="en-US" w:eastAsia="zh-CN" w:bidi="ar"/>
        </w:rPr>
        <w:t xml:space="preserve">根据本工程实际需要和考虑厦门地区受台风影响频繁，投标人应在施工组织设计书充分考虑停水、停电、限电、台风等的影响，制定可行的施工方案和保护措施，并在工程实施过程中切实执行该方案和措施，由此所发生的应急措施费用投标人应综合考虑上述因素进行报价，包含在合同总价中，中标后此费用不予调整。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single"/>
        </w:rPr>
      </w:pPr>
      <w:r>
        <w:rPr>
          <w:rFonts w:hint="eastAsia" w:ascii="宋体" w:hAnsi="宋体" w:eastAsia="宋体" w:cs="宋体"/>
          <w:color w:val="FF0000"/>
          <w:kern w:val="0"/>
          <w:sz w:val="21"/>
          <w:szCs w:val="21"/>
          <w:highlight w:val="none"/>
          <w:u w:val="single"/>
          <w:lang w:val="en-US" w:eastAsia="zh-CN" w:bidi="ar"/>
        </w:rPr>
        <w:t>（</w:t>
      </w:r>
      <w:r>
        <w:rPr>
          <w:rFonts w:hint="eastAsia" w:cs="宋体"/>
          <w:color w:val="FF0000"/>
          <w:kern w:val="0"/>
          <w:sz w:val="21"/>
          <w:szCs w:val="21"/>
          <w:highlight w:val="none"/>
          <w:u w:val="single"/>
          <w:lang w:val="en-US" w:eastAsia="zh-CN" w:bidi="ar"/>
        </w:rPr>
        <w:t>9</w:t>
      </w:r>
      <w:r>
        <w:rPr>
          <w:rFonts w:hint="eastAsia" w:ascii="宋体" w:hAnsi="宋体" w:eastAsia="宋体" w:cs="宋体"/>
          <w:color w:val="FF0000"/>
          <w:kern w:val="0"/>
          <w:sz w:val="21"/>
          <w:szCs w:val="21"/>
          <w:highlight w:val="none"/>
          <w:u w:val="single"/>
          <w:lang w:val="en-US" w:eastAsia="zh-CN" w:bidi="ar"/>
        </w:rPr>
        <w:t>）</w:t>
      </w:r>
      <w:r>
        <w:rPr>
          <w:rFonts w:hint="eastAsia" w:ascii="宋体" w:hAnsi="宋体" w:eastAsia="宋体" w:cs="宋体"/>
          <w:color w:val="0000FF"/>
          <w:kern w:val="0"/>
          <w:sz w:val="21"/>
          <w:szCs w:val="21"/>
          <w:highlight w:val="none"/>
          <w:u w:val="single"/>
          <w:lang w:val="en-US" w:eastAsia="zh-CN" w:bidi="ar"/>
        </w:rPr>
        <w:t xml:space="preserve">本工程量清单中的机械设备的配置（含措施费清单中“大型机械设备进出场及安拆费”中的设备）仅供承包人参考，承包人应结合施工组织设计投入相应的机械配备，若承包人施工组织及因赶工投入机械设备配置超出本工程量清单中的配置要求的，所发生的费用包含在合同总价中，不予调整。若承包人实际投入的机械设备配置低于本工程量清单配置要求的，费用按实调整。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single"/>
        </w:rPr>
      </w:pPr>
      <w:r>
        <w:rPr>
          <w:rFonts w:hint="eastAsia" w:ascii="宋体" w:hAnsi="宋体" w:eastAsia="宋体" w:cs="宋体"/>
          <w:color w:val="FF0000"/>
          <w:kern w:val="0"/>
          <w:sz w:val="21"/>
          <w:szCs w:val="21"/>
          <w:highlight w:val="none"/>
          <w:u w:val="single"/>
          <w:lang w:val="en-US" w:eastAsia="zh-CN" w:bidi="ar"/>
        </w:rPr>
        <w:t>（</w:t>
      </w:r>
      <w:r>
        <w:rPr>
          <w:rFonts w:hint="eastAsia" w:cs="宋体"/>
          <w:color w:val="FF0000"/>
          <w:kern w:val="0"/>
          <w:sz w:val="21"/>
          <w:szCs w:val="21"/>
          <w:highlight w:val="none"/>
          <w:u w:val="single"/>
          <w:lang w:val="en-US" w:eastAsia="zh-CN" w:bidi="ar"/>
        </w:rPr>
        <w:t>10</w:t>
      </w:r>
      <w:r>
        <w:rPr>
          <w:rFonts w:hint="eastAsia" w:ascii="宋体" w:hAnsi="宋体" w:eastAsia="宋体" w:cs="宋体"/>
          <w:color w:val="FF0000"/>
          <w:kern w:val="0"/>
          <w:sz w:val="21"/>
          <w:szCs w:val="21"/>
          <w:highlight w:val="none"/>
          <w:u w:val="single"/>
          <w:lang w:val="en-US" w:eastAsia="zh-CN" w:bidi="ar"/>
        </w:rPr>
        <w:t>）</w:t>
      </w:r>
      <w:r>
        <w:rPr>
          <w:rFonts w:hint="eastAsia" w:ascii="宋体" w:hAnsi="宋体" w:eastAsia="宋体" w:cs="宋体"/>
          <w:color w:val="0000FF"/>
          <w:kern w:val="0"/>
          <w:sz w:val="21"/>
          <w:szCs w:val="21"/>
          <w:highlight w:val="none"/>
          <w:u w:val="single"/>
          <w:lang w:val="en-US" w:eastAsia="zh-CN" w:bidi="ar"/>
        </w:rPr>
        <w:t>本工程工期紧、任务重，劳动力、机械设备、材料投入量大且集中，承包人已结合市场行情，充分考虑上述因素，做好工程施工期间劳动力资源、机械设备、材料供应的充分保障，确保施工时按时到位，保证工程顺利建设。发包人在施工期间有权随时检查承包人与现场施工人员签定的劳动合同或劳务合同及到位情况；检查现场机械设备的租赁合同及到位情况；检查现场材料的供应情况。由此可能产生的相关费用应在投标报价中综合考虑，中标后不再调整。</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cs="宋体"/>
          <w:color w:val="auto"/>
          <w:sz w:val="21"/>
          <w:szCs w:val="21"/>
          <w:highlight w:val="none"/>
          <w:u w:val="single"/>
        </w:rPr>
      </w:pPr>
      <w:r>
        <w:rPr>
          <w:rFonts w:hint="eastAsia" w:ascii="宋体" w:hAnsi="宋体" w:eastAsia="宋体" w:cs="宋体"/>
          <w:color w:val="FF0000"/>
          <w:kern w:val="0"/>
          <w:sz w:val="21"/>
          <w:szCs w:val="21"/>
          <w:highlight w:val="none"/>
          <w:u w:val="single"/>
          <w:lang w:val="en-US" w:eastAsia="zh-CN" w:bidi="ar"/>
        </w:rPr>
        <w:t>（</w:t>
      </w:r>
      <w:r>
        <w:rPr>
          <w:rFonts w:hint="eastAsia" w:cs="宋体"/>
          <w:color w:val="FF0000"/>
          <w:kern w:val="0"/>
          <w:sz w:val="21"/>
          <w:szCs w:val="21"/>
          <w:highlight w:val="none"/>
          <w:u w:val="single"/>
          <w:lang w:val="en-US" w:eastAsia="zh-CN" w:bidi="ar"/>
        </w:rPr>
        <w:t>11</w:t>
      </w:r>
      <w:r>
        <w:rPr>
          <w:rFonts w:hint="eastAsia" w:ascii="宋体" w:hAnsi="宋体" w:eastAsia="宋体" w:cs="宋体"/>
          <w:color w:val="FF0000"/>
          <w:kern w:val="0"/>
          <w:sz w:val="21"/>
          <w:szCs w:val="21"/>
          <w:highlight w:val="none"/>
          <w:u w:val="single"/>
          <w:lang w:val="en-US" w:eastAsia="zh-CN" w:bidi="ar"/>
        </w:rPr>
        <w:t>）</w:t>
      </w:r>
      <w:r>
        <w:rPr>
          <w:rFonts w:hint="eastAsia" w:cs="宋体"/>
          <w:color w:val="0000FF"/>
          <w:sz w:val="21"/>
          <w:szCs w:val="21"/>
          <w:highlight w:val="none"/>
          <w:u w:val="single"/>
          <w:lang w:bidi="ar"/>
        </w:rPr>
        <w:t>采用固定总价合同，除前述总价包含的风险范围之外，如下情形也不予调整合同价格：①提供的地形标高与实际有误差，导致土石方工程量不一致而发生设计变更的；② 承包人根据本合同、招标文件的要求及本工程的具体情况按合同工期完工所采取的赶工措施费和为达到合同要求的质量等级需要增加的费用（包括优质奖及措施费等），以及为完成本工程项目施工并满足本项目的进度（含承包人自备发电机）、质量、安全、文明施工等要求而必须采取的措施所发生的各种工程相关费用（包括但不限于安全文明施工费、夜间施工费、二次搬运费、冬雨季施工费、施工排水费、施工降水费、临时保护设施费、成品保护费、各专业工程措施费、赶工费及垂直运输费、机械设备投入及进退场费、总包管理及配合费等），均已综合考虑在本合同价中，发包人不再另行支付。</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kern w:val="0"/>
          <w:sz w:val="21"/>
          <w:szCs w:val="21"/>
          <w:highlight w:val="none"/>
          <w:u w:val="single"/>
          <w:lang w:val="en-US" w:eastAsia="zh-CN" w:bidi="ar"/>
        </w:rPr>
      </w:pPr>
      <w:r>
        <w:rPr>
          <w:rFonts w:hint="eastAsia" w:ascii="宋体" w:hAnsi="宋体" w:eastAsia="宋体" w:cs="宋体"/>
          <w:color w:val="0000FF"/>
          <w:kern w:val="0"/>
          <w:sz w:val="21"/>
          <w:szCs w:val="21"/>
          <w:highlight w:val="none"/>
          <w:u w:val="single"/>
          <w:lang w:val="en-US" w:eastAsia="zh-CN" w:bidi="ar"/>
        </w:rPr>
        <w:t>（12）承包人应负责协调解决施工期间周边地方或周边居民的关系，处理好之间的和谐关系，确保项目顺利施工。承包人应已充分考虑施工期间产生的噪音、扬尘、震动、占地、通行、光线等对第三人或邻近建(构)筑物安全与正常使用的影响及其扰民费用，因上述扰民或民扰行为引发相关费用，以及因上述扰民或民扰行为引发的人身伤亡、罚款、索赔、赔偿、诉讼费和其它费等，已经包括在承包人的签约合同价中，全部由承包人负责承担。</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kern w:val="0"/>
          <w:sz w:val="21"/>
          <w:szCs w:val="21"/>
          <w:highlight w:val="none"/>
          <w:u w:val="single"/>
          <w:lang w:val="en-US" w:eastAsia="zh-CN" w:bidi="ar"/>
        </w:rPr>
      </w:pPr>
      <w:r>
        <w:rPr>
          <w:rFonts w:hint="eastAsia" w:ascii="宋体" w:hAnsi="宋体" w:eastAsia="宋体" w:cs="宋体"/>
          <w:color w:val="0000FF"/>
          <w:kern w:val="0"/>
          <w:sz w:val="21"/>
          <w:szCs w:val="21"/>
          <w:highlight w:val="none"/>
          <w:u w:val="single"/>
          <w:lang w:val="en-US" w:eastAsia="zh-CN" w:bidi="ar"/>
        </w:rPr>
        <w:t>（13）本工程基础和地下室施工过程中，若遇到填石、建筑垃圾、孤石、砂层、淤泥或旧桩等地下障碍物，承包人已在合同总价中综合考虑了相应爆破、引孔、清除、搬运、外运、回填土等所涉及所有费用。若上述因素导致钻机更改引起的进出场费、人工窝工费、及其他一切由于更换钻机及需采取超前钻、引孔、换填等清障措施引起的费用，承包人均已在合同总价中综合考虑，承包人不得以任何理由调整相关费用。</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kern w:val="0"/>
          <w:sz w:val="21"/>
          <w:szCs w:val="21"/>
          <w:highlight w:val="none"/>
          <w:u w:val="single"/>
          <w:lang w:val="en-US" w:eastAsia="zh-CN" w:bidi="ar"/>
        </w:rPr>
      </w:pPr>
      <w:r>
        <w:rPr>
          <w:rFonts w:hint="eastAsia" w:ascii="宋体" w:hAnsi="宋体" w:eastAsia="宋体" w:cs="宋体"/>
          <w:color w:val="0000FF"/>
          <w:kern w:val="0"/>
          <w:sz w:val="21"/>
          <w:szCs w:val="21"/>
          <w:highlight w:val="none"/>
          <w:u w:val="single"/>
          <w:lang w:val="en-US" w:eastAsia="zh-CN" w:bidi="ar"/>
        </w:rPr>
        <w:t>（14）招标文件中已约定由承包人包干使用并承担的一切费用，不因工作内容的变化而调整。</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kern w:val="0"/>
          <w:sz w:val="21"/>
          <w:szCs w:val="21"/>
          <w:highlight w:val="none"/>
          <w:u w:val="single"/>
          <w:lang w:val="en-US" w:eastAsia="zh-CN" w:bidi="ar"/>
        </w:rPr>
      </w:pPr>
      <w:r>
        <w:rPr>
          <w:rFonts w:hint="eastAsia" w:ascii="宋体" w:hAnsi="宋体" w:eastAsia="宋体" w:cs="宋体"/>
          <w:color w:val="0000FF"/>
          <w:kern w:val="0"/>
          <w:sz w:val="21"/>
          <w:szCs w:val="21"/>
          <w:highlight w:val="none"/>
          <w:u w:val="single"/>
          <w:lang w:val="en-US" w:eastAsia="zh-CN" w:bidi="ar"/>
        </w:rPr>
        <w:t>（15）发包人保留在合同履行时调整工程量及专业工程项目的范围的权利。发包人发包的工程项目的工程数量及专业工程项目受其他条件的影响，在授标及合同履行时发包人有权更改工程数量及专业工程项目的范围，如有更改，承包人不得拒绝，且该部分工程造价按合同12.1条款进行增减调整（承包人不得因此向发包人索要管理费、利润损失、降效等一切补偿）。</w:t>
      </w:r>
    </w:p>
    <w:p>
      <w:pPr>
        <w:widowControl/>
        <w:spacing w:line="360" w:lineRule="auto"/>
        <w:ind w:firstLine="420" w:firstLineChars="200"/>
        <w:jc w:val="left"/>
        <w:rPr>
          <w:rFonts w:hint="eastAsia"/>
        </w:rPr>
      </w:pPr>
      <w:r>
        <w:rPr>
          <w:rFonts w:hint="eastAsia" w:cs="宋体"/>
          <w:color w:val="0000FF"/>
          <w:sz w:val="21"/>
          <w:szCs w:val="21"/>
          <w:highlight w:val="none"/>
          <w:u w:val="single"/>
          <w:lang w:bidi="ar"/>
        </w:rPr>
        <w:t>（1</w:t>
      </w:r>
      <w:r>
        <w:rPr>
          <w:rFonts w:hint="eastAsia" w:cs="宋体"/>
          <w:color w:val="0000FF"/>
          <w:sz w:val="21"/>
          <w:szCs w:val="21"/>
          <w:highlight w:val="none"/>
          <w:u w:val="single"/>
          <w:lang w:val="en-US" w:eastAsia="zh-CN" w:bidi="ar"/>
        </w:rPr>
        <w:t>6</w:t>
      </w:r>
      <w:r>
        <w:rPr>
          <w:rFonts w:hint="eastAsia" w:cs="宋体"/>
          <w:color w:val="0000FF"/>
          <w:sz w:val="21"/>
          <w:szCs w:val="21"/>
          <w:highlight w:val="none"/>
          <w:u w:val="single"/>
          <w:lang w:bidi="ar"/>
        </w:rPr>
        <w:t>）本工程施工围墙由承包人按厦门市建设工程围挡（2021版）施工标准的施工（如相关部门有最新规定以最新规定要求为准），承包人须充分结合现场实际情况，严格按照本工程安全文明工地等相关规定和发包人对现场实际要求进行施工围墙的广告饰面、灯饰等维护、改造相关工作，由此产生的施工围墙费用均已含在安全文明施工费中，不另行计价，不因此条款而以变更签证的形式增加总造价。</w:t>
      </w:r>
    </w:p>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12.2 预付款</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12.2.1 预付款的支付</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预付款支付比例或金额：</w:t>
      </w:r>
      <w:r>
        <w:rPr>
          <w:rFonts w:hint="eastAsia" w:cs="宋体"/>
          <w:color w:val="0000FF"/>
          <w:sz w:val="21"/>
          <w:szCs w:val="21"/>
          <w:highlight w:val="none"/>
          <w:u w:val="single"/>
        </w:rPr>
        <w:t>支付合同总价（扣除暂列金额、暂估金额、安全文明施工费）的10%作为工程预付款</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预付款支付期限：</w:t>
      </w:r>
      <w:r>
        <w:rPr>
          <w:rFonts w:hint="eastAsia" w:cs="宋体"/>
          <w:color w:val="0000FF"/>
          <w:sz w:val="21"/>
          <w:szCs w:val="21"/>
          <w:highlight w:val="none"/>
          <w:u w:val="single"/>
        </w:rPr>
        <w:t>发包人在合同生效、收到承包人提交的履约保函及相应金额的预付款保函且相应款项由建设单位支付至发包人账户后1个月内，支付工程预付款</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预付款扣回的方式：</w:t>
      </w:r>
      <w:r>
        <w:rPr>
          <w:rFonts w:hint="eastAsia" w:ascii="宋体" w:hAnsi="宋体" w:eastAsia="宋体" w:cs="宋体"/>
          <w:color w:val="0000FF"/>
          <w:sz w:val="21"/>
          <w:szCs w:val="21"/>
          <w:highlight w:val="none"/>
          <w:u w:val="single" w:color="000000"/>
          <w:lang w:val="en-US" w:eastAsia="zh-CN"/>
        </w:rPr>
        <w:t>当工程款支付（含预付款）累计达到合同价款（扣除暂列金额）的50％时，在其后支付的各期工程进度款中按当期应付工程款的50%扣回工程预付款，并在已付工程合同价款（扣除暂列金额）的80%前全部扣回。预付款全部扣回后10天内，发包人将预付款保函退还给承包人</w:t>
      </w:r>
      <w:r>
        <w:rPr>
          <w:rFonts w:hint="eastAsia" w:cs="宋体"/>
          <w:color w:val="auto"/>
          <w:sz w:val="21"/>
          <w:szCs w:val="21"/>
          <w:highlight w:val="none"/>
        </w:rPr>
        <w:t>。</w:t>
      </w:r>
    </w:p>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12.3 计量</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12.3.1 计量原则</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工程量计算规则：</w:t>
      </w:r>
      <w:r>
        <w:rPr>
          <w:rFonts w:hint="eastAsia" w:cs="宋体"/>
          <w:color w:val="0000FF"/>
          <w:sz w:val="21"/>
          <w:szCs w:val="21"/>
          <w:highlight w:val="none"/>
          <w:u w:val="single"/>
        </w:rPr>
        <w:t>执行通用合同条款</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12.3.2 计量周期</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关于计量周期的约定：</w:t>
      </w:r>
      <w:r>
        <w:rPr>
          <w:rFonts w:hint="eastAsia" w:cs="宋体"/>
          <w:color w:val="0000FF"/>
          <w:sz w:val="21"/>
          <w:szCs w:val="21"/>
          <w:highlight w:val="none"/>
          <w:u w:val="single"/>
        </w:rPr>
        <w:t>承包人必须在当月20日前向监理工程师报送当期实际完成的各部位的已完工程量报告（截止当月20日），监理工程师仅对有工程量清单报价的子项目确认，并在接到报告后2个日历天内审核完毕送发包人，发包人派驻的工程师应当在收到监理工程师书面审核确认意见后的5个日历天内审核完毕。若监理工程师或发包人对承包人所报工程量有异议的，承包人应协助监理工程师对已完工程量进行核实。监理工程师对承包人擅自超出设计图纸要求增加的工程量和因承包人自身原因造成返工的工程量，不予计量</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12.3.3 单价合同的计量</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关于单价合同计量的约定：</w:t>
      </w:r>
      <w:r>
        <w:rPr>
          <w:rFonts w:hint="eastAsia" w:cs="宋体"/>
          <w:color w:val="auto"/>
          <w:sz w:val="21"/>
          <w:szCs w:val="21"/>
          <w:highlight w:val="none"/>
          <w:u w:val="single"/>
        </w:rPr>
        <w:t xml:space="preserve"> </w:t>
      </w:r>
      <w:r>
        <w:rPr>
          <w:rFonts w:hint="eastAsia" w:cs="宋体"/>
          <w:color w:val="0000FF"/>
          <w:sz w:val="21"/>
          <w:szCs w:val="21"/>
          <w:highlight w:val="none"/>
          <w:u w:val="single"/>
          <w:lang w:val="en-US" w:eastAsia="zh-CN"/>
        </w:rPr>
        <w:t>/</w:t>
      </w:r>
      <w:r>
        <w:rPr>
          <w:rFonts w:hint="eastAsia" w:cs="宋体"/>
          <w:color w:val="auto"/>
          <w:sz w:val="21"/>
          <w:szCs w:val="21"/>
          <w:highlight w:val="none"/>
          <w:u w:val="single"/>
        </w:rPr>
        <w:t xml:space="preserve"> </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12.3.4 总价合同的计量</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关于总价合同计量的约定：</w:t>
      </w:r>
      <w:r>
        <w:rPr>
          <w:rFonts w:hint="eastAsia" w:cs="宋体"/>
          <w:color w:val="0000FF"/>
          <w:sz w:val="21"/>
          <w:szCs w:val="21"/>
          <w:highlight w:val="none"/>
          <w:u w:val="single"/>
        </w:rPr>
        <w:t>执行通用合同条款</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12.3.5总价合同采用支付分解表计量支付的，是否适用第12.3.4 项〔总价合同的计量〕约定进行计量：</w:t>
      </w:r>
      <w:r>
        <w:rPr>
          <w:rFonts w:hint="eastAsia" w:cs="宋体"/>
          <w:color w:val="0000FF"/>
          <w:sz w:val="21"/>
          <w:szCs w:val="21"/>
          <w:highlight w:val="none"/>
          <w:u w:val="single"/>
          <w:lang w:eastAsia="zh-CN"/>
        </w:rPr>
        <w:t>适用</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12.3.6 其他价格形式合同的计量</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其他价格形式的计量方式和程序：</w:t>
      </w:r>
      <w:r>
        <w:rPr>
          <w:rFonts w:hint="eastAsia" w:cs="宋体"/>
          <w:color w:val="auto"/>
          <w:sz w:val="21"/>
          <w:szCs w:val="21"/>
          <w:highlight w:val="none"/>
          <w:u w:val="single"/>
        </w:rPr>
        <w:t xml:space="preserve"> </w:t>
      </w:r>
      <w:r>
        <w:rPr>
          <w:rFonts w:hint="eastAsia" w:cs="宋体"/>
          <w:color w:val="0000FF"/>
          <w:sz w:val="21"/>
          <w:szCs w:val="21"/>
          <w:highlight w:val="none"/>
          <w:u w:val="single"/>
          <w:lang w:val="en-US" w:eastAsia="zh-CN"/>
        </w:rPr>
        <w:t>/</w:t>
      </w:r>
      <w:r>
        <w:rPr>
          <w:rFonts w:hint="eastAsia" w:cs="宋体"/>
          <w:color w:val="auto"/>
          <w:sz w:val="21"/>
          <w:szCs w:val="21"/>
          <w:highlight w:val="none"/>
          <w:u w:val="single"/>
        </w:rPr>
        <w:t xml:space="preserve"> </w:t>
      </w:r>
      <w:r>
        <w:rPr>
          <w:rFonts w:hint="eastAsia" w:cs="宋体"/>
          <w:color w:val="auto"/>
          <w:sz w:val="21"/>
          <w:szCs w:val="21"/>
          <w:highlight w:val="none"/>
        </w:rPr>
        <w:t>。</w:t>
      </w:r>
    </w:p>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12.4 工程进度款支付</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12.4.1 付款周期</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关于付款周期的约定：</w:t>
      </w:r>
      <w:r>
        <w:rPr>
          <w:rFonts w:hint="eastAsia" w:cs="宋体"/>
          <w:color w:val="0000FF"/>
          <w:sz w:val="21"/>
          <w:szCs w:val="21"/>
          <w:highlight w:val="none"/>
          <w:u w:val="single"/>
        </w:rPr>
        <w:t>月进度拨付款，且执行专用合同条款有关内容</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12.4.2 进度付款申请单的编制</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关于进度付款申请单编制的约定：</w:t>
      </w:r>
      <w:r>
        <w:rPr>
          <w:rFonts w:hint="eastAsia" w:cs="宋体"/>
          <w:color w:val="0000FF"/>
          <w:sz w:val="21"/>
          <w:szCs w:val="21"/>
          <w:highlight w:val="none"/>
          <w:u w:val="single"/>
        </w:rPr>
        <w:t>执行通用合同条款</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12.4.3 进度付款申请单的提交</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（1）单价合同进度付款申请单提交的约定：</w:t>
      </w:r>
      <w:r>
        <w:rPr>
          <w:rFonts w:hint="eastAsia" w:cs="宋体"/>
          <w:color w:val="auto"/>
          <w:sz w:val="21"/>
          <w:szCs w:val="21"/>
          <w:highlight w:val="none"/>
          <w:u w:val="single"/>
        </w:rPr>
        <w:t xml:space="preserve"> </w:t>
      </w:r>
      <w:r>
        <w:rPr>
          <w:rFonts w:hint="eastAsia" w:cs="宋体"/>
          <w:color w:val="0000FF"/>
          <w:sz w:val="21"/>
          <w:szCs w:val="21"/>
          <w:highlight w:val="none"/>
          <w:u w:val="single"/>
          <w:lang w:val="en-US" w:eastAsia="zh-CN"/>
        </w:rPr>
        <w:t>/</w:t>
      </w:r>
      <w:r>
        <w:rPr>
          <w:rFonts w:hint="eastAsia" w:cs="宋体"/>
          <w:color w:val="auto"/>
          <w:sz w:val="21"/>
          <w:szCs w:val="21"/>
          <w:highlight w:val="none"/>
          <w:u w:val="single"/>
        </w:rPr>
        <w:t xml:space="preserve"> </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（2）总价合同进度付款申请单提交的约定：</w:t>
      </w:r>
      <w:r>
        <w:rPr>
          <w:rFonts w:hint="eastAsia" w:cs="宋体"/>
          <w:color w:val="0000FF"/>
          <w:sz w:val="21"/>
          <w:szCs w:val="21"/>
          <w:highlight w:val="none"/>
          <w:u w:val="single"/>
        </w:rPr>
        <w:t>执行通用合同条款</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（3）其他价格形式合同进度付款申请单提交的约定：</w:t>
      </w:r>
      <w:r>
        <w:rPr>
          <w:rFonts w:hint="eastAsia" w:cs="宋体"/>
          <w:color w:val="auto"/>
          <w:sz w:val="21"/>
          <w:szCs w:val="21"/>
          <w:highlight w:val="none"/>
          <w:u w:val="single"/>
        </w:rPr>
        <w:t xml:space="preserve"> </w:t>
      </w:r>
      <w:r>
        <w:rPr>
          <w:rFonts w:hint="eastAsia" w:cs="宋体"/>
          <w:color w:val="0000FF"/>
          <w:sz w:val="21"/>
          <w:szCs w:val="21"/>
          <w:highlight w:val="none"/>
          <w:u w:val="single"/>
          <w:lang w:val="en-US" w:eastAsia="zh-CN"/>
        </w:rPr>
        <w:t>/</w:t>
      </w:r>
      <w:r>
        <w:rPr>
          <w:rFonts w:hint="eastAsia" w:cs="宋体"/>
          <w:color w:val="auto"/>
          <w:sz w:val="21"/>
          <w:szCs w:val="21"/>
          <w:highlight w:val="none"/>
          <w:u w:val="single"/>
        </w:rPr>
        <w:t xml:space="preserve"> </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12.4.4 进度款审核和支付</w:t>
      </w:r>
    </w:p>
    <w:p>
      <w:pPr>
        <w:adjustRightInd w:val="0"/>
        <w:spacing w:line="360" w:lineRule="auto"/>
        <w:ind w:firstLine="420" w:firstLineChars="200"/>
        <w:jc w:val="left"/>
        <w:textAlignment w:val="baseline"/>
        <w:rPr>
          <w:rFonts w:cs="宋体"/>
          <w:color w:val="auto"/>
          <w:sz w:val="21"/>
          <w:szCs w:val="21"/>
          <w:highlight w:val="none"/>
          <w:u w:val="single"/>
        </w:rPr>
      </w:pPr>
      <w:r>
        <w:rPr>
          <w:rFonts w:hint="eastAsia" w:cs="宋体"/>
          <w:color w:val="auto"/>
          <w:sz w:val="21"/>
          <w:szCs w:val="21"/>
          <w:highlight w:val="none"/>
        </w:rPr>
        <w:t>（1）监理人审查并报送发包人的期限：</w:t>
      </w:r>
      <w:r>
        <w:rPr>
          <w:rFonts w:hint="eastAsia" w:cs="宋体"/>
          <w:color w:val="0000FF"/>
          <w:sz w:val="21"/>
          <w:szCs w:val="21"/>
          <w:highlight w:val="none"/>
          <w:u w:val="single"/>
        </w:rPr>
        <w:t>收到承包人进度付款申请单后7个工作日内</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发包人完成审批并签发进度款支付证书的期限：</w:t>
      </w:r>
      <w:r>
        <w:rPr>
          <w:rFonts w:hint="eastAsia" w:cs="宋体"/>
          <w:color w:val="0000FF"/>
          <w:sz w:val="21"/>
          <w:szCs w:val="21"/>
          <w:highlight w:val="none"/>
          <w:u w:val="single"/>
        </w:rPr>
        <w:t>收到监理人审查意见后7个工作日内</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（2）发包人支付进度款的期限：</w:t>
      </w:r>
      <w:r>
        <w:rPr>
          <w:rFonts w:hint="eastAsia" w:cs="宋体"/>
          <w:color w:val="0000FF"/>
          <w:sz w:val="21"/>
          <w:szCs w:val="21"/>
          <w:highlight w:val="none"/>
          <w:u w:val="single"/>
        </w:rPr>
        <w:t>在签发进度款支付证书后7个工作日内</w:t>
      </w:r>
      <w:r>
        <w:rPr>
          <w:rFonts w:hint="eastAsia" w:cs="宋体"/>
          <w:color w:val="auto"/>
          <w:sz w:val="21"/>
          <w:szCs w:val="21"/>
          <w:highlight w:val="none"/>
        </w:rPr>
        <w:t>。</w:t>
      </w:r>
    </w:p>
    <w:p>
      <w:pPr>
        <w:adjustRightInd w:val="0"/>
        <w:spacing w:line="360" w:lineRule="auto"/>
        <w:ind w:firstLine="525" w:firstLineChars="250"/>
        <w:jc w:val="left"/>
        <w:textAlignment w:val="baseline"/>
        <w:rPr>
          <w:rFonts w:cs="宋体"/>
          <w:color w:val="auto"/>
          <w:sz w:val="21"/>
          <w:szCs w:val="21"/>
          <w:highlight w:val="none"/>
        </w:rPr>
      </w:pPr>
      <w:r>
        <w:rPr>
          <w:rFonts w:hint="eastAsia" w:cs="宋体"/>
          <w:color w:val="auto"/>
          <w:sz w:val="21"/>
          <w:szCs w:val="21"/>
          <w:highlight w:val="none"/>
        </w:rPr>
        <w:t>发包人逾期支付进度款的违约金的计算方式：</w:t>
      </w:r>
      <w:r>
        <w:rPr>
          <w:rFonts w:hint="eastAsia" w:hAnsi="Times New Roman"/>
          <w:color w:val="auto"/>
          <w:sz w:val="21"/>
          <w:szCs w:val="21"/>
          <w:highlight w:val="none"/>
          <w:u w:val="single"/>
        </w:rPr>
        <w:t xml:space="preserve"> </w:t>
      </w:r>
      <w:r>
        <w:rPr>
          <w:rFonts w:hint="eastAsia" w:cs="宋体"/>
          <w:color w:val="0000FF"/>
          <w:sz w:val="21"/>
          <w:szCs w:val="21"/>
          <w:highlight w:val="none"/>
          <w:u w:val="single"/>
          <w:lang w:val="en-US" w:eastAsia="zh-CN"/>
        </w:rPr>
        <w:t>/</w:t>
      </w:r>
      <w:r>
        <w:rPr>
          <w:rFonts w:hint="eastAsia" w:hAnsi="Times New Roman"/>
          <w:color w:val="auto"/>
          <w:sz w:val="21"/>
          <w:szCs w:val="21"/>
          <w:highlight w:val="none"/>
          <w:u w:val="single"/>
        </w:rPr>
        <w:t xml:space="preserve"> </w:t>
      </w:r>
      <w:r>
        <w:rPr>
          <w:rFonts w:hint="eastAsia" w:cs="宋体"/>
          <w:color w:val="auto"/>
          <w:sz w:val="21"/>
          <w:szCs w:val="21"/>
          <w:highlight w:val="none"/>
        </w:rPr>
        <w:t>。</w:t>
      </w:r>
    </w:p>
    <w:p>
      <w:pPr>
        <w:adjustRightInd w:val="0"/>
        <w:spacing w:line="360" w:lineRule="auto"/>
        <w:ind w:firstLine="525" w:firstLineChars="250"/>
        <w:jc w:val="left"/>
        <w:textAlignment w:val="baseline"/>
        <w:rPr>
          <w:rFonts w:cs="宋体"/>
          <w:color w:val="auto"/>
          <w:sz w:val="21"/>
          <w:szCs w:val="21"/>
          <w:highlight w:val="none"/>
        </w:rPr>
      </w:pPr>
      <w:r>
        <w:rPr>
          <w:rFonts w:hint="eastAsia" w:cs="宋体"/>
          <w:color w:val="auto"/>
          <w:sz w:val="21"/>
          <w:szCs w:val="21"/>
          <w:highlight w:val="none"/>
        </w:rPr>
        <w:t>12.4.6 支付分解表的编制</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2、总价合同支付分解表的编制与审批：</w:t>
      </w:r>
      <w:r>
        <w:rPr>
          <w:rFonts w:hint="eastAsia" w:cs="宋体"/>
          <w:color w:val="0000FF"/>
          <w:sz w:val="21"/>
          <w:szCs w:val="21"/>
          <w:highlight w:val="none"/>
          <w:u w:val="single"/>
        </w:rPr>
        <w:t>执行通用合同条款</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3、单价合同的总价项目支付分解表的编制与审批：</w:t>
      </w:r>
      <w:r>
        <w:rPr>
          <w:rFonts w:hint="eastAsia" w:cs="宋体"/>
          <w:color w:val="auto"/>
          <w:sz w:val="21"/>
          <w:szCs w:val="21"/>
          <w:highlight w:val="none"/>
          <w:u w:val="single"/>
        </w:rPr>
        <w:t xml:space="preserve"> </w:t>
      </w:r>
      <w:r>
        <w:rPr>
          <w:rFonts w:hint="eastAsia" w:cs="宋体"/>
          <w:color w:val="0000FF"/>
          <w:sz w:val="21"/>
          <w:szCs w:val="21"/>
          <w:highlight w:val="none"/>
          <w:u w:val="single"/>
          <w:lang w:val="en-US" w:eastAsia="zh-CN"/>
        </w:rPr>
        <w:t>/</w:t>
      </w:r>
      <w:r>
        <w:rPr>
          <w:rFonts w:hint="eastAsia" w:cs="宋体"/>
          <w:color w:val="auto"/>
          <w:sz w:val="21"/>
          <w:szCs w:val="21"/>
          <w:highlight w:val="none"/>
          <w:u w:val="single"/>
        </w:rPr>
        <w:t xml:space="preserve"> </w:t>
      </w:r>
      <w:r>
        <w:rPr>
          <w:rFonts w:hint="eastAsia" w:cs="宋体"/>
          <w:color w:val="auto"/>
          <w:sz w:val="21"/>
          <w:szCs w:val="21"/>
          <w:highlight w:val="none"/>
        </w:rPr>
        <w:t>。</w:t>
      </w:r>
    </w:p>
    <w:p>
      <w:pPr>
        <w:keepNext/>
        <w:keepLines/>
        <w:adjustRightInd w:val="0"/>
        <w:spacing w:beforeLines="50" w:line="360" w:lineRule="auto"/>
        <w:textAlignment w:val="baseline"/>
        <w:outlineLvl w:val="4"/>
        <w:rPr>
          <w:rFonts w:cs="宋体"/>
          <w:b/>
          <w:bCs/>
          <w:color w:val="auto"/>
          <w:sz w:val="21"/>
          <w:szCs w:val="21"/>
          <w:highlight w:val="none"/>
        </w:rPr>
      </w:pPr>
      <w:r>
        <w:rPr>
          <w:rFonts w:hint="eastAsia" w:cs="宋体"/>
          <w:b/>
          <w:bCs/>
          <w:color w:val="auto"/>
          <w:sz w:val="21"/>
          <w:szCs w:val="21"/>
          <w:highlight w:val="none"/>
        </w:rPr>
        <w:t>1</w:t>
      </w:r>
      <w:bookmarkStart w:id="1372" w:name="_Toc63471479"/>
      <w:bookmarkStart w:id="1373" w:name="_Toc13309397"/>
      <w:r>
        <w:rPr>
          <w:rFonts w:hint="eastAsia" w:cs="宋体"/>
          <w:b/>
          <w:bCs/>
          <w:color w:val="auto"/>
          <w:sz w:val="21"/>
          <w:szCs w:val="21"/>
          <w:highlight w:val="none"/>
        </w:rPr>
        <w:t>3. 验收和工程试车</w:t>
      </w:r>
    </w:p>
    <w:bookmarkEnd w:id="1372"/>
    <w:bookmarkEnd w:id="1373"/>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13.1 分部分项工程验收</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13.1.2监理人不能按时进行验收时，应提前</w:t>
      </w:r>
      <w:r>
        <w:rPr>
          <w:rFonts w:hint="eastAsia" w:cs="宋体"/>
          <w:color w:val="auto"/>
          <w:sz w:val="21"/>
          <w:szCs w:val="21"/>
          <w:highlight w:val="none"/>
          <w:u w:val="single"/>
        </w:rPr>
        <w:t xml:space="preserve"> </w:t>
      </w:r>
      <w:r>
        <w:rPr>
          <w:rFonts w:hint="eastAsia" w:cs="宋体"/>
          <w:color w:val="0000FF"/>
          <w:sz w:val="21"/>
          <w:szCs w:val="21"/>
          <w:highlight w:val="none"/>
          <w:u w:val="single"/>
          <w:lang w:val="en-US" w:eastAsia="zh-CN"/>
        </w:rPr>
        <w:t>24</w:t>
      </w:r>
      <w:r>
        <w:rPr>
          <w:rFonts w:hint="eastAsia" w:cs="宋体"/>
          <w:color w:val="auto"/>
          <w:sz w:val="21"/>
          <w:szCs w:val="21"/>
          <w:highlight w:val="none"/>
          <w:u w:val="single"/>
        </w:rPr>
        <w:t xml:space="preserve"> </w:t>
      </w:r>
      <w:r>
        <w:rPr>
          <w:rFonts w:hint="eastAsia" w:cs="宋体"/>
          <w:color w:val="auto"/>
          <w:sz w:val="21"/>
          <w:szCs w:val="21"/>
          <w:highlight w:val="none"/>
        </w:rPr>
        <w:t>小时提交书面延期要求。</w:t>
      </w:r>
    </w:p>
    <w:p>
      <w:pPr>
        <w:adjustRightInd w:val="0"/>
        <w:spacing w:line="360" w:lineRule="auto"/>
        <w:ind w:firstLine="420" w:firstLineChars="200"/>
        <w:jc w:val="left"/>
        <w:textAlignment w:val="baseline"/>
        <w:rPr>
          <w:rFonts w:cs="宋体"/>
          <w:b/>
          <w:color w:val="auto"/>
          <w:sz w:val="21"/>
          <w:szCs w:val="21"/>
          <w:highlight w:val="none"/>
        </w:rPr>
      </w:pPr>
      <w:r>
        <w:rPr>
          <w:rFonts w:hint="eastAsia" w:cs="宋体"/>
          <w:color w:val="auto"/>
          <w:sz w:val="21"/>
          <w:szCs w:val="21"/>
          <w:highlight w:val="none"/>
        </w:rPr>
        <w:t>关于延期最长不得超过：</w:t>
      </w:r>
      <w:r>
        <w:rPr>
          <w:rFonts w:hint="eastAsia" w:cs="宋体"/>
          <w:color w:val="auto"/>
          <w:sz w:val="21"/>
          <w:szCs w:val="21"/>
          <w:highlight w:val="none"/>
          <w:u w:val="single"/>
        </w:rPr>
        <w:t xml:space="preserve">  </w:t>
      </w:r>
      <w:r>
        <w:rPr>
          <w:rFonts w:hint="eastAsia" w:cs="宋体"/>
          <w:color w:val="0000FF"/>
          <w:sz w:val="21"/>
          <w:szCs w:val="21"/>
          <w:highlight w:val="none"/>
          <w:u w:val="single"/>
          <w:lang w:val="en-US" w:eastAsia="zh-CN"/>
        </w:rPr>
        <w:t>48</w:t>
      </w:r>
      <w:r>
        <w:rPr>
          <w:rFonts w:hint="eastAsia" w:cs="宋体"/>
          <w:color w:val="auto"/>
          <w:sz w:val="21"/>
          <w:szCs w:val="21"/>
          <w:highlight w:val="none"/>
          <w:u w:val="single"/>
        </w:rPr>
        <w:t xml:space="preserve">  </w:t>
      </w:r>
      <w:r>
        <w:rPr>
          <w:rFonts w:hint="eastAsia" w:cs="宋体"/>
          <w:color w:val="auto"/>
          <w:sz w:val="21"/>
          <w:szCs w:val="21"/>
          <w:highlight w:val="none"/>
        </w:rPr>
        <w:t>小时。</w:t>
      </w:r>
    </w:p>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13.2 竣工验收</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13.2.2竣工验收程序</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关于竣工验收程序的约定：</w:t>
      </w:r>
      <w:r>
        <w:rPr>
          <w:rFonts w:hint="eastAsia" w:cs="宋体"/>
          <w:color w:val="0000FF"/>
          <w:sz w:val="21"/>
          <w:szCs w:val="21"/>
          <w:highlight w:val="none"/>
          <w:u w:val="single"/>
        </w:rPr>
        <w:t>执行通用合同条款</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u w:val="single"/>
        </w:rPr>
      </w:pPr>
      <w:r>
        <w:rPr>
          <w:rFonts w:hint="eastAsia" w:cs="宋体"/>
          <w:color w:val="auto"/>
          <w:sz w:val="21"/>
          <w:szCs w:val="21"/>
          <w:highlight w:val="none"/>
        </w:rPr>
        <w:t>发包人不按照本项约定组织竣工验收、颁发工程接收证书的违约金的计算方法：</w:t>
      </w:r>
      <w:r>
        <w:rPr>
          <w:rFonts w:hint="eastAsia" w:cs="宋体"/>
          <w:color w:val="0000FF"/>
          <w:sz w:val="21"/>
          <w:szCs w:val="21"/>
          <w:highlight w:val="none"/>
          <w:u w:val="single"/>
        </w:rPr>
        <w:t>执行通用合同条款</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13.2.5移交、接收全部与部分工程</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承包人向发包人移交工程的期限：</w:t>
      </w:r>
      <w:r>
        <w:rPr>
          <w:rFonts w:hint="eastAsia" w:cs="宋体"/>
          <w:color w:val="0000FF"/>
          <w:sz w:val="21"/>
          <w:szCs w:val="21"/>
          <w:highlight w:val="none"/>
          <w:u w:val="single"/>
        </w:rPr>
        <w:t>在发包人颁发工程接收证书后7天内</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u w:val="single"/>
        </w:rPr>
      </w:pPr>
      <w:r>
        <w:rPr>
          <w:rFonts w:hint="eastAsia" w:cs="宋体"/>
          <w:color w:val="auto"/>
          <w:sz w:val="21"/>
          <w:szCs w:val="21"/>
          <w:highlight w:val="none"/>
        </w:rPr>
        <w:t>发包人未按本合同约定接收全部或部分工程的，违约金的计算方法为：</w:t>
      </w:r>
      <w:r>
        <w:rPr>
          <w:rFonts w:hint="eastAsia" w:cs="宋体"/>
          <w:color w:val="0000FF"/>
          <w:sz w:val="21"/>
          <w:szCs w:val="21"/>
          <w:highlight w:val="none"/>
          <w:u w:val="single"/>
        </w:rPr>
        <w:t>执行通用合同条款</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承包人未按时移交工程的，违约金的计算方法为：</w:t>
      </w:r>
      <w:r>
        <w:rPr>
          <w:rFonts w:hint="eastAsia" w:cs="宋体"/>
          <w:color w:val="0000FF"/>
          <w:sz w:val="21"/>
          <w:szCs w:val="21"/>
          <w:highlight w:val="none"/>
          <w:u w:val="single"/>
        </w:rPr>
        <w:t>承包人承担保管费用外，还应当按照签约合同价日万分之五计算违约金</w:t>
      </w:r>
      <w:r>
        <w:rPr>
          <w:rFonts w:hint="eastAsia" w:cs="宋体"/>
          <w:color w:val="auto"/>
          <w:sz w:val="21"/>
          <w:szCs w:val="21"/>
          <w:highlight w:val="none"/>
        </w:rPr>
        <w:t>。</w:t>
      </w:r>
    </w:p>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13.3 工程试车</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13.3.1 试车程序</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工程试车内容：</w:t>
      </w:r>
      <w:r>
        <w:rPr>
          <w:rFonts w:hint="eastAsia" w:cs="宋体"/>
          <w:color w:val="0000FF"/>
          <w:sz w:val="21"/>
          <w:szCs w:val="21"/>
          <w:highlight w:val="none"/>
          <w:u w:val="single"/>
        </w:rPr>
        <w:t>本工程中的调试的费用均由承包人承担，其费用包含承包范围内安装工程的调试及与整个工程联动调试中的用电、用水、人工、材料、设备等所有费用，所有调试费用承包人已计入在合同总价内</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（1）单机无负荷试车费用由</w:t>
      </w:r>
      <w:r>
        <w:rPr>
          <w:rFonts w:hint="eastAsia" w:cs="宋体"/>
          <w:color w:val="auto"/>
          <w:sz w:val="21"/>
          <w:szCs w:val="21"/>
          <w:highlight w:val="none"/>
          <w:u w:val="single"/>
        </w:rPr>
        <w:t xml:space="preserve"> </w:t>
      </w:r>
      <w:r>
        <w:rPr>
          <w:rFonts w:hint="eastAsia" w:cs="宋体"/>
          <w:color w:val="0000FF"/>
          <w:sz w:val="21"/>
          <w:szCs w:val="21"/>
          <w:highlight w:val="none"/>
          <w:u w:val="single"/>
        </w:rPr>
        <w:t>承包人</w:t>
      </w:r>
      <w:r>
        <w:rPr>
          <w:rFonts w:hint="eastAsia" w:hAnsi="Times New Roman"/>
          <w:color w:val="auto"/>
          <w:sz w:val="21"/>
          <w:szCs w:val="21"/>
          <w:highlight w:val="none"/>
          <w:u w:val="single"/>
        </w:rPr>
        <w:t xml:space="preserve"> </w:t>
      </w:r>
      <w:r>
        <w:rPr>
          <w:rFonts w:hint="eastAsia" w:cs="宋体"/>
          <w:color w:val="auto"/>
          <w:sz w:val="21"/>
          <w:szCs w:val="21"/>
          <w:highlight w:val="none"/>
        </w:rPr>
        <w:t>承担；</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（2）无负荷联动试车费用由</w:t>
      </w:r>
      <w:r>
        <w:rPr>
          <w:rFonts w:hint="eastAsia" w:cs="宋体"/>
          <w:color w:val="auto"/>
          <w:sz w:val="21"/>
          <w:szCs w:val="21"/>
          <w:highlight w:val="none"/>
          <w:u w:val="single"/>
        </w:rPr>
        <w:t xml:space="preserve"> </w:t>
      </w:r>
      <w:r>
        <w:rPr>
          <w:rFonts w:hint="eastAsia" w:cs="宋体"/>
          <w:color w:val="0000FF"/>
          <w:sz w:val="21"/>
          <w:szCs w:val="21"/>
          <w:highlight w:val="none"/>
          <w:u w:val="single"/>
        </w:rPr>
        <w:t>承包人</w:t>
      </w:r>
      <w:r>
        <w:rPr>
          <w:rFonts w:hint="eastAsia" w:cs="宋体"/>
          <w:color w:val="auto"/>
          <w:sz w:val="21"/>
          <w:szCs w:val="21"/>
          <w:highlight w:val="none"/>
          <w:u w:val="single"/>
        </w:rPr>
        <w:t xml:space="preserve"> </w:t>
      </w:r>
      <w:r>
        <w:rPr>
          <w:rFonts w:hint="eastAsia" w:cs="宋体"/>
          <w:color w:val="auto"/>
          <w:sz w:val="21"/>
          <w:szCs w:val="21"/>
          <w:highlight w:val="none"/>
        </w:rPr>
        <w:t>承担。</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13.3.3 投料试车</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关于投料试车相关事项的约定：</w:t>
      </w:r>
      <w:r>
        <w:rPr>
          <w:rFonts w:hint="eastAsia" w:cs="宋体"/>
          <w:color w:val="0000FF"/>
          <w:sz w:val="21"/>
          <w:szCs w:val="21"/>
          <w:highlight w:val="none"/>
          <w:u w:val="single"/>
        </w:rPr>
        <w:t>执行通用合同条款</w:t>
      </w:r>
      <w:r>
        <w:rPr>
          <w:rFonts w:hint="eastAsia" w:cs="宋体"/>
          <w:color w:val="auto"/>
          <w:sz w:val="21"/>
          <w:szCs w:val="21"/>
          <w:highlight w:val="none"/>
        </w:rPr>
        <w:t>。</w:t>
      </w:r>
    </w:p>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13.6 竣工退场</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13.6.1 竣工退场</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承包人完成竣工退场的期限：</w:t>
      </w:r>
      <w:r>
        <w:rPr>
          <w:rFonts w:hint="eastAsia" w:cs="宋体"/>
          <w:color w:val="0000FF"/>
          <w:sz w:val="21"/>
          <w:szCs w:val="21"/>
          <w:highlight w:val="none"/>
          <w:u w:val="single"/>
        </w:rPr>
        <w:t>在发包人接收工程后10天内退场，承包人应自行拆除施工临时设施，撤退施工机械设备并清理场地，修复场内施工便道及周边临时开口的交通道路，撤离所有施工人员，交出所有钥匙；如逾期，则竣工日期以实际完成前述全部工作之日为准，承包人并应按逾期天数按日按人民币3000元的标准向发包人支付违约金；同时，发包人有权采取强制手段清除现场，施工现场内尚未搬离的所有机械设备、材料和临时设施等均视为承包人抛弃物，发包人有权自行处置，无须征得承包人的许可或同意，因此所发生的费用从未付工程款中扣除</w:t>
      </w:r>
      <w:r>
        <w:rPr>
          <w:rFonts w:hint="eastAsia" w:cs="宋体"/>
          <w:color w:val="auto"/>
          <w:sz w:val="21"/>
          <w:szCs w:val="21"/>
          <w:highlight w:val="none"/>
        </w:rPr>
        <w:t>。</w:t>
      </w:r>
    </w:p>
    <w:p>
      <w:pPr>
        <w:keepNext/>
        <w:keepLines/>
        <w:adjustRightInd w:val="0"/>
        <w:spacing w:beforeLines="50" w:line="360" w:lineRule="auto"/>
        <w:textAlignment w:val="baseline"/>
        <w:outlineLvl w:val="4"/>
        <w:rPr>
          <w:rFonts w:cs="宋体"/>
          <w:b/>
          <w:bCs/>
          <w:color w:val="auto"/>
          <w:sz w:val="21"/>
          <w:szCs w:val="21"/>
          <w:highlight w:val="none"/>
        </w:rPr>
      </w:pPr>
      <w:r>
        <w:rPr>
          <w:rFonts w:hint="eastAsia" w:cs="宋体"/>
          <w:b/>
          <w:bCs/>
          <w:color w:val="auto"/>
          <w:sz w:val="21"/>
          <w:szCs w:val="21"/>
          <w:highlight w:val="none"/>
        </w:rPr>
        <w:t>1</w:t>
      </w:r>
      <w:bookmarkStart w:id="1374" w:name="_Toc13309398"/>
      <w:bookmarkStart w:id="1375" w:name="_Toc63471480"/>
      <w:r>
        <w:rPr>
          <w:rFonts w:hint="eastAsia" w:cs="宋体"/>
          <w:b/>
          <w:bCs/>
          <w:color w:val="auto"/>
          <w:sz w:val="21"/>
          <w:szCs w:val="21"/>
          <w:highlight w:val="none"/>
        </w:rPr>
        <w:t>4. 过程结算和竣工结算</w:t>
      </w:r>
    </w:p>
    <w:bookmarkEnd w:id="1374"/>
    <w:bookmarkEnd w:id="1375"/>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14.1 过程结算</w:t>
      </w:r>
    </w:p>
    <w:p>
      <w:pPr>
        <w:adjustRightInd w:val="0"/>
        <w:spacing w:line="360" w:lineRule="auto"/>
        <w:ind w:firstLine="420" w:firstLineChars="200"/>
        <w:jc w:val="left"/>
        <w:textAlignment w:val="baseline"/>
        <w:rPr>
          <w:rFonts w:cs="宋体"/>
          <w:color w:val="auto"/>
          <w:sz w:val="21"/>
          <w:szCs w:val="21"/>
          <w:highlight w:val="none"/>
          <w:u w:val="single"/>
        </w:rPr>
      </w:pPr>
      <w:r>
        <w:rPr>
          <w:rFonts w:hint="eastAsia" w:cs="宋体"/>
          <w:color w:val="auto"/>
          <w:sz w:val="21"/>
          <w:szCs w:val="21"/>
          <w:highlight w:val="none"/>
        </w:rPr>
        <w:t>14.1.1过程结算节点如下：</w:t>
      </w:r>
      <w:r>
        <w:rPr>
          <w:rFonts w:hint="eastAsia" w:cs="宋体"/>
          <w:color w:val="auto"/>
          <w:sz w:val="21"/>
          <w:szCs w:val="21"/>
          <w:highlight w:val="none"/>
          <w:u w:val="single"/>
        </w:rPr>
        <w:t xml:space="preserve">  </w:t>
      </w:r>
      <w:r>
        <w:rPr>
          <w:rFonts w:hint="eastAsia" w:cs="宋体"/>
          <w:color w:val="0000FF"/>
          <w:sz w:val="21"/>
          <w:szCs w:val="21"/>
          <w:highlight w:val="none"/>
          <w:u w:val="single"/>
          <w:lang w:val="en-US" w:eastAsia="zh-CN"/>
        </w:rPr>
        <w:t>/</w:t>
      </w:r>
      <w:r>
        <w:rPr>
          <w:rFonts w:hint="eastAsia" w:cs="宋体"/>
          <w:color w:val="auto"/>
          <w:sz w:val="21"/>
          <w:szCs w:val="21"/>
          <w:highlight w:val="none"/>
          <w:u w:val="single"/>
        </w:rPr>
        <w:t xml:space="preserve">  </w:t>
      </w:r>
      <w:r>
        <w:rPr>
          <w:rFonts w:hint="eastAsia" w:cs="宋体"/>
          <w:color w:val="auto"/>
          <w:sz w:val="21"/>
          <w:szCs w:val="21"/>
          <w:highlight w:val="none"/>
        </w:rPr>
        <w:t>。</w:t>
      </w:r>
    </w:p>
    <w:p>
      <w:pPr>
        <w:adjustRightInd w:val="0"/>
        <w:spacing w:line="360" w:lineRule="auto"/>
        <w:ind w:firstLine="420" w:firstLineChars="200"/>
        <w:jc w:val="left"/>
        <w:textAlignment w:val="baseline"/>
        <w:rPr>
          <w:rFonts w:hint="default" w:cs="宋体"/>
          <w:color w:val="0000FF"/>
          <w:sz w:val="21"/>
          <w:szCs w:val="21"/>
          <w:highlight w:val="none"/>
          <w:u w:val="single"/>
          <w:lang w:val="en-US" w:eastAsia="zh-CN"/>
        </w:rPr>
      </w:pPr>
      <w:r>
        <w:rPr>
          <w:rFonts w:hint="eastAsia" w:cs="宋体"/>
          <w:color w:val="auto"/>
          <w:sz w:val="21"/>
          <w:szCs w:val="21"/>
          <w:highlight w:val="none"/>
        </w:rPr>
        <w:t>14.1.2当期过程结算价款内容包括：</w:t>
      </w:r>
      <w:r>
        <w:rPr>
          <w:rFonts w:hint="eastAsia" w:cs="宋体"/>
          <w:color w:val="auto"/>
          <w:sz w:val="21"/>
          <w:szCs w:val="21"/>
          <w:highlight w:val="none"/>
          <w:u w:val="single"/>
          <w:lang w:val="en-US" w:eastAsia="zh-CN"/>
        </w:rPr>
        <w:t xml:space="preserve"> </w:t>
      </w:r>
      <w:r>
        <w:rPr>
          <w:rFonts w:hint="eastAsia" w:cs="宋体"/>
          <w:color w:val="0000FF"/>
          <w:sz w:val="21"/>
          <w:szCs w:val="21"/>
          <w:highlight w:val="none"/>
          <w:u w:val="single"/>
          <w:lang w:val="en-US" w:eastAsia="zh-CN"/>
        </w:rPr>
        <w:t xml:space="preserve">/ </w:t>
      </w:r>
      <w:r>
        <w:rPr>
          <w:rFonts w:hint="eastAsia" w:cs="宋体"/>
          <w:color w:val="0000FF"/>
          <w:sz w:val="21"/>
          <w:szCs w:val="21"/>
          <w:highlight w:val="none"/>
          <w:u w:val="none"/>
          <w:lang w:val="en-US" w:eastAsia="zh-CN"/>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14.1.3.承包人提交过程结算申请文件的期限：</w:t>
      </w:r>
      <w:r>
        <w:rPr>
          <w:rFonts w:hint="eastAsia" w:cs="宋体"/>
          <w:color w:val="auto"/>
          <w:sz w:val="21"/>
          <w:szCs w:val="21"/>
          <w:highlight w:val="none"/>
          <w:u w:val="single"/>
        </w:rPr>
        <w:t xml:space="preserve"> </w:t>
      </w:r>
      <w:r>
        <w:rPr>
          <w:rFonts w:hint="eastAsia" w:cs="宋体"/>
          <w:color w:val="0000FF"/>
          <w:sz w:val="21"/>
          <w:szCs w:val="21"/>
          <w:highlight w:val="none"/>
          <w:u w:val="single"/>
          <w:lang w:val="en-US" w:eastAsia="zh-CN"/>
        </w:rPr>
        <w:t>/</w:t>
      </w:r>
      <w:r>
        <w:rPr>
          <w:rFonts w:hint="eastAsia" w:cs="宋体"/>
          <w:color w:val="auto"/>
          <w:sz w:val="21"/>
          <w:szCs w:val="21"/>
          <w:highlight w:val="none"/>
          <w:u w:val="single"/>
        </w:rPr>
        <w:t xml:space="preserve"> </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过程结算资料清单和份数：</w:t>
      </w:r>
      <w:r>
        <w:rPr>
          <w:rFonts w:hint="eastAsia" w:cs="宋体"/>
          <w:color w:val="auto"/>
          <w:sz w:val="21"/>
          <w:szCs w:val="21"/>
          <w:highlight w:val="none"/>
          <w:u w:val="single"/>
          <w:lang w:val="en-US" w:eastAsia="zh-CN"/>
        </w:rPr>
        <w:t xml:space="preserve"> </w:t>
      </w:r>
      <w:r>
        <w:rPr>
          <w:rFonts w:hint="eastAsia" w:cs="宋体"/>
          <w:color w:val="0000FF"/>
          <w:sz w:val="21"/>
          <w:szCs w:val="21"/>
          <w:highlight w:val="none"/>
          <w:u w:val="single"/>
          <w:lang w:val="en-US" w:eastAsia="zh-CN"/>
        </w:rPr>
        <w:t xml:space="preserve">/ </w:t>
      </w:r>
      <w:r>
        <w:rPr>
          <w:rFonts w:hint="eastAsia" w:cs="宋体"/>
          <w:color w:val="0000FF"/>
          <w:sz w:val="21"/>
          <w:szCs w:val="21"/>
          <w:highlight w:val="none"/>
          <w:u w:val="none"/>
          <w:lang w:val="en-US" w:eastAsia="zh-CN"/>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过程结算申请清单包括：</w:t>
      </w:r>
      <w:r>
        <w:rPr>
          <w:rFonts w:hint="eastAsia" w:cs="宋体"/>
          <w:color w:val="auto"/>
          <w:sz w:val="21"/>
          <w:szCs w:val="21"/>
          <w:highlight w:val="none"/>
          <w:u w:val="single"/>
        </w:rPr>
        <w:t xml:space="preserve"> </w:t>
      </w:r>
      <w:r>
        <w:rPr>
          <w:rFonts w:hint="eastAsia" w:cs="宋体"/>
          <w:color w:val="0000FF"/>
          <w:sz w:val="21"/>
          <w:szCs w:val="21"/>
          <w:highlight w:val="none"/>
          <w:u w:val="single"/>
          <w:lang w:val="en-US" w:eastAsia="zh-CN"/>
        </w:rPr>
        <w:t>/</w:t>
      </w:r>
      <w:r>
        <w:rPr>
          <w:rFonts w:hint="eastAsia" w:cs="宋体"/>
          <w:color w:val="auto"/>
          <w:sz w:val="21"/>
          <w:szCs w:val="21"/>
          <w:highlight w:val="none"/>
          <w:u w:val="single"/>
        </w:rPr>
        <w:t xml:space="preserve"> </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14.1.4发包人审批过程结算申请文件的期限：</w:t>
      </w:r>
      <w:r>
        <w:rPr>
          <w:rFonts w:hint="eastAsia" w:cs="宋体"/>
          <w:color w:val="auto"/>
          <w:sz w:val="21"/>
          <w:szCs w:val="21"/>
          <w:highlight w:val="none"/>
          <w:u w:val="single"/>
        </w:rPr>
        <w:t xml:space="preserve"> </w:t>
      </w:r>
      <w:r>
        <w:rPr>
          <w:rFonts w:hint="eastAsia" w:cs="宋体"/>
          <w:color w:val="0000FF"/>
          <w:sz w:val="21"/>
          <w:szCs w:val="21"/>
          <w:highlight w:val="none"/>
          <w:u w:val="single"/>
          <w:lang w:val="en-US" w:eastAsia="zh-CN"/>
        </w:rPr>
        <w:t>/</w:t>
      </w:r>
      <w:r>
        <w:rPr>
          <w:rFonts w:hint="eastAsia" w:cs="宋体"/>
          <w:color w:val="auto"/>
          <w:sz w:val="21"/>
          <w:szCs w:val="21"/>
          <w:highlight w:val="none"/>
          <w:u w:val="single"/>
        </w:rPr>
        <w:t xml:space="preserve"> </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发包人完成付款的期限：</w:t>
      </w:r>
      <w:r>
        <w:rPr>
          <w:rFonts w:hint="eastAsia" w:cs="宋体"/>
          <w:color w:val="auto"/>
          <w:sz w:val="21"/>
          <w:szCs w:val="21"/>
          <w:highlight w:val="none"/>
          <w:u w:val="single"/>
        </w:rPr>
        <w:t xml:space="preserve"> </w:t>
      </w:r>
      <w:r>
        <w:rPr>
          <w:rFonts w:hint="eastAsia" w:cs="宋体"/>
          <w:color w:val="0000FF"/>
          <w:sz w:val="21"/>
          <w:szCs w:val="21"/>
          <w:highlight w:val="none"/>
          <w:u w:val="single"/>
          <w:lang w:val="en-US" w:eastAsia="zh-CN"/>
        </w:rPr>
        <w:t>/</w:t>
      </w:r>
      <w:r>
        <w:rPr>
          <w:rFonts w:hint="eastAsia" w:cs="宋体"/>
          <w:color w:val="auto"/>
          <w:sz w:val="21"/>
          <w:szCs w:val="21"/>
          <w:highlight w:val="none"/>
          <w:u w:val="single"/>
        </w:rPr>
        <w:t xml:space="preserve"> </w:t>
      </w:r>
      <w:r>
        <w:rPr>
          <w:rFonts w:hint="eastAsia" w:cs="宋体"/>
          <w:color w:val="auto"/>
          <w:sz w:val="21"/>
          <w:szCs w:val="21"/>
          <w:highlight w:val="none"/>
        </w:rPr>
        <w:t>。</w:t>
      </w:r>
    </w:p>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当期施工过程结算付款证书异议复核的方式和程序：</w:t>
      </w:r>
      <w:r>
        <w:rPr>
          <w:rFonts w:hint="eastAsia" w:cs="宋体"/>
          <w:color w:val="auto"/>
          <w:sz w:val="21"/>
          <w:szCs w:val="21"/>
          <w:highlight w:val="none"/>
          <w:u w:val="single"/>
        </w:rPr>
        <w:t xml:space="preserve"> </w:t>
      </w:r>
      <w:r>
        <w:rPr>
          <w:rFonts w:hint="eastAsia" w:cs="宋体"/>
          <w:color w:val="auto"/>
          <w:sz w:val="21"/>
          <w:szCs w:val="21"/>
          <w:highlight w:val="none"/>
          <w:u w:val="single"/>
          <w:lang w:val="en-US" w:eastAsia="zh-CN"/>
        </w:rPr>
        <w:t xml:space="preserve"> </w:t>
      </w:r>
      <w:r>
        <w:rPr>
          <w:rFonts w:hint="eastAsia" w:cs="宋体"/>
          <w:color w:val="0000FF"/>
          <w:sz w:val="21"/>
          <w:szCs w:val="21"/>
          <w:highlight w:val="none"/>
          <w:u w:val="single"/>
          <w:lang w:val="en-US" w:eastAsia="zh-CN"/>
        </w:rPr>
        <w:t xml:space="preserve">/ </w:t>
      </w:r>
      <w:r>
        <w:rPr>
          <w:rFonts w:hint="eastAsia" w:cs="宋体"/>
          <w:color w:val="0000FF"/>
          <w:sz w:val="21"/>
          <w:szCs w:val="21"/>
          <w:highlight w:val="none"/>
          <w:u w:val="none"/>
          <w:lang w:val="en-US" w:eastAsia="zh-CN"/>
        </w:rPr>
        <w:t>。</w:t>
      </w:r>
    </w:p>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当期过程结算价款支付款项包括：</w:t>
      </w:r>
      <w:r>
        <w:rPr>
          <w:rFonts w:hint="eastAsia" w:cs="宋体"/>
          <w:color w:val="auto"/>
          <w:sz w:val="21"/>
          <w:szCs w:val="21"/>
          <w:highlight w:val="none"/>
          <w:u w:val="single"/>
        </w:rPr>
        <w:t xml:space="preserve"> </w:t>
      </w:r>
      <w:r>
        <w:rPr>
          <w:rFonts w:hint="eastAsia" w:cs="宋体"/>
          <w:color w:val="auto"/>
          <w:sz w:val="21"/>
          <w:szCs w:val="21"/>
          <w:highlight w:val="none"/>
          <w:u w:val="single"/>
          <w:lang w:val="en-US" w:eastAsia="zh-CN"/>
        </w:rPr>
        <w:t xml:space="preserve"> </w:t>
      </w:r>
      <w:r>
        <w:rPr>
          <w:rFonts w:hint="eastAsia" w:cs="宋体"/>
          <w:color w:val="0000FF"/>
          <w:sz w:val="21"/>
          <w:szCs w:val="21"/>
          <w:highlight w:val="none"/>
          <w:u w:val="single"/>
          <w:lang w:val="en-US" w:eastAsia="zh-CN"/>
        </w:rPr>
        <w:t xml:space="preserve">/ </w:t>
      </w:r>
      <w:r>
        <w:rPr>
          <w:rFonts w:hint="eastAsia" w:cs="宋体"/>
          <w:color w:val="auto"/>
          <w:sz w:val="21"/>
          <w:szCs w:val="21"/>
          <w:highlight w:val="none"/>
        </w:rPr>
        <w:t>。</w:t>
      </w:r>
    </w:p>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14.2竣工结算</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承包人提交竣工结算申请单的期限：</w:t>
      </w:r>
      <w:r>
        <w:rPr>
          <w:rFonts w:hint="eastAsia" w:ascii="宋体" w:hAnsi="宋体" w:eastAsia="宋体" w:cs="宋体"/>
          <w:color w:val="0000FF"/>
          <w:sz w:val="21"/>
          <w:szCs w:val="21"/>
          <w:highlight w:val="none"/>
          <w:u w:val="single"/>
        </w:rPr>
        <w:t>（1）工程竣工验收合格后</w:t>
      </w:r>
      <w:r>
        <w:rPr>
          <w:rFonts w:hint="eastAsia" w:cs="宋体"/>
          <w:color w:val="0000FF"/>
          <w:sz w:val="21"/>
          <w:szCs w:val="21"/>
          <w:highlight w:val="none"/>
          <w:u w:val="single"/>
          <w:lang w:val="en-US" w:eastAsia="zh-CN"/>
        </w:rPr>
        <w:t>90</w:t>
      </w:r>
      <w:r>
        <w:rPr>
          <w:rFonts w:hint="eastAsia" w:ascii="宋体" w:hAnsi="宋体" w:eastAsia="宋体" w:cs="宋体"/>
          <w:color w:val="0000FF"/>
          <w:sz w:val="21"/>
          <w:szCs w:val="21"/>
          <w:highlight w:val="none"/>
          <w:u w:val="single"/>
        </w:rPr>
        <w:t>日历天内，承包人必须向</w:t>
      </w:r>
      <w:r>
        <w:rPr>
          <w:rFonts w:hint="eastAsia" w:ascii="宋体" w:hAnsi="宋体" w:eastAsia="宋体" w:cs="宋体"/>
          <w:color w:val="FF0000"/>
          <w:sz w:val="21"/>
          <w:szCs w:val="21"/>
          <w:highlight w:val="none"/>
          <w:u w:val="single"/>
        </w:rPr>
        <w:t>发包人报送符合发包人委托的第三方审核单位</w:t>
      </w:r>
      <w:r>
        <w:rPr>
          <w:rFonts w:hint="eastAsia" w:ascii="宋体" w:hAnsi="宋体" w:eastAsia="宋体" w:cs="宋体"/>
          <w:color w:val="0000FF"/>
          <w:sz w:val="21"/>
          <w:szCs w:val="21"/>
          <w:highlight w:val="none"/>
          <w:u w:val="single"/>
        </w:rPr>
        <w:t>要求且监理审核后的完整竣工结算资料。若逾期未送达，承包人向发包人支付10000/日历天的违约金，发包人有权从结算款中直接扣除。若承包人报送竣工结算资料累计延迟时间超90日历天，发包人视为该工程不涉及增加合同价款，发包人可以依据签证变更，对减少的工程量核减合同价款，同时有权委托资质单位编制和初审施工结算，委托资质单位编制和初审施工结算所发生的费用将在发包人初审时从承包人结算款中直接扣除，最终结算价以</w:t>
      </w:r>
      <w:r>
        <w:rPr>
          <w:rFonts w:hint="eastAsia" w:ascii="宋体" w:hAnsi="宋体" w:eastAsia="宋体" w:cs="宋体"/>
          <w:color w:val="0000FF"/>
          <w:sz w:val="21"/>
          <w:szCs w:val="21"/>
          <w:highlight w:val="none"/>
          <w:u w:val="single"/>
          <w:lang w:eastAsia="zh-CN"/>
        </w:rPr>
        <w:t>发包人</w:t>
      </w:r>
      <w:r>
        <w:rPr>
          <w:rFonts w:hint="eastAsia" w:ascii="宋体" w:hAnsi="宋体" w:eastAsia="宋体" w:cs="宋体"/>
          <w:color w:val="0000FF"/>
          <w:sz w:val="21"/>
          <w:szCs w:val="21"/>
          <w:highlight w:val="none"/>
          <w:u w:val="single"/>
        </w:rPr>
        <w:t>审核的工程结算价为准。</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竣工结算申请单应包括的内容：</w:t>
      </w:r>
      <w:r>
        <w:rPr>
          <w:rFonts w:hint="eastAsia" w:cs="宋体"/>
          <w:color w:val="0000FF"/>
          <w:sz w:val="21"/>
          <w:szCs w:val="21"/>
          <w:highlight w:val="none"/>
          <w:u w:val="single"/>
        </w:rPr>
        <w:t>执行通用合同条款</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发包人审批竣工付款申请单的期限：</w:t>
      </w:r>
      <w:r>
        <w:rPr>
          <w:rFonts w:hint="eastAsia" w:hAnsi="Times New Roman"/>
          <w:color w:val="auto"/>
          <w:sz w:val="21"/>
          <w:szCs w:val="21"/>
          <w:highlight w:val="none"/>
          <w:u w:val="single"/>
          <w:lang w:eastAsia="zh-CN"/>
        </w:rPr>
        <w:t>监理人在收到竣工结算申请单后</w:t>
      </w:r>
      <w:r>
        <w:rPr>
          <w:rFonts w:hint="eastAsia" w:hAnsi="Times New Roman"/>
          <w:color w:val="auto"/>
          <w:sz w:val="21"/>
          <w:szCs w:val="21"/>
          <w:highlight w:val="none"/>
          <w:u w:val="single"/>
          <w:lang w:val="en-US" w:eastAsia="zh-CN"/>
        </w:rPr>
        <w:t>14天内完成审核并报送发包人，发包人在收到监理人报送的经审核的竣工结算申请单后14天内完成审批并报送</w:t>
      </w:r>
      <w:r>
        <w:rPr>
          <w:rFonts w:hint="eastAsia" w:hAnsi="Times New Roman"/>
          <w:color w:val="auto"/>
          <w:sz w:val="21"/>
          <w:szCs w:val="21"/>
          <w:highlight w:val="none"/>
          <w:u w:val="single"/>
        </w:rPr>
        <w:t>发包人</w:t>
      </w:r>
      <w:r>
        <w:rPr>
          <w:rFonts w:hint="eastAsia" w:hAnsi="Times New Roman"/>
          <w:color w:val="auto"/>
          <w:sz w:val="21"/>
          <w:szCs w:val="21"/>
          <w:highlight w:val="none"/>
          <w:u w:val="single"/>
          <w:lang w:val="en-US" w:eastAsia="zh-CN"/>
        </w:rPr>
        <w:t>/建设单位</w:t>
      </w:r>
      <w:r>
        <w:rPr>
          <w:rFonts w:hint="eastAsia" w:hAnsi="Times New Roman"/>
          <w:color w:val="auto"/>
          <w:sz w:val="21"/>
          <w:szCs w:val="21"/>
          <w:highlight w:val="none"/>
          <w:u w:val="single"/>
        </w:rPr>
        <w:t>委托的第三方审核单位</w:t>
      </w:r>
      <w:r>
        <w:rPr>
          <w:rFonts w:hint="eastAsia" w:hAnsi="Times New Roman"/>
          <w:color w:val="auto"/>
          <w:sz w:val="21"/>
          <w:szCs w:val="21"/>
          <w:highlight w:val="none"/>
          <w:u w:val="single"/>
          <w:lang w:val="en-US" w:eastAsia="zh-CN"/>
        </w:rPr>
        <w:t>，</w:t>
      </w:r>
      <w:r>
        <w:rPr>
          <w:rFonts w:hint="eastAsia" w:hAnsi="Times New Roman"/>
          <w:color w:val="auto"/>
          <w:sz w:val="21"/>
          <w:szCs w:val="21"/>
          <w:highlight w:val="none"/>
          <w:u w:val="single"/>
        </w:rPr>
        <w:t>发包人</w:t>
      </w:r>
      <w:r>
        <w:rPr>
          <w:rFonts w:hint="eastAsia" w:hAnsi="Times New Roman"/>
          <w:color w:val="auto"/>
          <w:sz w:val="21"/>
          <w:szCs w:val="21"/>
          <w:highlight w:val="none"/>
          <w:u w:val="single"/>
          <w:lang w:val="en-US" w:eastAsia="zh-CN"/>
        </w:rPr>
        <w:t>/建设单位</w:t>
      </w:r>
      <w:r>
        <w:rPr>
          <w:rFonts w:hint="eastAsia" w:hAnsi="Times New Roman"/>
          <w:color w:val="auto"/>
          <w:sz w:val="21"/>
          <w:szCs w:val="21"/>
          <w:highlight w:val="none"/>
          <w:u w:val="single"/>
        </w:rPr>
        <w:t>委托的第三方审核单位</w:t>
      </w:r>
      <w:r>
        <w:rPr>
          <w:rFonts w:hint="eastAsia" w:hAnsi="Times New Roman"/>
          <w:color w:val="auto"/>
          <w:sz w:val="21"/>
          <w:szCs w:val="21"/>
          <w:highlight w:val="none"/>
          <w:u w:val="single"/>
          <w:lang w:val="en-US" w:eastAsia="zh-CN"/>
        </w:rPr>
        <w:t>审核数为本项目最终工程结算数。监理人在</w:t>
      </w:r>
      <w:r>
        <w:rPr>
          <w:rFonts w:hint="eastAsia" w:hAnsi="Times New Roman"/>
          <w:color w:val="auto"/>
          <w:sz w:val="21"/>
          <w:szCs w:val="21"/>
          <w:highlight w:val="none"/>
          <w:u w:val="single"/>
        </w:rPr>
        <w:t>发包人</w:t>
      </w:r>
      <w:r>
        <w:rPr>
          <w:rFonts w:hint="eastAsia" w:hAnsi="Times New Roman"/>
          <w:color w:val="auto"/>
          <w:sz w:val="21"/>
          <w:szCs w:val="21"/>
          <w:highlight w:val="none"/>
          <w:u w:val="single"/>
          <w:lang w:val="en-US" w:eastAsia="zh-CN"/>
        </w:rPr>
        <w:t>/建设单位</w:t>
      </w:r>
      <w:r>
        <w:rPr>
          <w:rFonts w:hint="eastAsia" w:hAnsi="Times New Roman"/>
          <w:color w:val="auto"/>
          <w:sz w:val="21"/>
          <w:szCs w:val="21"/>
          <w:highlight w:val="none"/>
          <w:u w:val="single"/>
        </w:rPr>
        <w:t>委托的第三方审核单位</w:t>
      </w:r>
      <w:r>
        <w:rPr>
          <w:rFonts w:hint="eastAsia" w:hAnsi="Times New Roman"/>
          <w:color w:val="auto"/>
          <w:sz w:val="21"/>
          <w:szCs w:val="21"/>
          <w:highlight w:val="none"/>
          <w:u w:val="single"/>
          <w:lang w:val="en-US" w:eastAsia="zh-CN"/>
        </w:rPr>
        <w:t>审核后7天内向承包人签发经发包人签认的竣工付款证书。</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发包人完成竣工付款的期限：</w:t>
      </w:r>
      <w:r>
        <w:rPr>
          <w:rFonts w:hint="eastAsia" w:cs="宋体"/>
          <w:color w:val="0000FF"/>
          <w:sz w:val="21"/>
          <w:szCs w:val="21"/>
          <w:highlight w:val="none"/>
          <w:u w:val="single"/>
        </w:rPr>
        <w:t>签发竣工付款证书后14天内</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关于竣工付款证书异议部分复核的方式和程序：</w:t>
      </w:r>
      <w:r>
        <w:rPr>
          <w:rFonts w:hint="eastAsia" w:cs="宋体"/>
          <w:color w:val="0000FF"/>
          <w:sz w:val="21"/>
          <w:szCs w:val="21"/>
          <w:highlight w:val="none"/>
          <w:u w:val="single"/>
        </w:rPr>
        <w:t>执行通用合同条款</w:t>
      </w:r>
      <w:r>
        <w:rPr>
          <w:rFonts w:hint="eastAsia" w:cs="宋体"/>
          <w:color w:val="auto"/>
          <w:sz w:val="21"/>
          <w:szCs w:val="21"/>
          <w:highlight w:val="none"/>
        </w:rPr>
        <w:t>。</w:t>
      </w:r>
    </w:p>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14.4 最终结清</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14.4.1 最终结清申请单</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承包人提交最终结清申请单的份数：</w:t>
      </w:r>
      <w:r>
        <w:rPr>
          <w:rFonts w:hint="eastAsia" w:ascii="宋体" w:hAnsi="宋体" w:eastAsia="宋体" w:cs="宋体"/>
          <w:color w:val="0000FF"/>
          <w:sz w:val="21"/>
          <w:szCs w:val="21"/>
          <w:highlight w:val="none"/>
          <w:u w:val="single"/>
        </w:rPr>
        <w:t>一式</w:t>
      </w:r>
      <w:r>
        <w:rPr>
          <w:rFonts w:hint="eastAsia" w:cs="宋体"/>
          <w:color w:val="0000FF"/>
          <w:sz w:val="21"/>
          <w:szCs w:val="21"/>
          <w:highlight w:val="none"/>
          <w:u w:val="single"/>
          <w:lang w:val="en-US" w:eastAsia="zh-CN"/>
        </w:rPr>
        <w:t>五</w:t>
      </w:r>
      <w:r>
        <w:rPr>
          <w:rFonts w:hint="eastAsia" w:ascii="宋体" w:hAnsi="宋体" w:eastAsia="宋体" w:cs="宋体"/>
          <w:color w:val="0000FF"/>
          <w:sz w:val="21"/>
          <w:szCs w:val="21"/>
          <w:highlight w:val="none"/>
          <w:u w:val="single"/>
        </w:rPr>
        <w:t>份</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承包人提交最终结算申请单的期限：</w:t>
      </w:r>
      <w:r>
        <w:rPr>
          <w:rFonts w:hint="eastAsia" w:cs="宋体"/>
          <w:color w:val="0000FF"/>
          <w:sz w:val="21"/>
          <w:szCs w:val="21"/>
          <w:highlight w:val="none"/>
          <w:u w:val="single"/>
        </w:rPr>
        <w:t>缺陷责任期终止证书颁发后7天内</w:t>
      </w:r>
      <w:r>
        <w:rPr>
          <w:rFonts w:hint="eastAsia" w:cs="宋体"/>
          <w:color w:val="auto"/>
          <w:sz w:val="21"/>
          <w:szCs w:val="21"/>
          <w:highlight w:val="none"/>
        </w:rPr>
        <w:t xml:space="preserve">。 </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14.4.2 最终结清证书和支付</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（1）发包人完成最终结清申请单的审批并颁发最终结清证书的期限：</w:t>
      </w:r>
      <w:r>
        <w:rPr>
          <w:rFonts w:hint="eastAsia" w:hAnsi="Times New Roman"/>
          <w:color w:val="auto"/>
          <w:sz w:val="21"/>
          <w:szCs w:val="21"/>
          <w:highlight w:val="none"/>
          <w:u w:val="single"/>
        </w:rPr>
        <w:t xml:space="preserve"> </w:t>
      </w:r>
      <w:r>
        <w:rPr>
          <w:rFonts w:hint="eastAsia" w:cs="宋体"/>
          <w:color w:val="0000FF"/>
          <w:sz w:val="21"/>
          <w:szCs w:val="21"/>
          <w:highlight w:val="none"/>
          <w:u w:val="single"/>
          <w:lang w:val="en-US" w:eastAsia="zh-CN"/>
        </w:rPr>
        <w:t>/</w:t>
      </w:r>
      <w:r>
        <w:rPr>
          <w:rFonts w:hint="eastAsia" w:hAnsi="Times New Roman"/>
          <w:color w:val="auto"/>
          <w:sz w:val="21"/>
          <w:szCs w:val="21"/>
          <w:highlight w:val="none"/>
          <w:u w:val="single"/>
        </w:rPr>
        <w:t xml:space="preserve"> </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（2）发包人完成支付的期限：</w:t>
      </w:r>
      <w:r>
        <w:rPr>
          <w:rFonts w:hint="eastAsia" w:cs="宋体"/>
          <w:color w:val="0000FF"/>
          <w:sz w:val="21"/>
          <w:szCs w:val="21"/>
          <w:highlight w:val="none"/>
          <w:u w:val="single"/>
        </w:rPr>
        <w:t>按本合同12.4.4的约定执行</w:t>
      </w:r>
      <w:r>
        <w:rPr>
          <w:rFonts w:hint="eastAsia" w:cs="宋体"/>
          <w:color w:val="auto"/>
          <w:sz w:val="21"/>
          <w:szCs w:val="21"/>
          <w:highlight w:val="none"/>
        </w:rPr>
        <w:t>。</w:t>
      </w:r>
    </w:p>
    <w:p>
      <w:pPr>
        <w:keepNext/>
        <w:keepLines/>
        <w:adjustRightInd w:val="0"/>
        <w:spacing w:beforeLines="50" w:line="360" w:lineRule="auto"/>
        <w:textAlignment w:val="baseline"/>
        <w:outlineLvl w:val="4"/>
        <w:rPr>
          <w:rFonts w:cs="宋体"/>
          <w:b/>
          <w:bCs/>
          <w:color w:val="auto"/>
          <w:sz w:val="21"/>
          <w:szCs w:val="21"/>
          <w:highlight w:val="none"/>
        </w:rPr>
      </w:pPr>
      <w:r>
        <w:rPr>
          <w:rFonts w:hint="eastAsia" w:cs="宋体"/>
          <w:b/>
          <w:bCs/>
          <w:color w:val="auto"/>
          <w:sz w:val="21"/>
          <w:szCs w:val="21"/>
          <w:highlight w:val="none"/>
        </w:rPr>
        <w:t>1</w:t>
      </w:r>
      <w:bookmarkStart w:id="1376" w:name="_Toc63471481"/>
      <w:bookmarkStart w:id="1377" w:name="_Toc13309399"/>
      <w:r>
        <w:rPr>
          <w:rFonts w:hint="eastAsia" w:cs="宋体"/>
          <w:b/>
          <w:bCs/>
          <w:color w:val="auto"/>
          <w:sz w:val="21"/>
          <w:szCs w:val="21"/>
          <w:highlight w:val="none"/>
        </w:rPr>
        <w:t>5. 缺陷责任期与保修</w:t>
      </w:r>
    </w:p>
    <w:bookmarkEnd w:id="1376"/>
    <w:bookmarkEnd w:id="1377"/>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15.2缺陷责任期</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缺陷责任期的具体期限：</w:t>
      </w:r>
      <w:r>
        <w:rPr>
          <w:rFonts w:hint="eastAsia" w:cs="宋体"/>
          <w:color w:val="0000FF"/>
          <w:sz w:val="21"/>
          <w:szCs w:val="21"/>
          <w:highlight w:val="none"/>
          <w:u w:val="single"/>
        </w:rPr>
        <w:t>从工程通过竣工验收之日起</w:t>
      </w:r>
      <w:r>
        <w:rPr>
          <w:rFonts w:hint="eastAsia" w:cs="宋体"/>
          <w:color w:val="0000FF"/>
          <w:sz w:val="21"/>
          <w:szCs w:val="21"/>
          <w:highlight w:val="none"/>
          <w:u w:val="single"/>
          <w:lang w:val="en-US" w:eastAsia="zh-CN"/>
        </w:rPr>
        <w:t>2</w:t>
      </w:r>
      <w:r>
        <w:rPr>
          <w:rFonts w:hint="eastAsia" w:cs="宋体"/>
          <w:color w:val="0000FF"/>
          <w:sz w:val="21"/>
          <w:szCs w:val="21"/>
          <w:highlight w:val="none"/>
          <w:u w:val="single"/>
        </w:rPr>
        <w:t>年</w:t>
      </w:r>
      <w:r>
        <w:rPr>
          <w:rFonts w:hint="eastAsia" w:cs="宋体"/>
          <w:color w:val="auto"/>
          <w:sz w:val="21"/>
          <w:szCs w:val="21"/>
          <w:highlight w:val="none"/>
        </w:rPr>
        <w:t>。</w:t>
      </w:r>
    </w:p>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15.3 质量保证金</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关于是否扣留质量保证金的约定：</w:t>
      </w:r>
      <w:r>
        <w:rPr>
          <w:rFonts w:hint="eastAsia" w:cs="宋体"/>
          <w:color w:val="auto"/>
          <w:sz w:val="21"/>
          <w:szCs w:val="21"/>
          <w:highlight w:val="none"/>
          <w:u w:val="single"/>
        </w:rPr>
        <w:t xml:space="preserve"> </w:t>
      </w:r>
      <w:r>
        <w:rPr>
          <w:rFonts w:hint="eastAsia" w:cs="宋体"/>
          <w:color w:val="0000FF"/>
          <w:sz w:val="21"/>
          <w:szCs w:val="21"/>
          <w:highlight w:val="none"/>
          <w:u w:val="single"/>
          <w:lang w:eastAsia="zh-CN"/>
        </w:rPr>
        <w:t>是</w:t>
      </w:r>
      <w:r>
        <w:rPr>
          <w:rFonts w:hint="eastAsia" w:cs="宋体"/>
          <w:color w:val="auto"/>
          <w:sz w:val="21"/>
          <w:szCs w:val="21"/>
          <w:highlight w:val="none"/>
          <w:u w:val="single"/>
        </w:rPr>
        <w:t xml:space="preserve"> </w:t>
      </w:r>
      <w:r>
        <w:rPr>
          <w:rFonts w:hint="eastAsia" w:cs="宋体"/>
          <w:color w:val="auto"/>
          <w:sz w:val="21"/>
          <w:szCs w:val="21"/>
          <w:highlight w:val="none"/>
        </w:rPr>
        <w:t>。在工程项目竣工前，承包人按专用合同条款第3.7条提供履约担保的，发包人不得同时预留工程质量保证金。</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15.3.1 承包人提供质量保证金的方式</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质量保证金采用以下第</w:t>
      </w:r>
      <w:r>
        <w:rPr>
          <w:rFonts w:hint="eastAsia" w:cs="宋体"/>
          <w:color w:val="auto"/>
          <w:sz w:val="21"/>
          <w:szCs w:val="21"/>
          <w:highlight w:val="none"/>
          <w:u w:val="single"/>
        </w:rPr>
        <w:t xml:space="preserve"> </w:t>
      </w:r>
      <w:r>
        <w:rPr>
          <w:rFonts w:hint="eastAsia" w:cs="宋体"/>
          <w:color w:val="0000FF"/>
          <w:sz w:val="21"/>
          <w:szCs w:val="21"/>
          <w:highlight w:val="none"/>
          <w:u w:val="single"/>
          <w:lang w:eastAsia="zh-CN"/>
        </w:rPr>
        <w:t>（</w:t>
      </w:r>
      <w:r>
        <w:rPr>
          <w:rFonts w:hint="eastAsia" w:cs="宋体"/>
          <w:color w:val="0000FF"/>
          <w:sz w:val="21"/>
          <w:szCs w:val="21"/>
          <w:highlight w:val="none"/>
          <w:u w:val="single"/>
          <w:lang w:val="en-US" w:eastAsia="zh-CN"/>
        </w:rPr>
        <w:t>2</w:t>
      </w:r>
      <w:r>
        <w:rPr>
          <w:rFonts w:hint="eastAsia" w:cs="宋体"/>
          <w:color w:val="0000FF"/>
          <w:sz w:val="21"/>
          <w:szCs w:val="21"/>
          <w:highlight w:val="none"/>
          <w:u w:val="single"/>
          <w:lang w:eastAsia="zh-CN"/>
        </w:rPr>
        <w:t>）</w:t>
      </w:r>
      <w:r>
        <w:rPr>
          <w:rFonts w:hint="eastAsia" w:cs="宋体"/>
          <w:color w:val="auto"/>
          <w:sz w:val="21"/>
          <w:szCs w:val="21"/>
          <w:highlight w:val="none"/>
          <w:u w:val="single"/>
        </w:rPr>
        <w:t xml:space="preserve"> </w:t>
      </w:r>
      <w:r>
        <w:rPr>
          <w:rFonts w:hint="eastAsia" w:cs="宋体"/>
          <w:color w:val="auto"/>
          <w:sz w:val="21"/>
          <w:szCs w:val="21"/>
          <w:highlight w:val="none"/>
        </w:rPr>
        <w:t>种方式：</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（1）质量保证金保函，保证金额为：</w:t>
      </w:r>
      <w:r>
        <w:rPr>
          <w:rFonts w:hint="eastAsia" w:hAnsi="Times New Roman"/>
          <w:color w:val="auto"/>
          <w:sz w:val="21"/>
          <w:szCs w:val="21"/>
          <w:highlight w:val="none"/>
          <w:u w:val="single"/>
        </w:rPr>
        <w:t xml:space="preserve">  </w:t>
      </w:r>
      <w:r>
        <w:rPr>
          <w:rFonts w:hint="eastAsia" w:hAnsi="Times New Roman"/>
          <w:color w:val="0000FF"/>
          <w:sz w:val="21"/>
          <w:szCs w:val="21"/>
          <w:highlight w:val="none"/>
          <w:u w:val="single"/>
          <w:lang w:val="en-US" w:eastAsia="zh-CN"/>
        </w:rPr>
        <w:t>/</w:t>
      </w:r>
      <w:r>
        <w:rPr>
          <w:rFonts w:hint="eastAsia" w:hAnsi="Times New Roman"/>
          <w:color w:val="auto"/>
          <w:sz w:val="21"/>
          <w:szCs w:val="21"/>
          <w:highlight w:val="none"/>
          <w:u w:val="single"/>
        </w:rPr>
        <w:t xml:space="preserve">  </w:t>
      </w:r>
      <w:r>
        <w:rPr>
          <w:rFonts w:hint="eastAsia" w:cs="宋体"/>
          <w:color w:val="auto"/>
          <w:sz w:val="21"/>
          <w:szCs w:val="21"/>
          <w:highlight w:val="none"/>
        </w:rPr>
        <w:t>；</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w:t>
      </w:r>
      <w:r>
        <w:rPr>
          <w:rFonts w:hint="eastAsia" w:cs="宋体"/>
          <w:color w:val="auto"/>
          <w:sz w:val="21"/>
          <w:szCs w:val="21"/>
          <w:highlight w:val="none"/>
          <w:u w:val="single"/>
        </w:rPr>
        <w:t xml:space="preserve"> </w:t>
      </w:r>
      <w:r>
        <w:rPr>
          <w:rFonts w:hint="eastAsia" w:cs="宋体"/>
          <w:color w:val="0000FF"/>
          <w:sz w:val="21"/>
          <w:szCs w:val="21"/>
          <w:highlight w:val="none"/>
          <w:u w:val="single"/>
          <w:lang w:val="en-US" w:eastAsia="zh-CN"/>
        </w:rPr>
        <w:t>3</w:t>
      </w:r>
      <w:r>
        <w:rPr>
          <w:rFonts w:hint="eastAsia" w:cs="宋体"/>
          <w:color w:val="auto"/>
          <w:sz w:val="21"/>
          <w:szCs w:val="21"/>
          <w:highlight w:val="none"/>
          <w:u w:val="single"/>
        </w:rPr>
        <w:t xml:space="preserve"> </w:t>
      </w:r>
      <w:r>
        <w:rPr>
          <w:rFonts w:hint="eastAsia" w:cs="宋体"/>
          <w:color w:val="auto"/>
          <w:sz w:val="21"/>
          <w:szCs w:val="21"/>
          <w:highlight w:val="none"/>
        </w:rPr>
        <w:t>%的工程款；</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（3）其他方式:</w:t>
      </w:r>
      <w:r>
        <w:rPr>
          <w:rFonts w:hint="eastAsia" w:cs="宋体"/>
          <w:color w:val="auto"/>
          <w:sz w:val="21"/>
          <w:szCs w:val="21"/>
          <w:highlight w:val="none"/>
          <w:u w:val="single"/>
        </w:rPr>
        <w:t xml:space="preserve"> </w:t>
      </w:r>
      <w:r>
        <w:rPr>
          <w:rFonts w:hint="eastAsia" w:hAnsi="Times New Roman"/>
          <w:color w:val="0000FF"/>
          <w:sz w:val="21"/>
          <w:szCs w:val="21"/>
          <w:highlight w:val="none"/>
          <w:u w:val="single"/>
          <w:lang w:val="en-US" w:eastAsia="zh-CN"/>
        </w:rPr>
        <w:t>/</w:t>
      </w:r>
      <w:r>
        <w:rPr>
          <w:rFonts w:hint="eastAsia" w:cs="宋体"/>
          <w:color w:val="auto"/>
          <w:sz w:val="21"/>
          <w:szCs w:val="21"/>
          <w:highlight w:val="none"/>
          <w:u w:val="single"/>
        </w:rPr>
        <w:t xml:space="preserve"> </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 xml:space="preserve">15.3.2 质量保证金的扣留 </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质量保证金的扣留采取以下第</w:t>
      </w:r>
      <w:r>
        <w:rPr>
          <w:rFonts w:hint="eastAsia" w:cs="宋体"/>
          <w:color w:val="auto"/>
          <w:sz w:val="21"/>
          <w:szCs w:val="21"/>
          <w:highlight w:val="none"/>
          <w:u w:val="single"/>
        </w:rPr>
        <w:t xml:space="preserve"> </w:t>
      </w:r>
      <w:r>
        <w:rPr>
          <w:rFonts w:hint="eastAsia" w:cs="宋体"/>
          <w:color w:val="0000FF"/>
          <w:sz w:val="21"/>
          <w:szCs w:val="21"/>
          <w:highlight w:val="none"/>
          <w:u w:val="single"/>
          <w:lang w:eastAsia="zh-CN"/>
        </w:rPr>
        <w:t>（</w:t>
      </w:r>
      <w:r>
        <w:rPr>
          <w:rFonts w:hint="eastAsia" w:cs="宋体"/>
          <w:color w:val="0000FF"/>
          <w:sz w:val="21"/>
          <w:szCs w:val="21"/>
          <w:highlight w:val="none"/>
          <w:u w:val="single"/>
          <w:lang w:val="en-US" w:eastAsia="zh-CN"/>
        </w:rPr>
        <w:t>2</w:t>
      </w:r>
      <w:r>
        <w:rPr>
          <w:rFonts w:hint="eastAsia" w:cs="宋体"/>
          <w:color w:val="0000FF"/>
          <w:sz w:val="21"/>
          <w:szCs w:val="21"/>
          <w:highlight w:val="none"/>
          <w:u w:val="single"/>
          <w:lang w:eastAsia="zh-CN"/>
        </w:rPr>
        <w:t>）</w:t>
      </w:r>
      <w:r>
        <w:rPr>
          <w:rFonts w:hint="eastAsia" w:cs="宋体"/>
          <w:color w:val="auto"/>
          <w:sz w:val="21"/>
          <w:szCs w:val="21"/>
          <w:highlight w:val="none"/>
          <w:u w:val="single"/>
        </w:rPr>
        <w:t xml:space="preserve">  </w:t>
      </w:r>
      <w:r>
        <w:rPr>
          <w:rFonts w:hint="eastAsia" w:cs="宋体"/>
          <w:color w:val="auto"/>
          <w:sz w:val="21"/>
          <w:szCs w:val="21"/>
          <w:highlight w:val="none"/>
        </w:rPr>
        <w:t>种方式：</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（1）在支付工程进度款、过程结算款时逐次扣留，在此情形下，质量保证金的计算基数不包括预付款的支付、扣回以及价格调整的金额；</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（2）工程竣工结算时一次性扣留质量保证金；</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（3）其他扣留方式:</w:t>
      </w:r>
      <w:r>
        <w:rPr>
          <w:rFonts w:hint="eastAsia" w:cs="宋体"/>
          <w:color w:val="auto"/>
          <w:sz w:val="21"/>
          <w:szCs w:val="21"/>
          <w:highlight w:val="none"/>
          <w:u w:val="single"/>
          <w:lang w:val="en-US" w:eastAsia="zh-CN"/>
        </w:rPr>
        <w:t xml:space="preserve"> </w:t>
      </w:r>
      <w:r>
        <w:rPr>
          <w:rFonts w:hint="eastAsia" w:cs="宋体"/>
          <w:color w:val="0000FF"/>
          <w:sz w:val="21"/>
          <w:szCs w:val="21"/>
          <w:highlight w:val="none"/>
          <w:u w:val="single"/>
          <w:lang w:val="en-US" w:eastAsia="zh-CN"/>
        </w:rPr>
        <w:t xml:space="preserve">/ </w:t>
      </w:r>
      <w:r>
        <w:rPr>
          <w:rFonts w:hint="eastAsia" w:cs="宋体"/>
          <w:color w:val="auto"/>
          <w:sz w:val="21"/>
          <w:szCs w:val="21"/>
          <w:highlight w:val="none"/>
        </w:rPr>
        <w:t>。</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关于质量保证金的补充约定：</w:t>
      </w:r>
      <w:r>
        <w:rPr>
          <w:rFonts w:hint="eastAsia" w:cs="宋体"/>
          <w:color w:val="0000FF"/>
          <w:sz w:val="21"/>
          <w:szCs w:val="21"/>
          <w:highlight w:val="none"/>
          <w:u w:val="single"/>
        </w:rPr>
        <w:t>本工程质量保证金不得使用保函形式，按工程款（结算价）的3%扣留。当质量保证金符合退还条件时，发包人无息退还质量保证金，质量保证金的退还办法详专用条款12.4.4约定</w:t>
      </w:r>
      <w:r>
        <w:rPr>
          <w:rFonts w:hint="eastAsia" w:cs="宋体"/>
          <w:color w:val="auto"/>
          <w:sz w:val="21"/>
          <w:szCs w:val="21"/>
          <w:highlight w:val="none"/>
        </w:rPr>
        <w:t>。</w:t>
      </w:r>
    </w:p>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15.4保修</w:t>
      </w:r>
    </w:p>
    <w:p>
      <w:pPr>
        <w:adjustRightInd w:val="0"/>
        <w:spacing w:line="360" w:lineRule="auto"/>
        <w:ind w:firstLine="409" w:firstLineChars="195"/>
        <w:jc w:val="left"/>
        <w:textAlignment w:val="baseline"/>
        <w:rPr>
          <w:rFonts w:cs="宋体"/>
          <w:color w:val="auto"/>
          <w:sz w:val="21"/>
          <w:szCs w:val="21"/>
          <w:highlight w:val="none"/>
        </w:rPr>
      </w:pPr>
      <w:r>
        <w:rPr>
          <w:rFonts w:hint="eastAsia" w:cs="宋体"/>
          <w:color w:val="auto"/>
          <w:sz w:val="21"/>
          <w:szCs w:val="21"/>
          <w:highlight w:val="none"/>
        </w:rPr>
        <w:t>15.4.1 保修责任</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工程保修期为：</w:t>
      </w:r>
      <w:r>
        <w:rPr>
          <w:rFonts w:hint="eastAsia" w:cs="宋体"/>
          <w:color w:val="0000FF"/>
          <w:sz w:val="21"/>
          <w:szCs w:val="21"/>
          <w:highlight w:val="none"/>
          <w:u w:val="single"/>
        </w:rPr>
        <w:t>具体详见《工程质量保修书》约定</w:t>
      </w:r>
      <w:r>
        <w:rPr>
          <w:rFonts w:hint="eastAsia" w:cs="宋体"/>
          <w:color w:val="auto"/>
          <w:sz w:val="21"/>
          <w:szCs w:val="21"/>
          <w:highlight w:val="none"/>
        </w:rPr>
        <w:t>。</w:t>
      </w:r>
    </w:p>
    <w:p>
      <w:pPr>
        <w:adjustRightInd w:val="0"/>
        <w:spacing w:line="360" w:lineRule="auto"/>
        <w:ind w:firstLine="409" w:firstLineChars="195"/>
        <w:jc w:val="left"/>
        <w:textAlignment w:val="baseline"/>
        <w:rPr>
          <w:rFonts w:cs="宋体"/>
          <w:color w:val="auto"/>
          <w:sz w:val="21"/>
          <w:szCs w:val="21"/>
          <w:highlight w:val="none"/>
        </w:rPr>
      </w:pPr>
      <w:r>
        <w:rPr>
          <w:rFonts w:hint="eastAsia" w:cs="宋体"/>
          <w:color w:val="auto"/>
          <w:sz w:val="21"/>
          <w:szCs w:val="21"/>
          <w:highlight w:val="none"/>
        </w:rPr>
        <w:t>15.4.3 修复通知</w:t>
      </w:r>
    </w:p>
    <w:p>
      <w:pPr>
        <w:adjustRightInd w:val="0"/>
        <w:spacing w:line="360" w:lineRule="auto"/>
        <w:ind w:firstLine="409" w:firstLineChars="195"/>
        <w:jc w:val="left"/>
        <w:textAlignment w:val="baseline"/>
        <w:rPr>
          <w:rFonts w:cs="宋体"/>
          <w:color w:val="auto"/>
          <w:sz w:val="21"/>
          <w:szCs w:val="21"/>
          <w:highlight w:val="none"/>
        </w:rPr>
      </w:pPr>
      <w:r>
        <w:rPr>
          <w:rFonts w:hint="eastAsia" w:cs="宋体"/>
          <w:color w:val="auto"/>
          <w:sz w:val="21"/>
          <w:szCs w:val="21"/>
          <w:highlight w:val="none"/>
        </w:rPr>
        <w:t>承包人收到保修通知并到达工程现场的合理时间：</w:t>
      </w:r>
      <w:r>
        <w:rPr>
          <w:rFonts w:hint="eastAsia" w:cs="宋体"/>
          <w:color w:val="0000FF"/>
          <w:sz w:val="21"/>
          <w:szCs w:val="21"/>
          <w:highlight w:val="none"/>
          <w:u w:val="single"/>
        </w:rPr>
        <w:t>48小时内</w:t>
      </w:r>
      <w:r>
        <w:rPr>
          <w:rFonts w:hint="eastAsia" w:cs="宋体"/>
          <w:color w:val="auto"/>
          <w:sz w:val="21"/>
          <w:szCs w:val="21"/>
          <w:highlight w:val="none"/>
        </w:rPr>
        <w:t>。</w:t>
      </w:r>
    </w:p>
    <w:p>
      <w:pPr>
        <w:keepNext/>
        <w:keepLines/>
        <w:adjustRightInd w:val="0"/>
        <w:spacing w:beforeLines="50" w:line="360" w:lineRule="auto"/>
        <w:textAlignment w:val="baseline"/>
        <w:outlineLvl w:val="4"/>
        <w:rPr>
          <w:rFonts w:cs="宋体"/>
          <w:b/>
          <w:bCs/>
          <w:color w:val="auto"/>
          <w:sz w:val="21"/>
          <w:szCs w:val="21"/>
          <w:highlight w:val="none"/>
        </w:rPr>
      </w:pPr>
      <w:r>
        <w:rPr>
          <w:rFonts w:hint="eastAsia" w:cs="宋体"/>
          <w:b/>
          <w:bCs/>
          <w:color w:val="auto"/>
          <w:sz w:val="21"/>
          <w:szCs w:val="21"/>
          <w:highlight w:val="none"/>
        </w:rPr>
        <w:t>1</w:t>
      </w:r>
      <w:bookmarkStart w:id="1378" w:name="_Toc13309400"/>
      <w:bookmarkStart w:id="1379" w:name="_Toc63471482"/>
      <w:r>
        <w:rPr>
          <w:rFonts w:hint="eastAsia" w:cs="宋体"/>
          <w:b/>
          <w:bCs/>
          <w:color w:val="auto"/>
          <w:sz w:val="21"/>
          <w:szCs w:val="21"/>
          <w:highlight w:val="none"/>
        </w:rPr>
        <w:t>6. 违约</w:t>
      </w:r>
    </w:p>
    <w:bookmarkEnd w:id="1378"/>
    <w:bookmarkEnd w:id="1379"/>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16.1 发包人违约</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16.1.1发包人违约的情形</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发包人违约的其他情形：</w:t>
      </w:r>
      <w:r>
        <w:rPr>
          <w:rFonts w:hint="eastAsia" w:cs="宋体"/>
          <w:color w:val="0000FF"/>
          <w:sz w:val="21"/>
          <w:szCs w:val="21"/>
          <w:highlight w:val="none"/>
          <w:u w:val="single"/>
        </w:rPr>
        <w:t>执行通用合同条款</w:t>
      </w:r>
      <w:r>
        <w:rPr>
          <w:rFonts w:hint="eastAsia" w:cs="宋体"/>
          <w:color w:val="auto"/>
          <w:sz w:val="21"/>
          <w:szCs w:val="21"/>
          <w:highlight w:val="none"/>
        </w:rPr>
        <w:t>。</w:t>
      </w:r>
    </w:p>
    <w:p>
      <w:pPr>
        <w:adjustRightInd w:val="0"/>
        <w:spacing w:line="360" w:lineRule="auto"/>
        <w:ind w:left="1050" w:hanging="1050" w:hangingChars="500"/>
        <w:jc w:val="left"/>
        <w:textAlignment w:val="baseline"/>
        <w:rPr>
          <w:rFonts w:cs="宋体"/>
          <w:color w:val="auto"/>
          <w:sz w:val="21"/>
          <w:szCs w:val="21"/>
          <w:highlight w:val="none"/>
        </w:rPr>
      </w:pPr>
      <w:r>
        <w:rPr>
          <w:rFonts w:hint="eastAsia" w:cs="宋体"/>
          <w:color w:val="auto"/>
          <w:sz w:val="21"/>
          <w:szCs w:val="21"/>
          <w:highlight w:val="none"/>
        </w:rPr>
        <w:t xml:space="preserve">    16.1.2 发包人违约的责任</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发包人违约责任的承担方式和计算方法：</w:t>
      </w:r>
    </w:p>
    <w:p>
      <w:pPr>
        <w:adjustRightInd w:val="0"/>
        <w:spacing w:line="360" w:lineRule="auto"/>
        <w:ind w:firstLine="420" w:firstLineChars="200"/>
        <w:jc w:val="left"/>
        <w:textAlignment w:val="baseline"/>
        <w:rPr>
          <w:rFonts w:cs="宋体"/>
          <w:color w:val="auto"/>
          <w:sz w:val="21"/>
          <w:szCs w:val="21"/>
          <w:highlight w:val="none"/>
          <w:u w:val="single"/>
        </w:rPr>
      </w:pPr>
      <w:r>
        <w:rPr>
          <w:rFonts w:hint="eastAsia" w:cs="宋体"/>
          <w:color w:val="auto"/>
          <w:sz w:val="21"/>
          <w:szCs w:val="21"/>
          <w:highlight w:val="none"/>
        </w:rPr>
        <w:t>（1）因发包人原因未能在计划开工日期前7天内下达开工通知的违约责任：</w:t>
      </w:r>
      <w:r>
        <w:rPr>
          <w:rFonts w:hint="eastAsia" w:cs="宋体"/>
          <w:i w:val="0"/>
          <w:iCs w:val="0"/>
          <w:color w:val="0000FF"/>
          <w:sz w:val="21"/>
          <w:szCs w:val="21"/>
          <w:highlight w:val="none"/>
          <w:u w:val="single"/>
        </w:rPr>
        <w:t>工期顺延，费用不予增补</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（2）因发包人原因未能按合同约定支付合同价款的违约责任：</w:t>
      </w:r>
      <w:r>
        <w:rPr>
          <w:rFonts w:hint="eastAsia" w:hAnsi="Times New Roman"/>
          <w:color w:val="auto"/>
          <w:sz w:val="21"/>
          <w:szCs w:val="21"/>
          <w:highlight w:val="none"/>
          <w:u w:val="single"/>
        </w:rPr>
        <w:t xml:space="preserve"> </w:t>
      </w:r>
      <w:r>
        <w:rPr>
          <w:rFonts w:hint="eastAsia" w:cs="宋体"/>
          <w:color w:val="0000FF"/>
          <w:sz w:val="21"/>
          <w:szCs w:val="21"/>
          <w:highlight w:val="none"/>
          <w:u w:val="single"/>
          <w:lang w:val="en-US" w:eastAsia="zh-CN"/>
        </w:rPr>
        <w:t>/</w:t>
      </w:r>
      <w:r>
        <w:rPr>
          <w:rFonts w:hint="eastAsia" w:hAnsi="Times New Roman"/>
          <w:color w:val="auto"/>
          <w:sz w:val="21"/>
          <w:szCs w:val="21"/>
          <w:highlight w:val="none"/>
          <w:u w:val="single"/>
        </w:rPr>
        <w:t xml:space="preserve"> </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（3）发包人违反第10.1款〔变更的范围〕第（2）项约定，自行实施被取消的工作或转由他人实施的违约责任：</w:t>
      </w:r>
      <w:r>
        <w:rPr>
          <w:rFonts w:hint="eastAsia" w:hAnsi="Times New Roman"/>
          <w:color w:val="auto"/>
          <w:sz w:val="21"/>
          <w:szCs w:val="21"/>
          <w:highlight w:val="none"/>
          <w:u w:val="single"/>
        </w:rPr>
        <w:t xml:space="preserve"> </w:t>
      </w:r>
      <w:r>
        <w:rPr>
          <w:rFonts w:hint="eastAsia" w:cs="宋体"/>
          <w:color w:val="0000FF"/>
          <w:sz w:val="21"/>
          <w:szCs w:val="21"/>
          <w:highlight w:val="none"/>
          <w:u w:val="single"/>
          <w:lang w:val="en-US" w:eastAsia="zh-CN"/>
        </w:rPr>
        <w:t>/</w:t>
      </w:r>
      <w:r>
        <w:rPr>
          <w:rFonts w:hint="eastAsia" w:hAnsi="Times New Roman"/>
          <w:color w:val="auto"/>
          <w:sz w:val="21"/>
          <w:szCs w:val="21"/>
          <w:highlight w:val="none"/>
          <w:u w:val="single"/>
        </w:rPr>
        <w:t xml:space="preserve"> </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（4）发包人提供的材料、工程设备的规格、数量或质量不符合合同约定，或因发包人原因导致交货日期延误或交货地点变更等情况的违约责任：</w:t>
      </w:r>
      <w:r>
        <w:rPr>
          <w:rFonts w:hint="eastAsia" w:hAnsi="Times New Roman"/>
          <w:color w:val="0000FF"/>
          <w:sz w:val="21"/>
          <w:szCs w:val="21"/>
          <w:highlight w:val="none"/>
          <w:u w:val="single"/>
        </w:rPr>
        <w:t>工期顺延、赔偿承包人因此造成的损失</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（5）因发包人违反合同约定造成暂停施工的违约责任：</w:t>
      </w:r>
      <w:r>
        <w:rPr>
          <w:rFonts w:hint="eastAsia" w:cs="宋体"/>
          <w:color w:val="0000FF"/>
          <w:sz w:val="21"/>
          <w:szCs w:val="21"/>
          <w:highlight w:val="none"/>
          <w:u w:val="single"/>
        </w:rPr>
        <w:t>执行通用合同条款</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（6）发包人无正当理由没有在约定期限内发出复工指示，导致承包人无法复工的违约责任：</w:t>
      </w:r>
      <w:r>
        <w:rPr>
          <w:rFonts w:hint="eastAsia" w:hAnsi="Times New Roman"/>
          <w:color w:val="0000FF"/>
          <w:sz w:val="21"/>
          <w:szCs w:val="21"/>
          <w:highlight w:val="none"/>
          <w:u w:val="single"/>
        </w:rPr>
        <w:t>工期顺延、赔偿承包人因此造成的损失</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（7）其他：</w:t>
      </w:r>
      <w:r>
        <w:rPr>
          <w:rFonts w:hint="eastAsia" w:cs="宋体"/>
          <w:color w:val="auto"/>
          <w:sz w:val="21"/>
          <w:szCs w:val="21"/>
          <w:highlight w:val="none"/>
          <w:u w:val="single"/>
        </w:rPr>
        <w:t xml:space="preserve"> </w:t>
      </w:r>
      <w:r>
        <w:rPr>
          <w:rFonts w:hint="eastAsia" w:cs="宋体"/>
          <w:color w:val="0000FF"/>
          <w:sz w:val="21"/>
          <w:szCs w:val="21"/>
          <w:highlight w:val="none"/>
          <w:u w:val="single"/>
          <w:lang w:val="en-US" w:eastAsia="zh-CN"/>
        </w:rPr>
        <w:t>/</w:t>
      </w:r>
      <w:r>
        <w:rPr>
          <w:rFonts w:hint="eastAsia" w:cs="宋体"/>
          <w:color w:val="auto"/>
          <w:sz w:val="21"/>
          <w:szCs w:val="21"/>
          <w:highlight w:val="none"/>
          <w:u w:val="single"/>
        </w:rPr>
        <w:t xml:space="preserve"> </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16.1.3 因发包人违约解除合同</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承包人按16.1.1项〔发包人违约的情形〕约定暂停施工满</w:t>
      </w:r>
      <w:r>
        <w:rPr>
          <w:rFonts w:hint="eastAsia" w:cs="宋体"/>
          <w:color w:val="auto"/>
          <w:sz w:val="21"/>
          <w:szCs w:val="21"/>
          <w:highlight w:val="none"/>
          <w:u w:val="single"/>
        </w:rPr>
        <w:t xml:space="preserve"> </w:t>
      </w:r>
      <w:r>
        <w:rPr>
          <w:rFonts w:hint="eastAsia" w:cs="宋体"/>
          <w:color w:val="0000FF"/>
          <w:sz w:val="21"/>
          <w:szCs w:val="21"/>
          <w:highlight w:val="none"/>
          <w:u w:val="single"/>
          <w:lang w:val="en-US" w:eastAsia="zh-CN"/>
        </w:rPr>
        <w:t>28</w:t>
      </w:r>
      <w:r>
        <w:rPr>
          <w:rFonts w:hint="eastAsia" w:cs="宋体"/>
          <w:color w:val="auto"/>
          <w:sz w:val="21"/>
          <w:szCs w:val="21"/>
          <w:highlight w:val="none"/>
          <w:u w:val="single"/>
        </w:rPr>
        <w:t xml:space="preserve"> </w:t>
      </w:r>
      <w:r>
        <w:rPr>
          <w:rFonts w:hint="eastAsia" w:cs="宋体"/>
          <w:color w:val="auto"/>
          <w:sz w:val="21"/>
          <w:szCs w:val="21"/>
          <w:highlight w:val="none"/>
        </w:rPr>
        <w:t>天后发包人仍不纠正其违约行为并致使合同目的不能实现的，承包人有权解除合同。</w:t>
      </w:r>
    </w:p>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16.2 承包人违约</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16.2.1 承包人违约的情形</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承包人违约的其他情形：</w:t>
      </w:r>
      <w:r>
        <w:rPr>
          <w:rFonts w:hint="eastAsia" w:cs="宋体"/>
          <w:color w:val="0000FF"/>
          <w:sz w:val="21"/>
          <w:szCs w:val="21"/>
          <w:highlight w:val="none"/>
          <w:u w:val="single"/>
        </w:rPr>
        <w:t>（1）质量达不到国家、省、厦门市现行验评标准中规定的合格等级，承包人应负责返工，直至通过验收，承包人应负责返工所发生的所有费用，所延误的工期不得顺延，赔偿发包人由此引起的一切损失。（2）经返工或补救后验收合格但造成永久性缺陷的或影响使用功能的，该部分工程不计入竣工结算工程量，同时发包人视缺陷的程度处以违约金，承包人不得有异议。（3）承包人应无条件配合发包人进行第三方评估体系、明源质量控制体系、厦门市代建工程考评等及各类检查等工作。（4）出现本合同约定的承包人违约情形（包括但不限于出现通用条款第16.2.1项约定的承包人违约情形），发包人或监理人发出整改通知，承包人在收到整改通知后仍不纠正违约行为的，发包人有权安排其它施工单位施工，费用标准按该施工单位报价支付，此费用在承包人工程应付款中代为扣除并支付给实际施工单位。发包人另行委托其他施工单位施工的行为并不免除承包人在本合同项下应承担的各项义务及违约责任等，且发包人有权解除合同，因此给发包人造成损失的，承包人还应承担赔偿责任</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16.2.2承包人违约的责任</w:t>
      </w:r>
    </w:p>
    <w:p>
      <w:pPr>
        <w:adjustRightInd w:val="0"/>
        <w:spacing w:line="360" w:lineRule="auto"/>
        <w:ind w:firstLine="420" w:firstLineChars="200"/>
        <w:jc w:val="left"/>
        <w:textAlignment w:val="baseline"/>
        <w:rPr>
          <w:rFonts w:cs="宋体"/>
          <w:color w:val="auto"/>
          <w:sz w:val="21"/>
          <w:szCs w:val="21"/>
          <w:highlight w:val="none"/>
          <w:u w:val="single"/>
        </w:rPr>
      </w:pPr>
      <w:r>
        <w:rPr>
          <w:rFonts w:hint="eastAsia" w:cs="宋体"/>
          <w:color w:val="auto"/>
          <w:sz w:val="21"/>
          <w:szCs w:val="21"/>
          <w:highlight w:val="none"/>
        </w:rPr>
        <w:t>承包人违约责任的承担方式和计算方法：</w:t>
      </w:r>
      <w:r>
        <w:rPr>
          <w:rFonts w:hint="eastAsia" w:cs="宋体"/>
          <w:color w:val="0000FF"/>
          <w:sz w:val="21"/>
          <w:szCs w:val="21"/>
          <w:highlight w:val="none"/>
          <w:u w:val="single"/>
        </w:rPr>
        <w:t>（1）承包人违反合同约定进行转包或违法分包的，发包人有权按照合同总额20%计算承包人违约金，发包人并有权选择继续履行合同或者解除合同。（2）承包人违反合同约定采购和使用不合格的材料和工程设备的，发包人有权要求承包人自行承担更换材料和设备并承担损失；无法更换的，发包人有权按照该批材料和工程设备的同等价值进行处罚</w:t>
      </w:r>
      <w:r>
        <w:rPr>
          <w:rFonts w:hint="eastAsia" w:cs="宋体"/>
          <w:color w:val="0000FF"/>
          <w:sz w:val="21"/>
          <w:szCs w:val="21"/>
          <w:highlight w:val="none"/>
          <w:u w:val="single"/>
          <w:lang w:eastAsia="zh-CN"/>
        </w:rPr>
        <w:t>，</w:t>
      </w:r>
      <w:r>
        <w:rPr>
          <w:rFonts w:hint="eastAsia" w:cs="宋体"/>
          <w:color w:val="0000FF"/>
          <w:sz w:val="21"/>
          <w:szCs w:val="21"/>
          <w:highlight w:val="none"/>
          <w:u w:val="single"/>
        </w:rPr>
        <w:t>由此延误的工期不得顺延</w:t>
      </w:r>
      <w:r>
        <w:rPr>
          <w:rFonts w:hint="eastAsia" w:ascii="宋体" w:hAnsi="宋体" w:eastAsia="宋体" w:cs="宋体"/>
          <w:color w:val="auto"/>
          <w:sz w:val="21"/>
          <w:szCs w:val="21"/>
          <w:highlight w:val="none"/>
          <w:u w:val="single"/>
        </w:rPr>
        <w:t>。</w:t>
      </w:r>
      <w:r>
        <w:rPr>
          <w:rFonts w:hint="eastAsia" w:cs="宋体"/>
          <w:color w:val="0000FF"/>
          <w:sz w:val="21"/>
          <w:szCs w:val="21"/>
          <w:highlight w:val="none"/>
          <w:u w:val="single"/>
        </w:rPr>
        <w:t>（3）承包人在缺陷责任期及保修期内，未能在合理期限对工程缺陷进行修复，或拒绝按发包人要求进行修复的，发包人有权自行修复或委托第三方修复，修复费用由承包人承担，并按照修复费用的30%计算承包人违约金，相关修复费用以发包人与第三方签署的合同约定为准，承包人不得有异议。以上费用和违约金，发包人有权直接从质量保证金中扣除，不足部分有权要求承包人偿付。（</w:t>
      </w:r>
      <w:r>
        <w:rPr>
          <w:rFonts w:hint="eastAsia" w:cs="宋体"/>
          <w:color w:val="0000FF"/>
          <w:sz w:val="21"/>
          <w:szCs w:val="21"/>
          <w:highlight w:val="none"/>
          <w:u w:val="single"/>
          <w:lang w:val="en-US" w:eastAsia="zh-CN"/>
        </w:rPr>
        <w:t>4</w:t>
      </w:r>
      <w:r>
        <w:rPr>
          <w:rFonts w:hint="eastAsia" w:cs="宋体"/>
          <w:color w:val="0000FF"/>
          <w:sz w:val="21"/>
          <w:szCs w:val="21"/>
          <w:highlight w:val="none"/>
          <w:u w:val="single"/>
        </w:rPr>
        <w:t>）承包人未按投标书承诺及合同约定的时间、数量、性能规格标准进场主要施工机械设备的，发包人有权要求承包人每日按2000元台次支付违约金，直至整改到位。承包人未在本工程开工前二日将经法定部门检定的仪器和本工程建设相关规范、规程配置在施工现场，接受监理单位检查，上述仪器及资料延期到位的，承包人必须按每台每天2000元支付违约金。（5）因承包人延误工期造成发包人对本工程所涉及逾期的违约，从而需向建设单位承担违约和赔偿责任的，承包人应当据实承担发包人的违约和赔偿责任。发包人届时可根据相关合同计算的应承担的违约金，从应付给承包人的工程款中暂扣相应款项作为承包人承担违约责任的保证金，直至发包人与建设单位就有关逾期违约事项结算完毕，再多还少补。因承包人原因影响其他专业施工，造成其他专业工期延误，所引起的其他专业工期延误违约金，一并由承包人承担。（</w:t>
      </w:r>
      <w:r>
        <w:rPr>
          <w:rFonts w:hint="eastAsia" w:cs="宋体"/>
          <w:color w:val="0000FF"/>
          <w:sz w:val="21"/>
          <w:szCs w:val="21"/>
          <w:highlight w:val="none"/>
          <w:u w:val="single"/>
          <w:lang w:val="en-US" w:eastAsia="zh-CN"/>
        </w:rPr>
        <w:t>6</w:t>
      </w:r>
      <w:r>
        <w:rPr>
          <w:rFonts w:hint="eastAsia" w:cs="宋体"/>
          <w:color w:val="0000FF"/>
          <w:sz w:val="21"/>
          <w:szCs w:val="21"/>
          <w:highlight w:val="none"/>
          <w:u w:val="single"/>
        </w:rPr>
        <w:t>）承包人违约的，除应承担相应违约责任外，还应赔偿发包人的全部损失，包括但不限于发包人为追索承包人违约责任而产生的诉讼费、保全费、执行费、公证费、鉴定费、律师费、差旅费等全部费用</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16.2.3 因承包人违约解除合同</w:t>
      </w:r>
    </w:p>
    <w:p>
      <w:pPr>
        <w:adjustRightInd w:val="0"/>
        <w:spacing w:before="0" w:after="0" w:line="360" w:lineRule="auto"/>
        <w:ind w:firstLine="420" w:firstLineChars="200"/>
        <w:textAlignment w:val="baseline"/>
        <w:rPr>
          <w:rFonts w:hint="eastAsia" w:cs="宋体"/>
          <w:color w:val="0000FF"/>
          <w:sz w:val="21"/>
          <w:szCs w:val="21"/>
          <w:highlight w:val="none"/>
          <w:u w:val="single"/>
        </w:rPr>
      </w:pPr>
      <w:r>
        <w:rPr>
          <w:rFonts w:hint="eastAsia" w:cs="宋体"/>
          <w:color w:val="auto"/>
          <w:sz w:val="21"/>
          <w:szCs w:val="21"/>
          <w:highlight w:val="none"/>
        </w:rPr>
        <w:t>关于承包人违约解除合同的特别约定：</w:t>
      </w:r>
      <w:r>
        <w:rPr>
          <w:rFonts w:hint="eastAsia" w:cs="宋体"/>
          <w:color w:val="0000FF"/>
          <w:sz w:val="21"/>
          <w:szCs w:val="21"/>
          <w:highlight w:val="none"/>
          <w:u w:val="single"/>
        </w:rPr>
        <w:t>承包人如有以下情况之一发生，发包人有权书面通知解除合同，通知至送达承包人或现场项目经理部后生效，同时发包人有权没收（兑付）全部履约担保（如有），并有权要求承包人按本合同签约总价款20%支付违约金。</w:t>
      </w:r>
    </w:p>
    <w:p>
      <w:pPr>
        <w:adjustRightInd w:val="0"/>
        <w:spacing w:before="0" w:after="0" w:line="360" w:lineRule="auto"/>
        <w:ind w:firstLine="0" w:firstLineChars="0"/>
        <w:textAlignment w:val="baseline"/>
        <w:rPr>
          <w:rFonts w:hint="eastAsia" w:cs="宋体"/>
          <w:color w:val="0000FF"/>
          <w:sz w:val="21"/>
          <w:szCs w:val="21"/>
          <w:highlight w:val="none"/>
          <w:u w:val="single"/>
        </w:rPr>
      </w:pPr>
      <w:r>
        <w:rPr>
          <w:rFonts w:hint="eastAsia" w:cs="宋体"/>
          <w:color w:val="0000FF"/>
          <w:sz w:val="21"/>
          <w:szCs w:val="21"/>
          <w:highlight w:val="none"/>
          <w:u w:val="single"/>
        </w:rPr>
        <w:t>（1）承包人在施工过程中擅自停工、窝工、施工缓慢或因承包人其他原因致使合同约定的工期（含关键节点工期）延误20%及以上或根本无法按照合同约定工期完工的。</w:t>
      </w:r>
    </w:p>
    <w:p>
      <w:pPr>
        <w:adjustRightInd w:val="0"/>
        <w:spacing w:before="0" w:after="0" w:line="360" w:lineRule="auto"/>
        <w:ind w:firstLine="0" w:firstLineChars="0"/>
        <w:textAlignment w:val="baseline"/>
        <w:rPr>
          <w:rFonts w:hint="eastAsia" w:cs="宋体"/>
          <w:color w:val="0000FF"/>
          <w:sz w:val="21"/>
          <w:szCs w:val="21"/>
          <w:highlight w:val="none"/>
          <w:u w:val="single"/>
        </w:rPr>
      </w:pPr>
      <w:r>
        <w:rPr>
          <w:rFonts w:hint="eastAsia" w:cs="宋体"/>
          <w:color w:val="0000FF"/>
          <w:sz w:val="21"/>
          <w:szCs w:val="21"/>
          <w:highlight w:val="none"/>
          <w:u w:val="single"/>
        </w:rPr>
        <w:t>（2）承包人在施工过程中的主要分部施工质量明显无法达到合格要求，经监理工程师或发包人要求整改却无正当理由拒绝整改的。</w:t>
      </w:r>
    </w:p>
    <w:p>
      <w:pPr>
        <w:adjustRightInd w:val="0"/>
        <w:spacing w:before="0" w:after="0" w:line="360" w:lineRule="auto"/>
        <w:ind w:firstLine="0" w:firstLineChars="0"/>
        <w:textAlignment w:val="baseline"/>
        <w:rPr>
          <w:rFonts w:hint="eastAsia" w:cs="宋体"/>
          <w:color w:val="0000FF"/>
          <w:sz w:val="21"/>
          <w:szCs w:val="21"/>
          <w:highlight w:val="none"/>
          <w:u w:val="single"/>
        </w:rPr>
      </w:pPr>
      <w:r>
        <w:rPr>
          <w:rFonts w:hint="eastAsia" w:cs="宋体"/>
          <w:color w:val="0000FF"/>
          <w:sz w:val="21"/>
          <w:szCs w:val="21"/>
          <w:highlight w:val="none"/>
          <w:u w:val="single"/>
        </w:rPr>
        <w:t>（3）承包人因其他法律纠纷或行政违法被查封冻结本工程共管户（专户）或有关司法部门要求发包人停止向其支付工程款或协助执行工程款的，致使合同无法继续履行的。</w:t>
      </w:r>
    </w:p>
    <w:p>
      <w:pPr>
        <w:adjustRightInd w:val="0"/>
        <w:spacing w:before="0" w:after="0" w:line="360" w:lineRule="auto"/>
        <w:ind w:firstLine="0" w:firstLineChars="0"/>
        <w:textAlignment w:val="baseline"/>
        <w:rPr>
          <w:rFonts w:hint="eastAsia" w:cs="宋体"/>
          <w:color w:val="0000FF"/>
          <w:sz w:val="21"/>
          <w:szCs w:val="21"/>
          <w:highlight w:val="none"/>
          <w:u w:val="single"/>
        </w:rPr>
      </w:pPr>
      <w:r>
        <w:rPr>
          <w:rFonts w:hint="eastAsia" w:cs="宋体"/>
          <w:color w:val="0000FF"/>
          <w:sz w:val="21"/>
          <w:szCs w:val="21"/>
          <w:highlight w:val="none"/>
          <w:u w:val="single"/>
        </w:rPr>
        <w:t>（4）承包人擅自更换本工程项目经理或项目管理班子中的人员不能及时到位或擅自更换，经发包人提出异议后10天内不纠正的。</w:t>
      </w:r>
    </w:p>
    <w:p>
      <w:pPr>
        <w:adjustRightInd w:val="0"/>
        <w:spacing w:before="0" w:after="0" w:line="360" w:lineRule="auto"/>
        <w:textAlignment w:val="baseline"/>
        <w:rPr>
          <w:rFonts w:hint="eastAsia" w:cs="宋体"/>
          <w:color w:val="0000FF"/>
          <w:sz w:val="21"/>
          <w:szCs w:val="21"/>
          <w:highlight w:val="none"/>
          <w:u w:val="single"/>
        </w:rPr>
      </w:pPr>
      <w:r>
        <w:rPr>
          <w:rFonts w:hint="eastAsia" w:cs="宋体"/>
          <w:color w:val="0000FF"/>
          <w:sz w:val="21"/>
          <w:szCs w:val="21"/>
          <w:highlight w:val="none"/>
          <w:u w:val="single"/>
        </w:rPr>
        <w:t>（5）承包人对共管账户（专户）的使用无法达到本合同约定的监管使用要求，且在一个月内仍无法整改的。</w:t>
      </w:r>
    </w:p>
    <w:p>
      <w:pPr>
        <w:adjustRightInd w:val="0"/>
        <w:spacing w:before="0" w:after="0" w:line="360" w:lineRule="auto"/>
        <w:textAlignment w:val="baseline"/>
        <w:rPr>
          <w:rFonts w:hint="eastAsia" w:cs="宋体"/>
          <w:color w:val="0000FF"/>
          <w:sz w:val="21"/>
          <w:szCs w:val="21"/>
          <w:highlight w:val="none"/>
          <w:u w:val="single"/>
        </w:rPr>
      </w:pPr>
      <w:r>
        <w:rPr>
          <w:rFonts w:hint="eastAsia" w:cs="宋体"/>
          <w:color w:val="0000FF"/>
          <w:sz w:val="21"/>
          <w:szCs w:val="21"/>
          <w:highlight w:val="none"/>
          <w:u w:val="single"/>
        </w:rPr>
        <w:t>（6）承包人因欠缴税款致使工程所在地税务主管部门拒绝为其提供税务发票的。</w:t>
      </w:r>
    </w:p>
    <w:p>
      <w:pPr>
        <w:adjustRightInd w:val="0"/>
        <w:spacing w:before="0" w:after="0" w:line="360" w:lineRule="auto"/>
        <w:textAlignment w:val="baseline"/>
        <w:rPr>
          <w:rFonts w:hint="eastAsia" w:cs="宋体"/>
          <w:color w:val="0000FF"/>
          <w:sz w:val="21"/>
          <w:szCs w:val="21"/>
          <w:highlight w:val="none"/>
          <w:u w:val="single"/>
        </w:rPr>
      </w:pPr>
      <w:r>
        <w:rPr>
          <w:rFonts w:hint="eastAsia" w:cs="宋体"/>
          <w:color w:val="0000FF"/>
          <w:sz w:val="21"/>
          <w:szCs w:val="21"/>
          <w:highlight w:val="none"/>
          <w:u w:val="single"/>
        </w:rPr>
        <w:t>（7）承包人破产或宣告停业清理，且此清理不是出于重组、重建或合并之目的。</w:t>
      </w:r>
    </w:p>
    <w:p>
      <w:pPr>
        <w:adjustRightInd w:val="0"/>
        <w:spacing w:before="0" w:after="0" w:line="360" w:lineRule="auto"/>
        <w:textAlignment w:val="baseline"/>
        <w:rPr>
          <w:rFonts w:hint="eastAsia" w:cs="宋体"/>
          <w:color w:val="0000FF"/>
          <w:sz w:val="21"/>
          <w:szCs w:val="21"/>
          <w:highlight w:val="none"/>
          <w:u w:val="single"/>
        </w:rPr>
      </w:pPr>
      <w:r>
        <w:rPr>
          <w:rFonts w:hint="eastAsia" w:cs="宋体"/>
          <w:color w:val="0000FF"/>
          <w:sz w:val="21"/>
          <w:szCs w:val="21"/>
          <w:highlight w:val="none"/>
          <w:u w:val="single"/>
        </w:rPr>
        <w:t>（8）承包人不具备履行本项目所需的相应资质与授权（包括发包人发包时要求的施工资质）或该等资质与授权在合同期内失效的。</w:t>
      </w:r>
    </w:p>
    <w:p>
      <w:pPr>
        <w:adjustRightInd w:val="0"/>
        <w:spacing w:before="0" w:after="0" w:line="360" w:lineRule="auto"/>
        <w:textAlignment w:val="baseline"/>
        <w:rPr>
          <w:rFonts w:hint="eastAsia" w:cs="宋体"/>
          <w:color w:val="0000FF"/>
          <w:sz w:val="21"/>
          <w:szCs w:val="21"/>
          <w:highlight w:val="none"/>
          <w:u w:val="single"/>
        </w:rPr>
      </w:pPr>
      <w:r>
        <w:rPr>
          <w:rFonts w:hint="eastAsia" w:cs="宋体"/>
          <w:color w:val="0000FF"/>
          <w:sz w:val="21"/>
          <w:szCs w:val="21"/>
          <w:highlight w:val="none"/>
          <w:u w:val="single"/>
        </w:rPr>
        <w:t>（9）承包人以自己的行为表示不继续或者无法继续履行合同的。</w:t>
      </w:r>
    </w:p>
    <w:p>
      <w:pPr>
        <w:adjustRightInd w:val="0"/>
        <w:spacing w:before="0" w:after="0" w:line="360" w:lineRule="auto"/>
        <w:textAlignment w:val="baseline"/>
        <w:rPr>
          <w:rFonts w:hint="eastAsia" w:cs="宋体"/>
          <w:color w:val="0000FF"/>
          <w:sz w:val="21"/>
          <w:szCs w:val="21"/>
          <w:highlight w:val="none"/>
          <w:u w:val="single"/>
        </w:rPr>
      </w:pPr>
      <w:r>
        <w:rPr>
          <w:rFonts w:hint="eastAsia" w:cs="宋体"/>
          <w:color w:val="0000FF"/>
          <w:sz w:val="21"/>
          <w:szCs w:val="21"/>
          <w:highlight w:val="none"/>
          <w:u w:val="single"/>
        </w:rPr>
        <w:t>（10）承包人违法转包、分包建设项目的。</w:t>
      </w:r>
    </w:p>
    <w:p>
      <w:pPr>
        <w:adjustRightInd w:val="0"/>
        <w:spacing w:before="0" w:after="0" w:line="360" w:lineRule="auto"/>
        <w:textAlignment w:val="baseline"/>
        <w:rPr>
          <w:rFonts w:hint="eastAsia" w:cs="宋体"/>
          <w:color w:val="0000FF"/>
          <w:sz w:val="21"/>
          <w:szCs w:val="21"/>
          <w:highlight w:val="none"/>
          <w:u w:val="single"/>
        </w:rPr>
      </w:pPr>
      <w:r>
        <w:rPr>
          <w:rFonts w:hint="eastAsia" w:cs="宋体"/>
          <w:color w:val="0000FF"/>
          <w:sz w:val="21"/>
          <w:szCs w:val="21"/>
          <w:highlight w:val="none"/>
          <w:u w:val="single"/>
        </w:rPr>
        <w:t>（11）因承包人原因发生重大安全事故的。</w:t>
      </w:r>
    </w:p>
    <w:p>
      <w:pPr>
        <w:adjustRightInd w:val="0"/>
        <w:spacing w:before="0" w:after="0" w:line="360" w:lineRule="auto"/>
        <w:textAlignment w:val="baseline"/>
        <w:rPr>
          <w:rFonts w:hint="eastAsia" w:cs="宋体"/>
          <w:color w:val="0000FF"/>
          <w:sz w:val="21"/>
          <w:szCs w:val="21"/>
          <w:highlight w:val="none"/>
          <w:u w:val="single"/>
        </w:rPr>
      </w:pPr>
      <w:r>
        <w:rPr>
          <w:rFonts w:hint="eastAsia" w:cs="宋体"/>
          <w:color w:val="0000FF"/>
          <w:sz w:val="21"/>
          <w:szCs w:val="21"/>
          <w:highlight w:val="none"/>
          <w:u w:val="single"/>
        </w:rPr>
        <w:t>（12）其他本合同约定的发包人有权解约情形：合同解除后，已完成的工程量由双方进行结算，承包人不配合结算的且经发包人书面催告后仍不限期配合，</w:t>
      </w:r>
      <w:r>
        <w:rPr>
          <w:rFonts w:hint="eastAsia" w:cs="宋体"/>
          <w:color w:val="FF0000"/>
          <w:sz w:val="21"/>
          <w:szCs w:val="21"/>
          <w:highlight w:val="none"/>
          <w:u w:val="single"/>
        </w:rPr>
        <w:t>发包人有权自行根据所掌握的资料审核，并以</w:t>
      </w:r>
      <w:r>
        <w:rPr>
          <w:rFonts w:hint="eastAsia" w:cs="宋体"/>
          <w:color w:val="FF0000"/>
          <w:sz w:val="21"/>
          <w:szCs w:val="21"/>
          <w:highlight w:val="none"/>
          <w:u w:val="single"/>
          <w:lang w:eastAsia="zh-CN"/>
        </w:rPr>
        <w:t>发包人</w:t>
      </w:r>
      <w:r>
        <w:rPr>
          <w:rFonts w:hint="eastAsia" w:cs="宋体"/>
          <w:color w:val="0000FF"/>
          <w:sz w:val="21"/>
          <w:szCs w:val="21"/>
          <w:highlight w:val="none"/>
          <w:u w:val="single"/>
        </w:rPr>
        <w:t>审核结果作为本项目已完工程部分的结算价，审核结论对双方均具有约束力，对此双方均无任何异议。</w:t>
      </w:r>
      <w:r>
        <w:rPr>
          <w:rFonts w:hint="eastAsia" w:cs="宋体"/>
          <w:color w:val="0000FF"/>
          <w:sz w:val="21"/>
          <w:szCs w:val="21"/>
          <w:highlight w:val="none"/>
          <w:u w:val="single"/>
          <w:lang w:val="en-US" w:eastAsia="zh-CN"/>
        </w:rPr>
        <w:t xml:space="preserve">  </w:t>
      </w:r>
      <w:r>
        <w:rPr>
          <w:rFonts w:hint="eastAsia" w:cs="宋体"/>
          <w:color w:val="0000FF"/>
          <w:sz w:val="21"/>
          <w:szCs w:val="21"/>
          <w:highlight w:val="none"/>
          <w:u w:val="single"/>
        </w:rPr>
        <w:t>合同解除后，承包人应于接到发包人通知后7日内无条件退出工程现场。合同解除后，承包人应妥善做好已完成工程和已购材料、设备的保护和移交工作，按发包人要求将自有机械设备和人员撤出施工场地。合同解除并不解除承包人对已施工部分的工程质量责任和保修责任及合同履行过程中的违约责任。</w:t>
      </w:r>
    </w:p>
    <w:p>
      <w:pPr>
        <w:adjustRightInd w:val="0"/>
        <w:spacing w:before="120"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发包人继续使用承包人在施工现场的材料、设备、临时工程、承包人文件和由承包人或以其名义编制的其他文件的费用承担方式：</w:t>
      </w:r>
      <w:r>
        <w:rPr>
          <w:rFonts w:hint="eastAsia" w:cs="宋体"/>
          <w:color w:val="0000FF"/>
          <w:sz w:val="21"/>
          <w:szCs w:val="21"/>
          <w:highlight w:val="none"/>
          <w:u w:val="single"/>
        </w:rPr>
        <w:t>由发包人支付承包人费用，费用金额由双方协商确定</w:t>
      </w:r>
      <w:r>
        <w:rPr>
          <w:rFonts w:hint="eastAsia" w:cs="宋体"/>
          <w:color w:val="auto"/>
          <w:sz w:val="21"/>
          <w:szCs w:val="21"/>
          <w:highlight w:val="none"/>
        </w:rPr>
        <w:t>。</w:t>
      </w:r>
    </w:p>
    <w:p>
      <w:pPr>
        <w:keepNext/>
        <w:keepLines/>
        <w:adjustRightInd w:val="0"/>
        <w:spacing w:beforeLines="50" w:line="360" w:lineRule="auto"/>
        <w:textAlignment w:val="baseline"/>
        <w:outlineLvl w:val="4"/>
        <w:rPr>
          <w:rFonts w:cs="宋体"/>
          <w:b/>
          <w:bCs/>
          <w:color w:val="auto"/>
          <w:sz w:val="21"/>
          <w:szCs w:val="21"/>
          <w:highlight w:val="none"/>
        </w:rPr>
      </w:pPr>
      <w:r>
        <w:rPr>
          <w:rFonts w:hint="eastAsia" w:cs="宋体"/>
          <w:b/>
          <w:bCs/>
          <w:color w:val="auto"/>
          <w:sz w:val="21"/>
          <w:szCs w:val="21"/>
          <w:highlight w:val="none"/>
        </w:rPr>
        <w:t>1</w:t>
      </w:r>
      <w:bookmarkStart w:id="1380" w:name="_Toc63471483"/>
      <w:bookmarkStart w:id="1381" w:name="_Toc13309401"/>
      <w:r>
        <w:rPr>
          <w:rFonts w:hint="eastAsia" w:cs="宋体"/>
          <w:b/>
          <w:bCs/>
          <w:color w:val="auto"/>
          <w:sz w:val="21"/>
          <w:szCs w:val="21"/>
          <w:highlight w:val="none"/>
        </w:rPr>
        <w:t xml:space="preserve">7. 不可抗力 </w:t>
      </w:r>
    </w:p>
    <w:bookmarkEnd w:id="1380"/>
    <w:bookmarkEnd w:id="1381"/>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17.1 不可抗力的确认</w:t>
      </w:r>
    </w:p>
    <w:p>
      <w:pPr>
        <w:adjustRightInd w:val="0"/>
        <w:spacing w:line="360" w:lineRule="auto"/>
        <w:jc w:val="left"/>
        <w:textAlignment w:val="baseline"/>
        <w:rPr>
          <w:rFonts w:cs="宋体"/>
          <w:color w:val="auto"/>
          <w:sz w:val="21"/>
          <w:szCs w:val="21"/>
          <w:highlight w:val="none"/>
          <w:u w:val="single"/>
        </w:rPr>
      </w:pPr>
      <w:r>
        <w:rPr>
          <w:rFonts w:hint="eastAsia" w:cs="宋体"/>
          <w:color w:val="auto"/>
          <w:sz w:val="21"/>
          <w:szCs w:val="21"/>
          <w:highlight w:val="none"/>
        </w:rPr>
        <w:t>除通用合同条款约定的不可抗力事件之外，视为不可抗力的其他情形：</w:t>
      </w:r>
      <w:r>
        <w:rPr>
          <w:rFonts w:hint="eastAsia" w:cs="宋体"/>
          <w:color w:val="0000FF"/>
          <w:sz w:val="21"/>
          <w:szCs w:val="21"/>
          <w:highlight w:val="none"/>
          <w:u w:val="single"/>
        </w:rPr>
        <w:t>（1）①7级以上的地震，②12级以上台风(以气象台发布的公告为准)，③24小时降雨量达到150毫米以上(以气象台发布的公告为准)，④战争、动乱、洪水、空中飞行物坠落或其他非发包人承包人责任造成的爆炸、火灾；（2）市级或市级以上人民政府发文内容涉及工程并足以造成发包人无法履行或按约定时间履行合同约定义务的</w:t>
      </w:r>
      <w:r>
        <w:rPr>
          <w:rFonts w:hint="eastAsia" w:cs="宋体"/>
          <w:color w:val="auto"/>
          <w:sz w:val="21"/>
          <w:szCs w:val="21"/>
          <w:highlight w:val="none"/>
        </w:rPr>
        <w:t>。</w:t>
      </w:r>
    </w:p>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17.4 因不可抗力解除合同</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合同解除后，发包人应在商定或确定发包人应支付款项后</w:t>
      </w:r>
      <w:r>
        <w:rPr>
          <w:rFonts w:hint="eastAsia" w:cs="宋体"/>
          <w:color w:val="auto"/>
          <w:sz w:val="21"/>
          <w:szCs w:val="21"/>
          <w:highlight w:val="none"/>
          <w:u w:val="single"/>
        </w:rPr>
        <w:t xml:space="preserve"> </w:t>
      </w:r>
      <w:r>
        <w:rPr>
          <w:rFonts w:hint="eastAsia" w:cs="宋体"/>
          <w:color w:val="0000FF"/>
          <w:sz w:val="21"/>
          <w:szCs w:val="21"/>
          <w:highlight w:val="none"/>
          <w:u w:val="single"/>
          <w:lang w:val="en-US" w:eastAsia="zh-CN"/>
        </w:rPr>
        <w:t>28</w:t>
      </w:r>
      <w:r>
        <w:rPr>
          <w:rFonts w:hint="eastAsia" w:cs="宋体"/>
          <w:color w:val="auto"/>
          <w:sz w:val="21"/>
          <w:szCs w:val="21"/>
          <w:highlight w:val="none"/>
          <w:u w:val="single"/>
        </w:rPr>
        <w:t xml:space="preserve">  </w:t>
      </w:r>
      <w:r>
        <w:rPr>
          <w:rFonts w:hint="eastAsia" w:cs="宋体"/>
          <w:color w:val="auto"/>
          <w:sz w:val="21"/>
          <w:szCs w:val="21"/>
          <w:highlight w:val="none"/>
        </w:rPr>
        <w:t>天内完成款项的支付。</w:t>
      </w:r>
    </w:p>
    <w:p>
      <w:pPr>
        <w:keepNext/>
        <w:keepLines/>
        <w:adjustRightInd w:val="0"/>
        <w:spacing w:beforeLines="50" w:line="360" w:lineRule="auto"/>
        <w:textAlignment w:val="baseline"/>
        <w:outlineLvl w:val="4"/>
        <w:rPr>
          <w:rFonts w:cs="宋体"/>
          <w:b/>
          <w:bCs/>
          <w:color w:val="auto"/>
          <w:sz w:val="21"/>
          <w:szCs w:val="21"/>
          <w:highlight w:val="none"/>
        </w:rPr>
      </w:pPr>
      <w:r>
        <w:rPr>
          <w:rFonts w:hint="eastAsia" w:cs="宋体"/>
          <w:b/>
          <w:bCs/>
          <w:color w:val="auto"/>
          <w:sz w:val="21"/>
          <w:szCs w:val="21"/>
          <w:highlight w:val="none"/>
        </w:rPr>
        <w:t>1</w:t>
      </w:r>
      <w:bookmarkStart w:id="1382" w:name="_Toc63471484"/>
      <w:bookmarkStart w:id="1383" w:name="_Toc13309402"/>
      <w:r>
        <w:rPr>
          <w:rFonts w:hint="eastAsia" w:cs="宋体"/>
          <w:b/>
          <w:bCs/>
          <w:color w:val="auto"/>
          <w:sz w:val="21"/>
          <w:szCs w:val="21"/>
          <w:highlight w:val="none"/>
        </w:rPr>
        <w:t>8. 保险</w:t>
      </w:r>
    </w:p>
    <w:bookmarkEnd w:id="1382"/>
    <w:bookmarkEnd w:id="1383"/>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18.1 工程保险</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single"/>
        </w:rPr>
      </w:pPr>
      <w:r>
        <w:rPr>
          <w:rFonts w:hint="eastAsia" w:cs="宋体"/>
          <w:color w:val="auto"/>
          <w:sz w:val="21"/>
          <w:szCs w:val="21"/>
          <w:highlight w:val="none"/>
        </w:rPr>
        <w:t>关于工程保险的特别约定：</w:t>
      </w:r>
      <w:r>
        <w:rPr>
          <w:rFonts w:hint="eastAsia" w:ascii="宋体" w:hAnsi="宋体" w:eastAsia="宋体" w:cs="宋体"/>
          <w:color w:val="0000FF"/>
          <w:kern w:val="0"/>
          <w:sz w:val="21"/>
          <w:szCs w:val="21"/>
          <w:highlight w:val="none"/>
          <w:u w:val="single"/>
          <w:lang w:val="en-US" w:eastAsia="zh-CN" w:bidi="ar"/>
        </w:rPr>
        <w:t xml:space="preserve">除执行通用合同条款还应满足以下内容：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single"/>
        </w:rPr>
      </w:pPr>
      <w:r>
        <w:rPr>
          <w:rFonts w:hint="eastAsia" w:ascii="宋体" w:hAnsi="宋体" w:eastAsia="宋体" w:cs="宋体"/>
          <w:color w:val="0000FF"/>
          <w:kern w:val="0"/>
          <w:sz w:val="21"/>
          <w:szCs w:val="21"/>
          <w:highlight w:val="none"/>
          <w:u w:val="single"/>
          <w:lang w:val="en-US" w:eastAsia="zh-CN" w:bidi="ar"/>
        </w:rPr>
        <w:t xml:space="preserve">①建筑工程一切险（含第三者责任险、甲供材料、设备）及自身的财产险、施工现场内的自身员工的人身伤害及财产险、从事高空危险作业员工的意外伤害及其它一切险，费用均由承包人承担。 </w:t>
      </w:r>
    </w:p>
    <w:p>
      <w:pPr>
        <w:adjustRightInd w:val="0"/>
        <w:spacing w:line="360" w:lineRule="auto"/>
        <w:ind w:firstLine="420" w:firstLineChars="200"/>
        <w:jc w:val="left"/>
        <w:textAlignment w:val="baseline"/>
        <w:rPr>
          <w:rFonts w:cs="宋体"/>
          <w:color w:val="auto"/>
          <w:sz w:val="21"/>
          <w:szCs w:val="21"/>
          <w:highlight w:val="none"/>
        </w:rPr>
      </w:pPr>
      <w:r>
        <w:rPr>
          <w:rFonts w:hint="eastAsia" w:ascii="宋体" w:hAnsi="宋体" w:eastAsia="宋体" w:cs="宋体"/>
          <w:color w:val="0000FF"/>
          <w:kern w:val="0"/>
          <w:sz w:val="21"/>
          <w:szCs w:val="21"/>
          <w:highlight w:val="none"/>
          <w:u w:val="single"/>
          <w:lang w:val="en-US" w:eastAsia="zh-CN" w:bidi="ar"/>
        </w:rPr>
        <w:t>②建筑工程一切险（含第三者责任险、甲供材料、设备）的第一受益人为发包人，保单原件由发包人保管；承包人必须确保投保金额按合同总价足额投保，投保时间和保险期起始时间不得迟于取得施工许可证之日和开工令颁发之日中最早时间，保险期限结束日期应晚于项目竣工验收备案并完成本工程移交日期，否则承包人需在到期日前完成续保；若承包人拒不投保或迟于上述规定时间投保，由此引起的一切损失及责任等均由承包人自行承担，发包人有权独立投保，相应保费直接自应付承包人工程款中代为扣除，承包人对此不持异议</w:t>
      </w:r>
      <w:r>
        <w:rPr>
          <w:rFonts w:hint="eastAsia" w:cs="宋体"/>
          <w:color w:val="auto"/>
          <w:sz w:val="21"/>
          <w:szCs w:val="21"/>
          <w:highlight w:val="none"/>
        </w:rPr>
        <w:t>。</w:t>
      </w:r>
    </w:p>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18.3 其他保险</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关于其他保险的约定：</w:t>
      </w:r>
      <w:r>
        <w:rPr>
          <w:rFonts w:hint="eastAsia" w:cs="宋体"/>
          <w:color w:val="0000FF"/>
          <w:sz w:val="21"/>
          <w:szCs w:val="21"/>
          <w:highlight w:val="none"/>
          <w:u w:val="single"/>
        </w:rPr>
        <w:t>承包人负责办理应由承包人投保的保险并支付保险费用。为了分散或降低风险，承包人可以办理其他商业保险，由此产生的风险、费用和开支由承包人承担，并已包含在合同价款之内，发包人不再另行支付</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承包人是否应为其施工设备等办理财产保险：</w:t>
      </w:r>
      <w:r>
        <w:rPr>
          <w:rFonts w:hint="eastAsia" w:cs="宋体"/>
          <w:color w:val="0000FF"/>
          <w:sz w:val="21"/>
          <w:szCs w:val="21"/>
          <w:highlight w:val="none"/>
          <w:u w:val="single"/>
        </w:rPr>
        <w:t>是</w:t>
      </w:r>
      <w:r>
        <w:rPr>
          <w:rFonts w:hint="eastAsia" w:cs="宋体"/>
          <w:color w:val="auto"/>
          <w:sz w:val="21"/>
          <w:szCs w:val="21"/>
          <w:highlight w:val="none"/>
        </w:rPr>
        <w:t>。</w:t>
      </w:r>
    </w:p>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18.7 通知义务</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关于变更保险合同时的通知义务的约定：</w:t>
      </w:r>
      <w:r>
        <w:rPr>
          <w:rFonts w:hint="eastAsia" w:cs="宋体"/>
          <w:color w:val="0000FF"/>
          <w:sz w:val="21"/>
          <w:szCs w:val="21"/>
          <w:highlight w:val="none"/>
          <w:u w:val="single"/>
        </w:rPr>
        <w:t>执行通用合同条款</w:t>
      </w:r>
      <w:r>
        <w:rPr>
          <w:rFonts w:hint="eastAsia" w:cs="宋体"/>
          <w:color w:val="auto"/>
          <w:sz w:val="21"/>
          <w:szCs w:val="21"/>
          <w:highlight w:val="none"/>
        </w:rPr>
        <w:t>。</w:t>
      </w:r>
    </w:p>
    <w:p>
      <w:pPr>
        <w:keepNext/>
        <w:keepLines/>
        <w:adjustRightInd w:val="0"/>
        <w:spacing w:beforeLines="50" w:line="360" w:lineRule="auto"/>
        <w:textAlignment w:val="baseline"/>
        <w:outlineLvl w:val="4"/>
        <w:rPr>
          <w:rFonts w:cs="宋体"/>
          <w:b/>
          <w:bCs/>
          <w:color w:val="auto"/>
          <w:sz w:val="21"/>
          <w:szCs w:val="21"/>
          <w:highlight w:val="none"/>
        </w:rPr>
      </w:pPr>
      <w:r>
        <w:rPr>
          <w:rFonts w:hint="eastAsia" w:cs="宋体"/>
          <w:b/>
          <w:bCs/>
          <w:color w:val="auto"/>
          <w:sz w:val="21"/>
          <w:szCs w:val="21"/>
          <w:highlight w:val="none"/>
        </w:rPr>
        <w:t>2</w:t>
      </w:r>
      <w:bookmarkStart w:id="1384" w:name="_Toc13309403"/>
      <w:bookmarkStart w:id="1385" w:name="_Toc63471485"/>
      <w:r>
        <w:rPr>
          <w:rFonts w:hint="eastAsia" w:cs="宋体"/>
          <w:b/>
          <w:bCs/>
          <w:color w:val="auto"/>
          <w:sz w:val="21"/>
          <w:szCs w:val="21"/>
          <w:highlight w:val="none"/>
        </w:rPr>
        <w:t>0. 争议解决</w:t>
      </w:r>
    </w:p>
    <w:bookmarkEnd w:id="1384"/>
    <w:bookmarkEnd w:id="1385"/>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20.3 争议评审</w:t>
      </w:r>
    </w:p>
    <w:p>
      <w:pPr>
        <w:adjustRightInd w:val="0"/>
        <w:spacing w:line="360" w:lineRule="auto"/>
        <w:ind w:left="241" w:leftChars="71" w:firstLine="315" w:firstLineChars="150"/>
        <w:jc w:val="left"/>
        <w:textAlignment w:val="baseline"/>
        <w:rPr>
          <w:rFonts w:cs="宋体"/>
          <w:color w:val="auto"/>
          <w:sz w:val="21"/>
          <w:szCs w:val="21"/>
          <w:highlight w:val="none"/>
        </w:rPr>
      </w:pPr>
      <w:r>
        <w:rPr>
          <w:rFonts w:hint="eastAsia" w:cs="宋体"/>
          <w:color w:val="auto"/>
          <w:sz w:val="21"/>
          <w:szCs w:val="21"/>
          <w:highlight w:val="none"/>
        </w:rPr>
        <w:t>合同当事人是否同意将工程争议提交争议评审小组决定：</w:t>
      </w:r>
      <w:r>
        <w:rPr>
          <w:rFonts w:hint="eastAsia" w:cs="宋体"/>
          <w:color w:val="0000FF"/>
          <w:sz w:val="21"/>
          <w:szCs w:val="21"/>
          <w:highlight w:val="none"/>
          <w:u w:val="single"/>
        </w:rPr>
        <w:t>执行通用合同条款</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20.3.1 争议评审小组的确定</w:t>
      </w:r>
    </w:p>
    <w:p>
      <w:pPr>
        <w:adjustRightInd w:val="0"/>
        <w:spacing w:line="360" w:lineRule="auto"/>
        <w:ind w:firstLine="420" w:firstLineChars="200"/>
        <w:jc w:val="left"/>
        <w:textAlignment w:val="baseline"/>
        <w:rPr>
          <w:rFonts w:cs="宋体"/>
          <w:color w:val="auto"/>
          <w:sz w:val="21"/>
          <w:szCs w:val="21"/>
          <w:highlight w:val="none"/>
          <w:u w:val="single"/>
        </w:rPr>
      </w:pPr>
      <w:r>
        <w:rPr>
          <w:rFonts w:hint="eastAsia" w:cs="宋体"/>
          <w:color w:val="auto"/>
          <w:sz w:val="21"/>
          <w:szCs w:val="21"/>
          <w:highlight w:val="none"/>
        </w:rPr>
        <w:t>争议评审小组成员的确定：</w:t>
      </w:r>
      <w:r>
        <w:rPr>
          <w:rFonts w:hint="eastAsia" w:cs="宋体"/>
          <w:color w:val="0000FF"/>
          <w:sz w:val="21"/>
          <w:szCs w:val="21"/>
          <w:highlight w:val="none"/>
          <w:u w:val="single"/>
        </w:rPr>
        <w:t>执行通用合同条款</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选定争议评审员的期限：</w:t>
      </w:r>
      <w:r>
        <w:rPr>
          <w:rFonts w:hint="eastAsia" w:cs="宋体"/>
          <w:color w:val="0000FF"/>
          <w:sz w:val="21"/>
          <w:szCs w:val="21"/>
          <w:highlight w:val="none"/>
          <w:u w:val="single"/>
        </w:rPr>
        <w:t>执行通用合同条款</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争议评审小组成员的报酬承担方式：</w:t>
      </w:r>
      <w:r>
        <w:rPr>
          <w:rFonts w:hint="eastAsia" w:cs="宋体"/>
          <w:color w:val="0000FF"/>
          <w:sz w:val="21"/>
          <w:szCs w:val="21"/>
          <w:highlight w:val="none"/>
          <w:u w:val="single"/>
        </w:rPr>
        <w:t>执行通用合同条款</w:t>
      </w:r>
      <w:r>
        <w:rPr>
          <w:rFonts w:hint="eastAsia" w:cs="宋体"/>
          <w:color w:val="auto"/>
          <w:sz w:val="21"/>
          <w:szCs w:val="21"/>
          <w:highlight w:val="none"/>
        </w:rPr>
        <w:t>。</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其他事项的约定：</w:t>
      </w:r>
      <w:r>
        <w:rPr>
          <w:rFonts w:hint="eastAsia" w:cs="宋体"/>
          <w:color w:val="auto"/>
          <w:sz w:val="21"/>
          <w:szCs w:val="21"/>
          <w:highlight w:val="none"/>
          <w:u w:val="single"/>
        </w:rPr>
        <w:t xml:space="preserve"> </w:t>
      </w:r>
      <w:r>
        <w:rPr>
          <w:rFonts w:hint="eastAsia" w:cs="宋体"/>
          <w:color w:val="0000FF"/>
          <w:sz w:val="21"/>
          <w:szCs w:val="21"/>
          <w:highlight w:val="none"/>
          <w:u w:val="single"/>
          <w:lang w:val="en-US" w:eastAsia="zh-CN"/>
        </w:rPr>
        <w:t>/</w:t>
      </w:r>
      <w:r>
        <w:rPr>
          <w:rFonts w:hint="eastAsia" w:cs="宋体"/>
          <w:color w:val="auto"/>
          <w:sz w:val="21"/>
          <w:szCs w:val="21"/>
          <w:highlight w:val="none"/>
          <w:u w:val="single"/>
        </w:rPr>
        <w:t xml:space="preserve"> </w:t>
      </w:r>
      <w:r>
        <w:rPr>
          <w:rFonts w:hint="eastAsia" w:cs="宋体"/>
          <w:color w:val="auto"/>
          <w:sz w:val="21"/>
          <w:szCs w:val="21"/>
          <w:highlight w:val="none"/>
        </w:rPr>
        <w:t>。</w:t>
      </w:r>
    </w:p>
    <w:p>
      <w:pPr>
        <w:autoSpaceDE w:val="0"/>
        <w:autoSpaceDN w:val="0"/>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20.3.2 争议评审小组的决定</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合同当事人关于本项的约定：</w:t>
      </w:r>
      <w:r>
        <w:rPr>
          <w:rFonts w:hint="eastAsia" w:cs="宋体"/>
          <w:color w:val="0000FF"/>
          <w:sz w:val="21"/>
          <w:szCs w:val="21"/>
          <w:highlight w:val="none"/>
          <w:u w:val="single"/>
        </w:rPr>
        <w:t>执行通用合同条款</w:t>
      </w:r>
      <w:r>
        <w:rPr>
          <w:rFonts w:hint="eastAsia" w:cs="宋体"/>
          <w:color w:val="auto"/>
          <w:sz w:val="21"/>
          <w:szCs w:val="21"/>
          <w:highlight w:val="none"/>
        </w:rPr>
        <w:t>。</w:t>
      </w:r>
    </w:p>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20.4仲裁或诉讼</w:t>
      </w:r>
    </w:p>
    <w:p>
      <w:pPr>
        <w:adjustRightInd w:val="0"/>
        <w:spacing w:after="120"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因合同及合同有关事项发生的争议，按下列第</w:t>
      </w:r>
      <w:r>
        <w:rPr>
          <w:rFonts w:hint="eastAsia" w:cs="宋体"/>
          <w:color w:val="auto"/>
          <w:sz w:val="21"/>
          <w:szCs w:val="21"/>
          <w:highlight w:val="none"/>
          <w:u w:val="single"/>
        </w:rPr>
        <w:t xml:space="preserve">  2   </w:t>
      </w:r>
      <w:r>
        <w:rPr>
          <w:rFonts w:hint="eastAsia" w:cs="宋体"/>
          <w:color w:val="auto"/>
          <w:sz w:val="21"/>
          <w:szCs w:val="21"/>
          <w:highlight w:val="none"/>
        </w:rPr>
        <w:t>种方式解决：</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（1）向</w:t>
      </w:r>
      <w:r>
        <w:rPr>
          <w:rFonts w:hint="eastAsia" w:cs="宋体"/>
          <w:color w:val="auto"/>
          <w:sz w:val="21"/>
          <w:szCs w:val="21"/>
          <w:highlight w:val="none"/>
          <w:u w:val="single"/>
        </w:rPr>
        <w:t xml:space="preserve">   /   </w:t>
      </w:r>
      <w:r>
        <w:rPr>
          <w:rFonts w:hint="eastAsia" w:cs="宋体"/>
          <w:color w:val="auto"/>
          <w:sz w:val="21"/>
          <w:szCs w:val="21"/>
          <w:highlight w:val="none"/>
        </w:rPr>
        <w:t>仲裁委员会申请仲裁；</w:t>
      </w:r>
    </w:p>
    <w:p>
      <w:pPr>
        <w:adjustRightInd w:val="0"/>
        <w:spacing w:line="360" w:lineRule="auto"/>
        <w:ind w:firstLine="420" w:firstLineChars="200"/>
        <w:jc w:val="left"/>
        <w:textAlignment w:val="baseline"/>
        <w:rPr>
          <w:rFonts w:cs="宋体"/>
          <w:color w:val="auto"/>
          <w:sz w:val="24"/>
          <w:szCs w:val="24"/>
          <w:highlight w:val="none"/>
        </w:rPr>
      </w:pPr>
      <w:r>
        <w:rPr>
          <w:rFonts w:hint="eastAsia" w:cs="宋体"/>
          <w:color w:val="auto"/>
          <w:sz w:val="21"/>
          <w:szCs w:val="21"/>
          <w:highlight w:val="none"/>
        </w:rPr>
        <w:t>（2）向</w:t>
      </w:r>
      <w:r>
        <w:rPr>
          <w:rFonts w:hint="eastAsia" w:cs="宋体"/>
          <w:color w:val="auto"/>
          <w:sz w:val="21"/>
          <w:szCs w:val="21"/>
          <w:highlight w:val="none"/>
          <w:u w:val="single"/>
        </w:rPr>
        <w:t xml:space="preserve">  项目所在地  </w:t>
      </w:r>
      <w:r>
        <w:rPr>
          <w:rFonts w:hint="eastAsia" w:cs="宋体"/>
          <w:color w:val="auto"/>
          <w:sz w:val="21"/>
          <w:szCs w:val="21"/>
          <w:highlight w:val="none"/>
        </w:rPr>
        <w:t>人民法院起诉</w:t>
      </w:r>
      <w:r>
        <w:rPr>
          <w:rFonts w:hint="eastAsia" w:cs="宋体"/>
          <w:color w:val="auto"/>
          <w:sz w:val="24"/>
          <w:szCs w:val="24"/>
          <w:highlight w:val="none"/>
        </w:rPr>
        <w:t>。</w:t>
      </w:r>
    </w:p>
    <w:p>
      <w:pPr>
        <w:pStyle w:val="59"/>
        <w:spacing w:line="360" w:lineRule="auto"/>
        <w:ind w:firstLine="0"/>
        <w:rPr>
          <w:rFonts w:cs="宋体"/>
          <w:b/>
          <w:color w:val="auto"/>
          <w:szCs w:val="21"/>
          <w:highlight w:val="none"/>
        </w:rPr>
      </w:pPr>
      <w:r>
        <w:rPr>
          <w:rFonts w:hAnsi="黑体" w:eastAsia="黑体"/>
          <w:b/>
          <w:bCs/>
          <w:color w:val="auto"/>
          <w:kern w:val="1"/>
          <w:sz w:val="24"/>
          <w:szCs w:val="28"/>
          <w:highlight w:val="none"/>
          <w:lang w:val="zh-CN"/>
        </w:rPr>
        <w:br w:type="page"/>
      </w:r>
    </w:p>
    <w:p>
      <w:pPr>
        <w:pStyle w:val="59"/>
        <w:spacing w:line="360" w:lineRule="auto"/>
        <w:ind w:firstLine="0"/>
        <w:jc w:val="center"/>
        <w:outlineLvl w:val="1"/>
        <w:rPr>
          <w:rFonts w:ascii="宋体" w:hAnsi="宋体" w:cs="宋体"/>
          <w:b/>
          <w:bCs/>
          <w:sz w:val="28"/>
          <w:szCs w:val="28"/>
          <w:highlight w:val="none"/>
          <w:lang w:val="zh-CN"/>
        </w:rPr>
      </w:pPr>
      <w:bookmarkStart w:id="1386" w:name="_Toc28447"/>
      <w:bookmarkStart w:id="1387" w:name="_Toc14368"/>
      <w:bookmarkStart w:id="1388" w:name="_Toc84419873"/>
      <w:bookmarkStart w:id="1389" w:name="_Toc63471487"/>
      <w:bookmarkStart w:id="1390" w:name="_Toc21377"/>
      <w:bookmarkStart w:id="1391" w:name="_Toc61877323"/>
      <w:bookmarkStart w:id="1392" w:name="_Toc20343"/>
      <w:bookmarkStart w:id="1393" w:name="_Toc22426"/>
      <w:bookmarkStart w:id="1394" w:name="_Toc106703310"/>
      <w:bookmarkStart w:id="1395" w:name="_Toc52112981"/>
      <w:bookmarkStart w:id="1396" w:name="_Toc19355"/>
      <w:bookmarkStart w:id="1397" w:name="_Toc17172"/>
      <w:bookmarkStart w:id="1398" w:name="_Toc6359"/>
      <w:bookmarkStart w:id="1399" w:name="_Toc15057"/>
      <w:bookmarkStart w:id="1400" w:name="_Toc25505"/>
      <w:bookmarkStart w:id="1401" w:name="_Toc16832"/>
      <w:bookmarkStart w:id="1402" w:name="_Toc95912257"/>
      <w:r>
        <w:rPr>
          <w:rFonts w:hint="eastAsia" w:ascii="宋体" w:hAnsi="宋体" w:cs="宋体"/>
          <w:b/>
          <w:bCs/>
          <w:sz w:val="28"/>
          <w:szCs w:val="28"/>
          <w:highlight w:val="none"/>
          <w:lang w:val="zh-CN"/>
        </w:rPr>
        <w:t>专用合同条款补正表</w:t>
      </w:r>
      <w:bookmarkEnd w:id="1386"/>
      <w:bookmarkEnd w:id="1387"/>
    </w:p>
    <w:tbl>
      <w:tblPr>
        <w:tblStyle w:val="60"/>
        <w:tblW w:w="10036" w:type="dxa"/>
        <w:tblInd w:w="-1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8"/>
        <w:gridCol w:w="857"/>
        <w:gridCol w:w="3109"/>
        <w:gridCol w:w="5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708" w:type="dxa"/>
            <w:noWrap w:val="0"/>
            <w:vAlign w:val="center"/>
          </w:tcPr>
          <w:p>
            <w:pPr>
              <w:pStyle w:val="59"/>
              <w:pageBreakBefore w:val="0"/>
              <w:kinsoku/>
              <w:wordWrap/>
              <w:overflowPunct/>
              <w:topLinePunct w:val="0"/>
              <w:bidi w:val="0"/>
              <w:snapToGrid/>
              <w:spacing w:after="0" w:line="360" w:lineRule="auto"/>
              <w:ind w:left="0" w:firstLine="0"/>
              <w:jc w:val="center"/>
              <w:textAlignment w:val="top"/>
              <w:rPr>
                <w:rFonts w:hint="eastAsia" w:ascii="宋体" w:hAnsi="宋体" w:eastAsia="宋体" w:cs="宋体"/>
                <w:b/>
                <w:bCs/>
                <w:color w:val="0000FF"/>
                <w:szCs w:val="21"/>
                <w:highlight w:val="none"/>
                <w:lang w:val="zh-CN"/>
              </w:rPr>
            </w:pPr>
            <w:r>
              <w:rPr>
                <w:rFonts w:hint="eastAsia" w:ascii="宋体" w:hAnsi="宋体" w:eastAsia="宋体" w:cs="宋体"/>
                <w:b/>
                <w:bCs/>
                <w:color w:val="0000FF"/>
                <w:szCs w:val="21"/>
                <w:highlight w:val="none"/>
                <w:lang w:val="zh-CN"/>
              </w:rPr>
              <w:t>序号</w:t>
            </w:r>
          </w:p>
        </w:tc>
        <w:tc>
          <w:tcPr>
            <w:tcW w:w="857" w:type="dxa"/>
            <w:noWrap w:val="0"/>
            <w:vAlign w:val="center"/>
          </w:tcPr>
          <w:p>
            <w:pPr>
              <w:pStyle w:val="59"/>
              <w:pageBreakBefore w:val="0"/>
              <w:kinsoku/>
              <w:wordWrap/>
              <w:overflowPunct/>
              <w:topLinePunct w:val="0"/>
              <w:bidi w:val="0"/>
              <w:snapToGrid/>
              <w:spacing w:after="0" w:line="360" w:lineRule="auto"/>
              <w:ind w:left="0" w:firstLine="0"/>
              <w:jc w:val="center"/>
              <w:textAlignment w:val="top"/>
              <w:rPr>
                <w:rFonts w:hint="eastAsia" w:ascii="宋体" w:hAnsi="宋体" w:eastAsia="宋体" w:cs="宋体"/>
                <w:b/>
                <w:bCs/>
                <w:color w:val="0000FF"/>
                <w:szCs w:val="21"/>
                <w:highlight w:val="none"/>
                <w:lang w:val="zh-CN"/>
              </w:rPr>
            </w:pPr>
            <w:r>
              <w:rPr>
                <w:rFonts w:hint="eastAsia" w:ascii="宋体" w:hAnsi="宋体" w:eastAsia="宋体" w:cs="宋体"/>
                <w:b/>
                <w:bCs/>
                <w:color w:val="0000FF"/>
                <w:szCs w:val="21"/>
                <w:highlight w:val="none"/>
                <w:lang w:val="zh-CN"/>
              </w:rPr>
              <w:t>条款号</w:t>
            </w:r>
          </w:p>
        </w:tc>
        <w:tc>
          <w:tcPr>
            <w:tcW w:w="3109" w:type="dxa"/>
            <w:noWrap w:val="0"/>
            <w:vAlign w:val="center"/>
          </w:tcPr>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bCs/>
                <w:color w:val="0000FF"/>
                <w:szCs w:val="21"/>
                <w:highlight w:val="none"/>
                <w:lang w:val="zh-CN"/>
              </w:rPr>
            </w:pPr>
            <w:r>
              <w:rPr>
                <w:rFonts w:hint="eastAsia" w:ascii="宋体" w:hAnsi="宋体" w:eastAsia="宋体" w:cs="宋体"/>
                <w:b/>
                <w:bCs/>
                <w:color w:val="0000FF"/>
                <w:szCs w:val="21"/>
                <w:highlight w:val="none"/>
                <w:lang w:val="zh-CN"/>
              </w:rPr>
              <w:t>专用合同条款内容</w:t>
            </w:r>
          </w:p>
        </w:tc>
        <w:tc>
          <w:tcPr>
            <w:tcW w:w="5362" w:type="dxa"/>
            <w:noWrap w:val="0"/>
            <w:vAlign w:val="center"/>
          </w:tcPr>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bCs/>
                <w:color w:val="0000FF"/>
                <w:szCs w:val="21"/>
                <w:highlight w:val="none"/>
                <w:lang w:val="zh-CN"/>
              </w:rPr>
            </w:pPr>
            <w:r>
              <w:rPr>
                <w:rFonts w:hint="eastAsia" w:ascii="宋体" w:hAnsi="宋体" w:eastAsia="宋体" w:cs="宋体"/>
                <w:b/>
                <w:bCs/>
                <w:color w:val="0000FF"/>
                <w:szCs w:val="21"/>
                <w:highlight w:val="none"/>
                <w:lang w:val="zh-CN"/>
              </w:rPr>
              <w:t>删除、补充或修改后内容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708" w:type="dxa"/>
            <w:noWrap w:val="0"/>
            <w:vAlign w:val="center"/>
          </w:tcPr>
          <w:p>
            <w:pPr>
              <w:pStyle w:val="59"/>
              <w:pageBreakBefore w:val="0"/>
              <w:kinsoku/>
              <w:wordWrap/>
              <w:overflowPunct/>
              <w:topLinePunct w:val="0"/>
              <w:bidi w:val="0"/>
              <w:snapToGrid/>
              <w:spacing w:after="0" w:line="360" w:lineRule="auto"/>
              <w:ind w:left="0" w:firstLine="0"/>
              <w:jc w:val="center"/>
              <w:textAlignment w:val="top"/>
              <w:rPr>
                <w:rFonts w:hint="eastAsia" w:ascii="宋体" w:hAnsi="宋体" w:eastAsia="宋体" w:cs="宋体"/>
                <w:b/>
                <w:bCs/>
                <w:color w:val="0000FF"/>
                <w:szCs w:val="21"/>
                <w:highlight w:val="none"/>
                <w:lang w:val="en-US" w:eastAsia="zh-CN"/>
              </w:rPr>
            </w:pPr>
            <w:r>
              <w:rPr>
                <w:rFonts w:hint="eastAsia" w:ascii="宋体" w:hAnsi="宋体" w:cs="宋体"/>
                <w:b/>
                <w:bCs/>
                <w:color w:val="0000FF"/>
                <w:szCs w:val="21"/>
                <w:highlight w:val="none"/>
                <w:lang w:val="en-US" w:eastAsia="zh-CN"/>
              </w:rPr>
              <w:t>1</w:t>
            </w:r>
          </w:p>
        </w:tc>
        <w:tc>
          <w:tcPr>
            <w:tcW w:w="857" w:type="dxa"/>
            <w:noWrap w:val="0"/>
            <w:vAlign w:val="center"/>
          </w:tcPr>
          <w:p>
            <w:pPr>
              <w:pStyle w:val="59"/>
              <w:pageBreakBefore w:val="0"/>
              <w:kinsoku/>
              <w:wordWrap/>
              <w:overflowPunct/>
              <w:topLinePunct w:val="0"/>
              <w:bidi w:val="0"/>
              <w:snapToGrid/>
              <w:spacing w:after="0" w:line="360" w:lineRule="auto"/>
              <w:ind w:left="0" w:firstLine="0"/>
              <w:jc w:val="center"/>
              <w:textAlignment w:val="top"/>
              <w:rPr>
                <w:rFonts w:hint="default" w:ascii="宋体" w:hAnsi="宋体" w:eastAsia="宋体" w:cs="宋体"/>
                <w:b/>
                <w:bCs/>
                <w:color w:val="0000FF"/>
                <w:szCs w:val="21"/>
                <w:highlight w:val="none"/>
                <w:lang w:val="en-US" w:eastAsia="zh-CN"/>
              </w:rPr>
            </w:pPr>
            <w:r>
              <w:rPr>
                <w:rFonts w:hint="eastAsia" w:ascii="宋体" w:hAnsi="宋体" w:cs="宋体"/>
                <w:b w:val="0"/>
                <w:bCs w:val="0"/>
                <w:color w:val="0000FF"/>
                <w:szCs w:val="21"/>
                <w:highlight w:val="none"/>
                <w:u w:val="single"/>
                <w:lang w:val="en-US" w:eastAsia="zh-CN"/>
              </w:rPr>
              <w:t>1.3</w:t>
            </w:r>
          </w:p>
        </w:tc>
        <w:tc>
          <w:tcPr>
            <w:tcW w:w="3109" w:type="dxa"/>
            <w:noWrap w:val="0"/>
            <w:vAlign w:val="center"/>
          </w:tcPr>
          <w:p>
            <w:pPr>
              <w:pageBreakBefore w:val="0"/>
              <w:widowControl/>
              <w:kinsoku/>
              <w:wordWrap/>
              <w:overflowPunct/>
              <w:topLinePunct w:val="0"/>
              <w:bidi w:val="0"/>
              <w:snapToGrid/>
              <w:spacing w:after="0" w:line="360" w:lineRule="auto"/>
              <w:ind w:left="0"/>
              <w:jc w:val="left"/>
              <w:textAlignment w:val="auto"/>
              <w:rPr>
                <w:rFonts w:hint="eastAsia" w:ascii="宋体" w:hAnsi="宋体" w:eastAsia="宋体" w:cs="宋体"/>
                <w:b/>
                <w:bCs/>
                <w:color w:val="0000FF"/>
                <w:szCs w:val="21"/>
                <w:highlight w:val="none"/>
                <w:lang w:val="zh-CN"/>
              </w:rPr>
            </w:pPr>
            <w:r>
              <w:rPr>
                <w:rFonts w:hint="eastAsia" w:ascii="Times New Roman" w:hAnsi="Times New Roman" w:eastAsia="宋体" w:cs="Calibri"/>
                <w:color w:val="0000FF"/>
                <w:kern w:val="1"/>
                <w:sz w:val="21"/>
                <w:szCs w:val="21"/>
                <w:highlight w:val="none"/>
                <w:lang w:val="en-US" w:eastAsia="zh-CN" w:bidi="ar-SA"/>
              </w:rPr>
              <w:t>适用于合同的其他规范性文件：厦门市建设管理相关规范性文件均适用于本合同。</w:t>
            </w:r>
          </w:p>
        </w:tc>
        <w:tc>
          <w:tcPr>
            <w:tcW w:w="5362" w:type="dxa"/>
            <w:noWrap w:val="0"/>
            <w:vAlign w:val="center"/>
          </w:tcPr>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bCs/>
                <w:color w:val="0000FF"/>
                <w:szCs w:val="21"/>
                <w:highlight w:val="none"/>
                <w:lang w:val="zh-CN"/>
              </w:rPr>
            </w:pPr>
            <w:r>
              <w:rPr>
                <w:rFonts w:hint="eastAsia" w:cs="Calibri"/>
                <w:color w:val="0000FF"/>
                <w:sz w:val="21"/>
                <w:szCs w:val="21"/>
                <w:highlight w:val="none"/>
                <w:lang w:val="en-US" w:eastAsia="zh-CN"/>
              </w:rPr>
              <w:t>适用于合同的其他规范性文件：国家现行的法律、法规，厦门市建设管理相关规范性文件均适用于本合同。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708" w:type="dxa"/>
            <w:noWrap w:val="0"/>
            <w:vAlign w:val="center"/>
          </w:tcPr>
          <w:p>
            <w:pPr>
              <w:pStyle w:val="59"/>
              <w:pageBreakBefore w:val="0"/>
              <w:kinsoku/>
              <w:wordWrap/>
              <w:overflowPunct/>
              <w:topLinePunct w:val="0"/>
              <w:bidi w:val="0"/>
              <w:snapToGrid/>
              <w:spacing w:after="0" w:line="360" w:lineRule="auto"/>
              <w:ind w:left="0" w:firstLine="0"/>
              <w:jc w:val="center"/>
              <w:textAlignment w:val="top"/>
              <w:rPr>
                <w:rFonts w:hint="eastAsia" w:ascii="宋体" w:hAnsi="宋体" w:eastAsia="宋体" w:cs="宋体"/>
                <w:b w:val="0"/>
                <w:bCs w:val="0"/>
                <w:color w:val="0000FF"/>
                <w:sz w:val="21"/>
                <w:szCs w:val="21"/>
                <w:highlight w:val="none"/>
                <w:lang w:val="en-US" w:eastAsia="zh-CN"/>
              </w:rPr>
            </w:pPr>
            <w:r>
              <w:rPr>
                <w:rFonts w:hint="eastAsia" w:ascii="宋体" w:hAnsi="宋体" w:cs="宋体"/>
                <w:b w:val="0"/>
                <w:bCs w:val="0"/>
                <w:color w:val="0000FF"/>
                <w:sz w:val="21"/>
                <w:szCs w:val="21"/>
                <w:highlight w:val="none"/>
                <w:lang w:val="en-US" w:eastAsia="zh-CN"/>
              </w:rPr>
              <w:t>2</w:t>
            </w:r>
          </w:p>
        </w:tc>
        <w:tc>
          <w:tcPr>
            <w:tcW w:w="857" w:type="dxa"/>
            <w:noWrap w:val="0"/>
            <w:vAlign w:val="center"/>
          </w:tcPr>
          <w:p>
            <w:pPr>
              <w:pStyle w:val="59"/>
              <w:pageBreakBefore w:val="0"/>
              <w:kinsoku/>
              <w:wordWrap/>
              <w:overflowPunct/>
              <w:topLinePunct w:val="0"/>
              <w:bidi w:val="0"/>
              <w:snapToGrid/>
              <w:spacing w:after="0" w:line="360" w:lineRule="auto"/>
              <w:ind w:left="0" w:firstLine="0"/>
              <w:jc w:val="center"/>
              <w:textAlignment w:val="top"/>
              <w:rPr>
                <w:rFonts w:hint="default" w:ascii="宋体" w:hAnsi="宋体" w:eastAsia="宋体" w:cs="宋体"/>
                <w:b w:val="0"/>
                <w:bCs w:val="0"/>
                <w:color w:val="0000FF"/>
                <w:sz w:val="21"/>
                <w:szCs w:val="21"/>
                <w:highlight w:val="none"/>
                <w:lang w:val="en-US" w:eastAsia="zh-CN"/>
              </w:rPr>
            </w:pPr>
            <w:r>
              <w:rPr>
                <w:rFonts w:hint="eastAsia" w:ascii="宋体" w:hAnsi="宋体" w:eastAsia="宋体" w:cs="宋体"/>
                <w:b w:val="0"/>
                <w:bCs w:val="0"/>
                <w:color w:val="0000FF"/>
                <w:sz w:val="21"/>
                <w:szCs w:val="21"/>
                <w:highlight w:val="none"/>
                <w:lang w:val="en-US" w:eastAsia="zh-CN"/>
              </w:rPr>
              <w:t>1.5</w:t>
            </w:r>
          </w:p>
        </w:tc>
        <w:tc>
          <w:tcPr>
            <w:tcW w:w="3109" w:type="dxa"/>
            <w:noWrap w:val="0"/>
            <w:vAlign w:val="center"/>
          </w:tcPr>
          <w:p>
            <w:pPr>
              <w:adjustRightInd w:val="0"/>
              <w:spacing w:line="360" w:lineRule="auto"/>
              <w:ind w:firstLine="420" w:firstLineChars="200"/>
              <w:textAlignment w:val="baseline"/>
              <w:rPr>
                <w:rFonts w:hint="eastAsia" w:cs="宋体"/>
                <w:color w:val="0000FF"/>
                <w:sz w:val="21"/>
                <w:szCs w:val="21"/>
                <w:highlight w:val="none"/>
                <w:u w:val="single"/>
              </w:rPr>
            </w:pPr>
            <w:r>
              <w:rPr>
                <w:rFonts w:hint="eastAsia" w:ascii="宋体" w:hAnsi="宋体" w:eastAsia="宋体" w:cs="宋体"/>
                <w:b w:val="0"/>
                <w:bCs w:val="0"/>
                <w:color w:val="0000FF"/>
                <w:sz w:val="21"/>
                <w:szCs w:val="21"/>
                <w:highlight w:val="none"/>
                <w:lang w:val="zh-CN"/>
              </w:rPr>
              <w:t>合同文件的优先顺序为：</w:t>
            </w:r>
            <w:r>
              <w:rPr>
                <w:rFonts w:hint="eastAsia" w:cs="宋体"/>
                <w:color w:val="0000FF"/>
                <w:sz w:val="21"/>
                <w:szCs w:val="21"/>
                <w:highlight w:val="none"/>
                <w:u w:val="single"/>
              </w:rPr>
              <w:t>（1）本合同协议书；（2）合同专用条款（含数据表和招标文件补充答疑书中与此有关的部分）；（3）合同通用条款；（4）中标通知书；（5）招标文件及其附件（含招标文件补充答疑书）、投标文件及其附件（含承包人在评标期间递交和确认并经业主同意的对有关问题的补充资料和澄清文件等）；（6）图纸（含招标文件补充答疑书中与此有关的部分）；（7）工程报价书或预算书；（8）已标价工程量清单或预算书；（9）标准、规范及有关技术文件（含招标文件补充答疑书中与此有关的部分）。</w:t>
            </w:r>
          </w:p>
          <w:p>
            <w:pPr>
              <w:adjustRightInd w:val="0"/>
              <w:spacing w:line="360" w:lineRule="auto"/>
              <w:ind w:firstLine="420" w:firstLineChars="200"/>
              <w:textAlignment w:val="baseline"/>
              <w:rPr>
                <w:rFonts w:cs="宋体"/>
                <w:color w:val="0000FF"/>
                <w:sz w:val="21"/>
                <w:szCs w:val="21"/>
                <w:highlight w:val="none"/>
              </w:rPr>
            </w:pPr>
            <w:r>
              <w:rPr>
                <w:rFonts w:hint="eastAsia" w:cs="宋体"/>
                <w:color w:val="0000FF"/>
                <w:sz w:val="21"/>
                <w:szCs w:val="21"/>
                <w:highlight w:val="none"/>
                <w:u w:val="single"/>
              </w:rPr>
              <w:t>上述各项合同文件包括合同当事人就该项合同文件所作出的补充和修改，属于同一类内容的文件，应以最新签署的为准。</w:t>
            </w:r>
          </w:p>
          <w:p>
            <w:pPr>
              <w:pStyle w:val="59"/>
              <w:keepNext w:val="0"/>
              <w:keepLines w:val="0"/>
              <w:pageBreakBefore w:val="0"/>
              <w:widowControl w:val="0"/>
              <w:kinsoku/>
              <w:wordWrap/>
              <w:overflowPunct/>
              <w:topLinePunct w:val="0"/>
              <w:autoSpaceDE/>
              <w:autoSpaceDN/>
              <w:bidi w:val="0"/>
              <w:adjustRightInd/>
              <w:snapToGrid/>
              <w:spacing w:after="0" w:line="360" w:lineRule="auto"/>
              <w:ind w:left="0" w:firstLine="420" w:firstLineChars="200"/>
              <w:jc w:val="both"/>
              <w:textAlignment w:val="top"/>
              <w:rPr>
                <w:rFonts w:hint="eastAsia" w:ascii="宋体" w:hAnsi="宋体" w:eastAsia="宋体" w:cs="宋体"/>
                <w:b w:val="0"/>
                <w:bCs w:val="0"/>
                <w:color w:val="0000FF"/>
                <w:sz w:val="21"/>
                <w:szCs w:val="21"/>
                <w:highlight w:val="none"/>
                <w:lang w:val="zh-CN"/>
              </w:rPr>
            </w:pPr>
            <w:r>
              <w:rPr>
                <w:rFonts w:hint="eastAsia" w:cs="宋体"/>
                <w:color w:val="0000FF"/>
                <w:sz w:val="21"/>
                <w:szCs w:val="21"/>
                <w:highlight w:val="none"/>
                <w:u w:val="single"/>
              </w:rPr>
              <w:t>在合同订立及履行过程中形成的与合同有关的文件均构成合同文件组成部分，并根据其性质确定优先解释顺序</w:t>
            </w:r>
            <w:r>
              <w:rPr>
                <w:rFonts w:hint="eastAsia" w:ascii="宋体" w:hAnsi="宋体" w:eastAsia="宋体" w:cs="宋体"/>
                <w:b w:val="0"/>
                <w:bCs w:val="0"/>
                <w:color w:val="0000FF"/>
                <w:sz w:val="21"/>
                <w:szCs w:val="21"/>
                <w:highlight w:val="none"/>
                <w:u w:val="single"/>
                <w:lang w:val="zh-CN"/>
              </w:rPr>
              <w:t>。</w:t>
            </w:r>
          </w:p>
        </w:tc>
        <w:tc>
          <w:tcPr>
            <w:tcW w:w="5362" w:type="dxa"/>
            <w:noWrap w:val="0"/>
            <w:vAlign w:val="center"/>
          </w:tcPr>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 w:val="21"/>
                <w:szCs w:val="21"/>
                <w:highlight w:val="none"/>
                <w:u w:val="single"/>
                <w:lang w:val="zh-CN" w:eastAsia="zh-CN"/>
              </w:rPr>
            </w:pPr>
            <w:r>
              <w:rPr>
                <w:rFonts w:hint="eastAsia" w:ascii="宋体" w:hAnsi="宋体" w:eastAsia="宋体" w:cs="宋体"/>
                <w:b w:val="0"/>
                <w:bCs w:val="0"/>
                <w:color w:val="0000FF"/>
                <w:sz w:val="21"/>
                <w:szCs w:val="21"/>
                <w:highlight w:val="none"/>
                <w:u w:val="none"/>
                <w:lang w:val="zh-CN" w:eastAsia="zh-CN"/>
              </w:rPr>
              <w:t>合同文件组成及优先顺序为：</w:t>
            </w:r>
            <w:r>
              <w:rPr>
                <w:rFonts w:hint="eastAsia" w:ascii="宋体" w:hAnsi="宋体" w:eastAsia="宋体" w:cs="宋体"/>
                <w:b w:val="0"/>
                <w:bCs w:val="0"/>
                <w:color w:val="0000FF"/>
                <w:sz w:val="21"/>
                <w:szCs w:val="21"/>
                <w:highlight w:val="none"/>
                <w:u w:val="single"/>
                <w:lang w:val="zh-CN" w:eastAsia="zh-CN"/>
              </w:rPr>
              <w:t>（1）本合同协议书；（2）合同专用条款（含数据表和招标文件补充答疑书中与此有关的部分）；（3）合同通用条款；（4）中标通知书；（5）招标文件及其附件（含招标文件补充答疑书）；（6）图纸（含招标文件补充答疑书中与此有关</w:t>
            </w:r>
          </w:p>
          <w:p>
            <w:pPr>
              <w:pStyle w:val="59"/>
              <w:pageBreakBefore w:val="0"/>
              <w:kinsoku/>
              <w:wordWrap/>
              <w:overflowPunct/>
              <w:topLinePunct w:val="0"/>
              <w:bidi w:val="0"/>
              <w:snapToGrid/>
              <w:spacing w:after="0" w:line="360" w:lineRule="auto"/>
              <w:ind w:left="0" w:leftChars="0" w:firstLine="0" w:firstLineChars="0"/>
              <w:jc w:val="both"/>
              <w:textAlignment w:val="top"/>
              <w:rPr>
                <w:rFonts w:hint="eastAsia" w:ascii="宋体" w:hAnsi="宋体" w:eastAsia="宋体" w:cs="宋体"/>
                <w:b w:val="0"/>
                <w:bCs w:val="0"/>
                <w:color w:val="0000FF"/>
                <w:sz w:val="21"/>
                <w:szCs w:val="21"/>
                <w:highlight w:val="none"/>
                <w:u w:val="single"/>
                <w:lang w:val="zh-CN" w:eastAsia="zh-CN"/>
              </w:rPr>
            </w:pPr>
            <w:r>
              <w:rPr>
                <w:rFonts w:hint="eastAsia" w:ascii="宋体" w:hAnsi="宋体" w:eastAsia="宋体" w:cs="宋体"/>
                <w:b w:val="0"/>
                <w:bCs w:val="0"/>
                <w:color w:val="0000FF"/>
                <w:sz w:val="21"/>
                <w:szCs w:val="21"/>
                <w:highlight w:val="none"/>
                <w:u w:val="single"/>
                <w:lang w:val="zh-CN" w:eastAsia="zh-CN"/>
              </w:rPr>
              <w:t>的部分）；（7）投标文件及其附件（含承包人在评标期间递交和确认并经业主同意的对有关问题的补充资料和澄清文件等）、工程报价书或预算书；（8）工程量清单；（9）标准、规范及有关技术文件（含招标文件补充答疑书中与此有关的部分）。</w:t>
            </w:r>
          </w:p>
          <w:p>
            <w:pPr>
              <w:pStyle w:val="59"/>
              <w:pageBreakBefore w:val="0"/>
              <w:kinsoku/>
              <w:wordWrap/>
              <w:overflowPunct/>
              <w:topLinePunct w:val="0"/>
              <w:bidi w:val="0"/>
              <w:snapToGrid/>
              <w:spacing w:after="0" w:line="360" w:lineRule="auto"/>
              <w:ind w:left="0" w:leftChars="0" w:firstLine="420" w:firstLineChars="200"/>
              <w:jc w:val="both"/>
              <w:textAlignment w:val="top"/>
              <w:rPr>
                <w:rFonts w:hint="eastAsia" w:ascii="宋体" w:hAnsi="宋体" w:eastAsia="宋体" w:cs="宋体"/>
                <w:b w:val="0"/>
                <w:bCs w:val="0"/>
                <w:color w:val="0000FF"/>
                <w:sz w:val="21"/>
                <w:szCs w:val="21"/>
                <w:highlight w:val="none"/>
                <w:u w:val="single"/>
                <w:lang w:val="zh-CN" w:eastAsia="zh-CN"/>
              </w:rPr>
            </w:pPr>
            <w:r>
              <w:rPr>
                <w:rFonts w:hint="eastAsia" w:ascii="宋体" w:hAnsi="宋体" w:eastAsia="宋体" w:cs="宋体"/>
                <w:b w:val="0"/>
                <w:bCs w:val="0"/>
                <w:color w:val="0000FF"/>
                <w:sz w:val="21"/>
                <w:szCs w:val="21"/>
                <w:highlight w:val="none"/>
                <w:u w:val="single"/>
                <w:lang w:val="zh-CN" w:eastAsia="zh-CN"/>
              </w:rPr>
              <w:t>上述各项合同文件包括合同当事人就该项合同文件所作出的补充和修改，属于同一类内容的文件，应以最新签署的为准。</w:t>
            </w:r>
          </w:p>
          <w:p>
            <w:pPr>
              <w:pStyle w:val="59"/>
              <w:pageBreakBefore w:val="0"/>
              <w:kinsoku/>
              <w:wordWrap/>
              <w:overflowPunct/>
              <w:topLinePunct w:val="0"/>
              <w:bidi w:val="0"/>
              <w:snapToGrid/>
              <w:spacing w:after="0" w:line="360" w:lineRule="auto"/>
              <w:ind w:left="0" w:leftChars="0" w:firstLine="420" w:firstLineChars="200"/>
              <w:jc w:val="both"/>
              <w:textAlignment w:val="top"/>
              <w:rPr>
                <w:rFonts w:hint="eastAsia" w:ascii="宋体" w:hAnsi="宋体" w:eastAsia="宋体" w:cs="宋体"/>
                <w:b w:val="0"/>
                <w:bCs w:val="0"/>
                <w:color w:val="0000FF"/>
                <w:sz w:val="21"/>
                <w:szCs w:val="21"/>
                <w:highlight w:val="none"/>
                <w:lang w:val="zh-CN" w:eastAsia="zh-CN"/>
              </w:rPr>
            </w:pPr>
            <w:r>
              <w:rPr>
                <w:rFonts w:hint="eastAsia" w:ascii="宋体" w:hAnsi="宋体" w:eastAsia="宋体" w:cs="宋体"/>
                <w:b w:val="0"/>
                <w:bCs w:val="0"/>
                <w:color w:val="0000FF"/>
                <w:sz w:val="21"/>
                <w:szCs w:val="21"/>
                <w:highlight w:val="none"/>
                <w:u w:val="single"/>
                <w:lang w:val="zh-CN" w:eastAsia="zh-CN"/>
              </w:rPr>
              <w:t>在合同订立及履行过程中形成的与合同有关的文件均构成合同文件组成部分，并根据其性质确定优先解释顺序。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708" w:type="dxa"/>
            <w:noWrap w:val="0"/>
            <w:vAlign w:val="center"/>
          </w:tcPr>
          <w:p>
            <w:pPr>
              <w:pStyle w:val="59"/>
              <w:pageBreakBefore w:val="0"/>
              <w:kinsoku/>
              <w:wordWrap/>
              <w:overflowPunct/>
              <w:topLinePunct w:val="0"/>
              <w:bidi w:val="0"/>
              <w:snapToGrid/>
              <w:spacing w:after="0" w:line="360" w:lineRule="auto"/>
              <w:ind w:left="0" w:firstLine="0"/>
              <w:jc w:val="center"/>
              <w:textAlignment w:val="top"/>
              <w:rPr>
                <w:rFonts w:hint="default" w:ascii="宋体" w:hAnsi="宋体" w:cs="宋体"/>
                <w:b w:val="0"/>
                <w:bCs w:val="0"/>
                <w:color w:val="0000FF"/>
                <w:sz w:val="21"/>
                <w:szCs w:val="21"/>
                <w:highlight w:val="yellow"/>
                <w:lang w:val="en-US" w:eastAsia="zh-CN"/>
              </w:rPr>
            </w:pPr>
            <w:r>
              <w:rPr>
                <w:rFonts w:hint="eastAsia" w:ascii="宋体" w:hAnsi="宋体" w:cs="宋体"/>
                <w:b w:val="0"/>
                <w:bCs w:val="0"/>
                <w:color w:val="0000FF"/>
                <w:sz w:val="21"/>
                <w:szCs w:val="21"/>
                <w:highlight w:val="yellow"/>
                <w:lang w:val="en-US" w:eastAsia="zh-CN"/>
              </w:rPr>
              <w:t>3</w:t>
            </w:r>
          </w:p>
        </w:tc>
        <w:tc>
          <w:tcPr>
            <w:tcW w:w="857" w:type="dxa"/>
            <w:noWrap w:val="0"/>
            <w:vAlign w:val="center"/>
          </w:tcPr>
          <w:p>
            <w:pPr>
              <w:pStyle w:val="59"/>
              <w:pageBreakBefore w:val="0"/>
              <w:kinsoku/>
              <w:wordWrap/>
              <w:overflowPunct/>
              <w:topLinePunct w:val="0"/>
              <w:bidi w:val="0"/>
              <w:snapToGrid/>
              <w:spacing w:after="0" w:line="360" w:lineRule="auto"/>
              <w:ind w:left="0" w:firstLine="0"/>
              <w:jc w:val="center"/>
              <w:textAlignment w:val="top"/>
              <w:rPr>
                <w:rFonts w:hint="default" w:ascii="宋体" w:hAnsi="宋体" w:eastAsia="宋体" w:cs="宋体"/>
                <w:b w:val="0"/>
                <w:bCs w:val="0"/>
                <w:color w:val="0000FF"/>
                <w:sz w:val="21"/>
                <w:szCs w:val="21"/>
                <w:highlight w:val="yellow"/>
                <w:lang w:val="en-US" w:eastAsia="zh-CN"/>
              </w:rPr>
            </w:pPr>
            <w:r>
              <w:rPr>
                <w:rFonts w:hint="eastAsia" w:ascii="宋体" w:hAnsi="宋体" w:cs="宋体"/>
                <w:b w:val="0"/>
                <w:bCs w:val="0"/>
                <w:color w:val="0000FF"/>
                <w:sz w:val="21"/>
                <w:szCs w:val="21"/>
                <w:highlight w:val="yellow"/>
                <w:lang w:val="en-US" w:eastAsia="zh-CN"/>
              </w:rPr>
              <w:t>1.7.1</w:t>
            </w:r>
          </w:p>
        </w:tc>
        <w:tc>
          <w:tcPr>
            <w:tcW w:w="3109" w:type="dxa"/>
            <w:noWrap w:val="0"/>
            <w:vAlign w:val="center"/>
          </w:tcPr>
          <w:p>
            <w:pPr>
              <w:pStyle w:val="59"/>
              <w:keepNext w:val="0"/>
              <w:keepLines w:val="0"/>
              <w:pageBreakBefore w:val="0"/>
              <w:widowControl w:val="0"/>
              <w:kinsoku/>
              <w:wordWrap/>
              <w:overflowPunct/>
              <w:topLinePunct w:val="0"/>
              <w:autoSpaceDE/>
              <w:autoSpaceDN/>
              <w:bidi w:val="0"/>
              <w:adjustRightInd/>
              <w:snapToGrid/>
              <w:spacing w:after="0" w:line="360" w:lineRule="auto"/>
              <w:ind w:left="0" w:firstLine="420" w:firstLineChars="200"/>
              <w:jc w:val="both"/>
              <w:textAlignment w:val="top"/>
              <w:rPr>
                <w:rFonts w:hint="eastAsia" w:cs="宋体"/>
                <w:color w:val="0000FF"/>
                <w:sz w:val="21"/>
                <w:szCs w:val="21"/>
                <w:highlight w:val="yellow"/>
                <w:u w:val="single"/>
              </w:rPr>
            </w:pPr>
            <w:r>
              <w:rPr>
                <w:rFonts w:hint="eastAsia" w:cs="宋体"/>
                <w:color w:val="0000FF"/>
                <w:sz w:val="21"/>
                <w:szCs w:val="21"/>
                <w:highlight w:val="yellow"/>
              </w:rPr>
              <w:t>发包人和承包人应当在</w:t>
            </w:r>
            <w:r>
              <w:rPr>
                <w:rFonts w:hint="eastAsia" w:cs="宋体"/>
                <w:color w:val="0000FF"/>
                <w:sz w:val="21"/>
                <w:szCs w:val="21"/>
                <w:highlight w:val="yellow"/>
                <w:u w:val="single"/>
              </w:rPr>
              <w:t></w:t>
            </w:r>
            <w:r>
              <w:rPr>
                <w:rFonts w:hint="eastAsia" w:cs="宋体"/>
                <w:color w:val="0000FF"/>
                <w:sz w:val="21"/>
                <w:szCs w:val="21"/>
                <w:highlight w:val="yellow"/>
                <w:u w:val="single"/>
                <w:lang w:val="en-US" w:eastAsia="zh-CN"/>
              </w:rPr>
              <w:t>7</w:t>
            </w:r>
            <w:r>
              <w:rPr>
                <w:rFonts w:hint="eastAsia" w:cs="宋体"/>
                <w:color w:val="0000FF"/>
                <w:sz w:val="21"/>
                <w:szCs w:val="21"/>
                <w:highlight w:val="yellow"/>
                <w:u w:val="single"/>
              </w:rPr>
              <w:t xml:space="preserve">  </w:t>
            </w:r>
            <w:r>
              <w:rPr>
                <w:rFonts w:hint="eastAsia" w:cs="宋体"/>
                <w:color w:val="0000FF"/>
                <w:sz w:val="21"/>
                <w:szCs w:val="21"/>
                <w:highlight w:val="yellow"/>
              </w:rPr>
              <w:t>天内将与合同有关的通知、批准、证明、证书、指示、指令、要求、请求、同意、意见、确定和决定等书面函件送达对方当事人。</w:t>
            </w:r>
          </w:p>
        </w:tc>
        <w:tc>
          <w:tcPr>
            <w:tcW w:w="5362" w:type="dxa"/>
            <w:noWrap w:val="0"/>
            <w:vAlign w:val="center"/>
          </w:tcPr>
          <w:p>
            <w:pPr>
              <w:pStyle w:val="59"/>
              <w:pageBreakBefore w:val="0"/>
              <w:kinsoku/>
              <w:wordWrap/>
              <w:overflowPunct/>
              <w:topLinePunct w:val="0"/>
              <w:bidi w:val="0"/>
              <w:snapToGrid/>
              <w:spacing w:after="0" w:line="360" w:lineRule="auto"/>
              <w:ind w:left="0" w:leftChars="0" w:firstLine="420" w:firstLineChars="200"/>
              <w:jc w:val="both"/>
              <w:textAlignment w:val="top"/>
              <w:rPr>
                <w:rFonts w:hint="eastAsia" w:ascii="宋体" w:hAnsi="宋体" w:eastAsia="宋体" w:cs="宋体"/>
                <w:b w:val="0"/>
                <w:bCs w:val="0"/>
                <w:color w:val="0000FF"/>
                <w:sz w:val="21"/>
                <w:szCs w:val="21"/>
                <w:highlight w:val="yellow"/>
                <w:u w:val="single"/>
                <w:lang w:val="zh-CN" w:eastAsia="zh-CN"/>
              </w:rPr>
            </w:pPr>
            <w:r>
              <w:rPr>
                <w:rFonts w:hint="eastAsia" w:cs="宋体"/>
                <w:color w:val="0000FF"/>
                <w:sz w:val="21"/>
                <w:szCs w:val="21"/>
                <w:highlight w:val="yellow"/>
              </w:rPr>
              <w:t>发包人和承包人应当将与合同有关的通知、批准、证明、证书、指示、指令、要求、请求、同意、意见、确定和决定等书面函件自作出之日起7天内送达对方当事人。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708" w:type="dxa"/>
            <w:noWrap w:val="0"/>
            <w:vAlign w:val="center"/>
          </w:tcPr>
          <w:p>
            <w:pPr>
              <w:pStyle w:val="59"/>
              <w:pageBreakBefore w:val="0"/>
              <w:kinsoku/>
              <w:wordWrap/>
              <w:overflowPunct/>
              <w:topLinePunct w:val="0"/>
              <w:bidi w:val="0"/>
              <w:snapToGrid/>
              <w:spacing w:after="0" w:line="360" w:lineRule="auto"/>
              <w:ind w:left="0" w:firstLine="0"/>
              <w:jc w:val="center"/>
              <w:textAlignment w:val="top"/>
              <w:rPr>
                <w:rFonts w:hint="eastAsia" w:ascii="宋体" w:hAnsi="宋体" w:eastAsia="宋体" w:cs="宋体"/>
                <w:b w:val="0"/>
                <w:bCs w:val="0"/>
                <w:color w:val="0000FF"/>
                <w:szCs w:val="21"/>
                <w:highlight w:val="none"/>
                <w:lang w:val="en-US" w:eastAsia="zh-CN"/>
              </w:rPr>
            </w:pPr>
            <w:r>
              <w:rPr>
                <w:rFonts w:hint="eastAsia" w:ascii="宋体" w:hAnsi="宋体" w:cs="宋体"/>
                <w:b w:val="0"/>
                <w:bCs w:val="0"/>
                <w:color w:val="0000FF"/>
                <w:szCs w:val="21"/>
                <w:highlight w:val="none"/>
                <w:lang w:val="en-US" w:eastAsia="zh-CN"/>
              </w:rPr>
              <w:t>4</w:t>
            </w:r>
          </w:p>
        </w:tc>
        <w:tc>
          <w:tcPr>
            <w:tcW w:w="857" w:type="dxa"/>
            <w:noWrap w:val="0"/>
            <w:vAlign w:val="center"/>
          </w:tcPr>
          <w:p>
            <w:pPr>
              <w:pStyle w:val="59"/>
              <w:pageBreakBefore w:val="0"/>
              <w:kinsoku/>
              <w:wordWrap/>
              <w:overflowPunct/>
              <w:topLinePunct w:val="0"/>
              <w:bidi w:val="0"/>
              <w:snapToGrid/>
              <w:spacing w:after="0" w:line="360" w:lineRule="auto"/>
              <w:ind w:left="0" w:firstLine="0"/>
              <w:jc w:val="center"/>
              <w:textAlignment w:val="top"/>
              <w:rPr>
                <w:rFonts w:hint="default" w:ascii="宋体" w:hAnsi="宋体" w:eastAsia="宋体" w:cs="宋体"/>
                <w:b w:val="0"/>
                <w:bCs w:val="0"/>
                <w:color w:val="0000FF"/>
                <w:szCs w:val="21"/>
                <w:highlight w:val="none"/>
                <w:lang w:val="en-US" w:eastAsia="zh-CN"/>
              </w:rPr>
            </w:pPr>
            <w:r>
              <w:rPr>
                <w:rFonts w:hint="eastAsia" w:ascii="宋体" w:hAnsi="宋体" w:eastAsia="宋体" w:cs="宋体"/>
                <w:b w:val="0"/>
                <w:bCs w:val="0"/>
                <w:color w:val="0000FF"/>
                <w:szCs w:val="21"/>
                <w:highlight w:val="none"/>
                <w:lang w:val="en-US" w:eastAsia="zh-CN"/>
              </w:rPr>
              <w:t>1.10.1</w:t>
            </w:r>
          </w:p>
        </w:tc>
        <w:tc>
          <w:tcPr>
            <w:tcW w:w="3109" w:type="dxa"/>
            <w:noWrap w:val="0"/>
            <w:vAlign w:val="center"/>
          </w:tcPr>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Cs w:val="21"/>
                <w:highlight w:val="none"/>
                <w:lang w:val="zh-CN"/>
              </w:rPr>
            </w:pPr>
            <w:r>
              <w:rPr>
                <w:rFonts w:hint="eastAsia" w:ascii="宋体" w:hAnsi="宋体" w:eastAsia="宋体" w:cs="宋体"/>
                <w:b w:val="0"/>
                <w:bCs w:val="0"/>
                <w:color w:val="0000FF"/>
                <w:szCs w:val="21"/>
                <w:highlight w:val="none"/>
                <w:lang w:val="zh-CN"/>
              </w:rPr>
              <w:t>关于出入现场的权利的约定：</w:t>
            </w:r>
            <w:r>
              <w:rPr>
                <w:rFonts w:hint="eastAsia" w:ascii="宋体" w:hAnsi="宋体" w:eastAsia="宋体" w:cs="宋体"/>
                <w:b w:val="0"/>
                <w:bCs w:val="0"/>
                <w:color w:val="0000FF"/>
                <w:szCs w:val="21"/>
                <w:highlight w:val="none"/>
                <w:u w:val="single"/>
                <w:lang w:val="zh-CN"/>
              </w:rPr>
              <w:t>执行通用合同条款</w:t>
            </w:r>
            <w:r>
              <w:rPr>
                <w:rFonts w:hint="eastAsia" w:ascii="宋体" w:hAnsi="宋体" w:eastAsia="宋体" w:cs="宋体"/>
                <w:b w:val="0"/>
                <w:bCs w:val="0"/>
                <w:color w:val="0000FF"/>
                <w:szCs w:val="21"/>
                <w:highlight w:val="none"/>
                <w:lang w:val="zh-CN"/>
              </w:rPr>
              <w:t>。</w:t>
            </w:r>
          </w:p>
        </w:tc>
        <w:tc>
          <w:tcPr>
            <w:tcW w:w="5362" w:type="dxa"/>
            <w:noWrap w:val="0"/>
            <w:vAlign w:val="center"/>
          </w:tcPr>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 w:val="21"/>
                <w:szCs w:val="21"/>
                <w:highlight w:val="none"/>
                <w:u w:val="single"/>
                <w:lang w:val="zh-CN"/>
              </w:rPr>
            </w:pPr>
            <w:r>
              <w:rPr>
                <w:rFonts w:hint="eastAsia" w:ascii="宋体" w:hAnsi="宋体" w:eastAsia="宋体" w:cs="宋体"/>
                <w:b w:val="0"/>
                <w:bCs w:val="0"/>
                <w:color w:val="0000FF"/>
                <w:sz w:val="21"/>
                <w:szCs w:val="21"/>
                <w:highlight w:val="none"/>
                <w:lang w:val="zh-CN"/>
              </w:rPr>
              <w:t>关于出入现场的权利的约定：</w:t>
            </w:r>
            <w:r>
              <w:rPr>
                <w:rFonts w:hint="eastAsia" w:ascii="宋体" w:hAnsi="宋体" w:eastAsia="宋体" w:cs="宋体"/>
                <w:b w:val="0"/>
                <w:bCs w:val="0"/>
                <w:color w:val="0000FF"/>
                <w:sz w:val="21"/>
                <w:szCs w:val="21"/>
                <w:highlight w:val="none"/>
                <w:u w:val="single"/>
                <w:lang w:val="zh-CN"/>
              </w:rPr>
              <w:t>(1)需承、发包人办理的有关施工场地交通、环卫和施工噪音管理等手续：按厦门市的有关文件规定办理，无论文件规定是否由发包人应承担的部分，费用已全部包含在合同总价中，包干使用(含建筑垃圾处理清运费、渣土受纳费及建筑施工噪声超标排污费等)。若手续不全或超标等原因导致的罚款由承包人承担。承包人应保障发包人免于承担由此引起的索赔、诉讼或其他费用。</w:t>
            </w:r>
          </w:p>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 w:val="21"/>
                <w:szCs w:val="21"/>
                <w:highlight w:val="none"/>
                <w:u w:val="single"/>
                <w:lang w:val="zh-CN"/>
              </w:rPr>
            </w:pPr>
            <w:r>
              <w:rPr>
                <w:rFonts w:hint="eastAsia" w:ascii="宋体" w:hAnsi="宋体" w:eastAsia="宋体" w:cs="宋体"/>
                <w:b w:val="0"/>
                <w:bCs w:val="0"/>
                <w:color w:val="0000FF"/>
                <w:sz w:val="21"/>
                <w:szCs w:val="21"/>
                <w:highlight w:val="none"/>
                <w:u w:val="single"/>
                <w:lang w:val="zh-CN"/>
              </w:rPr>
              <w:t>(2)发包人委托承包人办理的工作：①办理质量申报(质监登记)、施工许可证、开工备案、安监登记等开工所需手续以及向城建档案馆移交竣工资料及竣工图，上述开工所需手续承包人必须在发包人应提供的资料提供后7天内办理完成；规定由发包人承担的费用由发包人承担。②有其他需要时，发包人将发出书面通知，承包人按发包人的要求执行。</w:t>
            </w:r>
          </w:p>
          <w:p>
            <w:pPr>
              <w:pStyle w:val="59"/>
              <w:pageBreakBefore w:val="0"/>
              <w:kinsoku/>
              <w:wordWrap/>
              <w:overflowPunct/>
              <w:topLinePunct w:val="0"/>
              <w:bidi w:val="0"/>
              <w:snapToGrid/>
              <w:spacing w:after="0" w:line="360" w:lineRule="auto"/>
              <w:ind w:left="0" w:leftChars="0" w:firstLine="420" w:firstLineChars="200"/>
              <w:jc w:val="both"/>
              <w:textAlignment w:val="top"/>
              <w:rPr>
                <w:rFonts w:hint="eastAsia" w:ascii="宋体" w:hAnsi="宋体" w:eastAsia="宋体" w:cs="宋体"/>
                <w:b w:val="0"/>
                <w:bCs w:val="0"/>
                <w:color w:val="0000FF"/>
                <w:sz w:val="21"/>
                <w:szCs w:val="21"/>
                <w:highlight w:val="none"/>
                <w:u w:val="single"/>
                <w:lang w:val="zh-CN"/>
              </w:rPr>
            </w:pPr>
            <w:r>
              <w:rPr>
                <w:rFonts w:hint="eastAsia" w:ascii="宋体" w:hAnsi="宋体" w:eastAsia="宋体" w:cs="宋体"/>
                <w:b w:val="0"/>
                <w:bCs w:val="0"/>
                <w:color w:val="0000FF"/>
                <w:sz w:val="21"/>
                <w:szCs w:val="21"/>
                <w:highlight w:val="none"/>
                <w:u w:val="single"/>
                <w:lang w:val="zh-CN"/>
              </w:rPr>
              <w:t>(3)建设用地与市政道路的接口发包人已提供，后续如需增加与市政道路的开口费、接驳费、市政道路临时占用费(如有)由承包人自行解决，其费用已包括在合同总价中。</w:t>
            </w:r>
          </w:p>
          <w:p>
            <w:pPr>
              <w:pStyle w:val="59"/>
              <w:pageBreakBefore w:val="0"/>
              <w:kinsoku/>
              <w:wordWrap/>
              <w:overflowPunct/>
              <w:topLinePunct w:val="0"/>
              <w:bidi w:val="0"/>
              <w:snapToGrid/>
              <w:spacing w:after="0" w:line="360" w:lineRule="auto"/>
              <w:ind w:left="0" w:leftChars="0" w:firstLine="420" w:firstLineChars="200"/>
              <w:jc w:val="both"/>
              <w:textAlignment w:val="top"/>
              <w:rPr>
                <w:rFonts w:hint="eastAsia" w:ascii="宋体" w:hAnsi="宋体" w:eastAsia="宋体" w:cs="宋体"/>
                <w:b w:val="0"/>
                <w:bCs w:val="0"/>
                <w:color w:val="0000FF"/>
                <w:sz w:val="21"/>
                <w:szCs w:val="21"/>
                <w:highlight w:val="none"/>
                <w:u w:val="single"/>
                <w:lang w:val="zh-CN"/>
              </w:rPr>
            </w:pPr>
            <w:r>
              <w:rPr>
                <w:rFonts w:hint="eastAsia" w:ascii="宋体" w:hAnsi="宋体" w:eastAsia="宋体" w:cs="宋体"/>
                <w:b w:val="0"/>
                <w:bCs w:val="0"/>
                <w:color w:val="0000FF"/>
                <w:sz w:val="21"/>
                <w:szCs w:val="21"/>
                <w:highlight w:val="none"/>
                <w:u w:val="single"/>
                <w:lang w:val="zh-CN"/>
              </w:rPr>
              <w:t>(4)与施工现场周围的公共道路通道已畅通，公共道路至施工现场的临时通道由承包人自行解决，</w:t>
            </w:r>
            <w:r>
              <w:rPr>
                <w:rFonts w:hint="eastAsia" w:ascii="宋体" w:hAnsi="宋体" w:cs="宋体"/>
                <w:color w:val="0000FF"/>
                <w:szCs w:val="21"/>
                <w:highlight w:val="none"/>
                <w:u w:val="single"/>
                <w:lang w:val="zh-CN"/>
              </w:rPr>
              <w:t>需满足施工及主管部门、发包人的安全文明管理要求，</w:t>
            </w:r>
            <w:r>
              <w:rPr>
                <w:rFonts w:hint="eastAsia" w:ascii="宋体" w:hAnsi="宋体" w:eastAsia="宋体" w:cs="宋体"/>
                <w:b w:val="0"/>
                <w:bCs w:val="0"/>
                <w:color w:val="0000FF"/>
                <w:sz w:val="21"/>
                <w:szCs w:val="21"/>
                <w:highlight w:val="none"/>
                <w:u w:val="single"/>
                <w:lang w:val="zh-CN"/>
              </w:rPr>
              <w:t>发包人可给予协助；其费用已包括在合同总价中。</w:t>
            </w:r>
          </w:p>
          <w:p>
            <w:pPr>
              <w:pStyle w:val="59"/>
              <w:pageBreakBefore w:val="0"/>
              <w:kinsoku/>
              <w:wordWrap/>
              <w:overflowPunct/>
              <w:topLinePunct w:val="0"/>
              <w:bidi w:val="0"/>
              <w:snapToGrid/>
              <w:spacing w:after="0" w:line="360" w:lineRule="auto"/>
              <w:ind w:left="0" w:leftChars="0" w:firstLine="420" w:firstLineChars="200"/>
              <w:jc w:val="both"/>
              <w:textAlignment w:val="top"/>
              <w:rPr>
                <w:rFonts w:hint="eastAsia" w:ascii="宋体" w:hAnsi="宋体" w:eastAsia="宋体" w:cs="宋体"/>
                <w:b w:val="0"/>
                <w:bCs w:val="0"/>
                <w:color w:val="0000FF"/>
                <w:szCs w:val="21"/>
                <w:highlight w:val="none"/>
                <w:lang w:val="zh-CN"/>
              </w:rPr>
            </w:pPr>
            <w:r>
              <w:rPr>
                <w:rFonts w:hint="eastAsia" w:ascii="宋体" w:hAnsi="宋体" w:eastAsia="宋体" w:cs="宋体"/>
                <w:b w:val="0"/>
                <w:bCs w:val="0"/>
                <w:color w:val="0000FF"/>
                <w:sz w:val="21"/>
                <w:szCs w:val="21"/>
                <w:highlight w:val="none"/>
                <w:u w:val="single"/>
                <w:lang w:val="zh-CN"/>
              </w:rPr>
              <w:t>(5)除上述约定以外，未尽事宜的执行通用合同条款。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708" w:type="dxa"/>
            <w:noWrap w:val="0"/>
            <w:vAlign w:val="center"/>
          </w:tcPr>
          <w:p>
            <w:pPr>
              <w:pStyle w:val="59"/>
              <w:pageBreakBefore w:val="0"/>
              <w:kinsoku/>
              <w:wordWrap/>
              <w:overflowPunct/>
              <w:topLinePunct w:val="0"/>
              <w:bidi w:val="0"/>
              <w:snapToGrid/>
              <w:spacing w:after="0" w:line="360" w:lineRule="auto"/>
              <w:ind w:left="0" w:firstLine="0"/>
              <w:jc w:val="center"/>
              <w:textAlignment w:val="top"/>
              <w:rPr>
                <w:rFonts w:hint="default" w:ascii="宋体" w:hAnsi="宋体" w:cs="宋体"/>
                <w:b w:val="0"/>
                <w:bCs w:val="0"/>
                <w:color w:val="0000FF"/>
                <w:szCs w:val="21"/>
                <w:highlight w:val="none"/>
                <w:lang w:val="en-US" w:eastAsia="zh-CN"/>
              </w:rPr>
            </w:pPr>
            <w:r>
              <w:rPr>
                <w:rFonts w:hint="eastAsia" w:ascii="宋体" w:hAnsi="宋体" w:cs="宋体"/>
                <w:b w:val="0"/>
                <w:bCs w:val="0"/>
                <w:color w:val="0000FF"/>
                <w:szCs w:val="21"/>
                <w:highlight w:val="none"/>
                <w:lang w:val="en-US" w:eastAsia="zh-CN"/>
              </w:rPr>
              <w:t>5</w:t>
            </w:r>
          </w:p>
        </w:tc>
        <w:tc>
          <w:tcPr>
            <w:tcW w:w="857" w:type="dxa"/>
            <w:noWrap w:val="0"/>
            <w:vAlign w:val="center"/>
          </w:tcPr>
          <w:p>
            <w:pPr>
              <w:pStyle w:val="59"/>
              <w:pageBreakBefore w:val="0"/>
              <w:kinsoku/>
              <w:wordWrap/>
              <w:overflowPunct/>
              <w:topLinePunct w:val="0"/>
              <w:bidi w:val="0"/>
              <w:snapToGrid/>
              <w:spacing w:after="0" w:line="360" w:lineRule="auto"/>
              <w:ind w:left="0" w:firstLine="0"/>
              <w:jc w:val="center"/>
              <w:textAlignment w:val="top"/>
              <w:rPr>
                <w:rFonts w:hint="default" w:ascii="宋体" w:hAnsi="宋体" w:eastAsia="宋体" w:cs="宋体"/>
                <w:b w:val="0"/>
                <w:bCs w:val="0"/>
                <w:color w:val="0000FF"/>
                <w:szCs w:val="21"/>
                <w:highlight w:val="none"/>
                <w:lang w:val="en-US" w:eastAsia="zh-CN"/>
              </w:rPr>
            </w:pPr>
            <w:r>
              <w:rPr>
                <w:rFonts w:hint="eastAsia" w:ascii="宋体" w:hAnsi="宋体" w:cs="宋体"/>
                <w:b w:val="0"/>
                <w:bCs w:val="0"/>
                <w:color w:val="0000FF"/>
                <w:szCs w:val="21"/>
                <w:highlight w:val="none"/>
                <w:lang w:val="en-US" w:eastAsia="zh-CN"/>
              </w:rPr>
              <w:t>1.13</w:t>
            </w:r>
          </w:p>
        </w:tc>
        <w:tc>
          <w:tcPr>
            <w:tcW w:w="3109" w:type="dxa"/>
            <w:noWrap w:val="0"/>
            <w:vAlign w:val="center"/>
          </w:tcPr>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Cs w:val="21"/>
                <w:highlight w:val="yellow"/>
                <w:lang w:val="zh-CN"/>
              </w:rPr>
            </w:pPr>
            <w:r>
              <w:rPr>
                <w:rFonts w:hint="eastAsia" w:ascii="宋体" w:hAnsi="宋体" w:eastAsia="宋体" w:cs="宋体"/>
                <w:b w:val="0"/>
                <w:bCs w:val="0"/>
                <w:color w:val="0000FF"/>
                <w:szCs w:val="21"/>
                <w:highlight w:val="yellow"/>
                <w:lang w:val="zh-CN"/>
              </w:rPr>
              <w:t>允许调整合同价格的工程量偏差范围：</w:t>
            </w:r>
            <w:r>
              <w:rPr>
                <w:rFonts w:hint="eastAsia" w:ascii="宋体" w:hAnsi="宋体" w:eastAsia="宋体" w:cs="宋体"/>
                <w:b w:val="0"/>
                <w:bCs w:val="0"/>
                <w:color w:val="0000FF"/>
                <w:szCs w:val="21"/>
                <w:highlight w:val="yellow"/>
                <w:u w:val="single"/>
                <w:lang w:val="zh-CN"/>
              </w:rPr>
              <w:t>工程量清单错误导致增加或者减少的合同价款超过签约合同价的3%时，就超过部分的合同价款可以调整合同价格，3%以内（含）部分不予调整。承包人应当在收到中标通知书后28天向发包人提出工程量清单错误的核对申请，并在20日内完成工程量清单核对工作；如有调整，发包人须将调整后的工程量清单向市（区）财政审核部门报备；承包人没有在规定期限内提出核对申请的，视为工程量清单没有错误</w:t>
            </w:r>
            <w:r>
              <w:rPr>
                <w:rFonts w:hint="eastAsia" w:ascii="宋体" w:hAnsi="宋体" w:eastAsia="宋体" w:cs="宋体"/>
                <w:b w:val="0"/>
                <w:bCs w:val="0"/>
                <w:color w:val="0000FF"/>
                <w:szCs w:val="21"/>
                <w:highlight w:val="yellow"/>
                <w:lang w:val="zh-CN"/>
              </w:rPr>
              <w:t>。</w:t>
            </w:r>
          </w:p>
        </w:tc>
        <w:tc>
          <w:tcPr>
            <w:tcW w:w="5362" w:type="dxa"/>
            <w:noWrap w:val="0"/>
            <w:vAlign w:val="center"/>
          </w:tcPr>
          <w:p>
            <w:pPr>
              <w:pStyle w:val="59"/>
              <w:pageBreakBefore w:val="0"/>
              <w:kinsoku/>
              <w:wordWrap/>
              <w:overflowPunct/>
              <w:topLinePunct w:val="0"/>
              <w:bidi w:val="0"/>
              <w:snapToGrid/>
              <w:spacing w:after="0" w:line="360" w:lineRule="auto"/>
              <w:ind w:left="0" w:leftChars="0" w:firstLine="420" w:firstLineChars="200"/>
              <w:jc w:val="both"/>
              <w:textAlignment w:val="top"/>
              <w:rPr>
                <w:rFonts w:hint="eastAsia" w:ascii="宋体" w:hAnsi="宋体" w:eastAsia="宋体" w:cs="宋体"/>
                <w:b w:val="0"/>
                <w:bCs w:val="0"/>
                <w:color w:val="0000FF"/>
                <w:sz w:val="21"/>
                <w:szCs w:val="21"/>
                <w:highlight w:val="yellow"/>
                <w:u w:val="single"/>
                <w:lang w:val="zh-CN"/>
              </w:rPr>
            </w:pPr>
            <w:r>
              <w:rPr>
                <w:rFonts w:hint="eastAsia" w:ascii="宋体" w:hAnsi="宋体" w:eastAsia="宋体" w:cs="宋体"/>
                <w:b w:val="0"/>
                <w:bCs w:val="0"/>
                <w:color w:val="0000FF"/>
                <w:szCs w:val="21"/>
                <w:highlight w:val="yellow"/>
                <w:lang w:val="zh-CN"/>
              </w:rPr>
              <w:t>允许调整合同价格的工程量偏差范围：</w:t>
            </w:r>
            <w:r>
              <w:rPr>
                <w:rFonts w:hint="eastAsia" w:ascii="宋体" w:hAnsi="宋体" w:eastAsia="宋体" w:cs="宋体"/>
                <w:b w:val="0"/>
                <w:bCs w:val="0"/>
                <w:color w:val="0000FF"/>
                <w:szCs w:val="21"/>
                <w:highlight w:val="yellow"/>
                <w:u w:val="single"/>
                <w:lang w:val="zh-CN"/>
              </w:rPr>
              <w:t>工程量清单错误导致增加或者减少的合同价款超过签约合同价的3%时，就超过部分的合同价款可以调整合同价格，3%以内（含）部分不予调整。承包人应当在收到中标通知书后28天</w:t>
            </w:r>
            <w:r>
              <w:rPr>
                <w:rFonts w:hint="eastAsia" w:ascii="宋体" w:hAnsi="宋体" w:eastAsia="宋体" w:cs="宋体"/>
                <w:b w:val="0"/>
                <w:bCs w:val="0"/>
                <w:color w:val="0000FF"/>
                <w:szCs w:val="21"/>
                <w:highlight w:val="yellow"/>
                <w:u w:val="single"/>
                <w:lang w:val="en-US" w:eastAsia="zh-CN"/>
              </w:rPr>
              <w:t>内</w:t>
            </w:r>
            <w:r>
              <w:rPr>
                <w:rFonts w:hint="eastAsia" w:ascii="宋体" w:hAnsi="宋体" w:eastAsia="宋体" w:cs="宋体"/>
                <w:b w:val="0"/>
                <w:bCs w:val="0"/>
                <w:color w:val="0000FF"/>
                <w:szCs w:val="21"/>
                <w:highlight w:val="yellow"/>
                <w:u w:val="single"/>
                <w:lang w:val="zh-CN"/>
              </w:rPr>
              <w:t>向发包人提出工程量清单错误的核对申请，并在提出核对申请后20日内完成工程量清单核对工作；如有调整，发包人须将调整后的工程量清单向按业主单位及其上级集团公司有关程序进行报备；承包人没有在规定期限内提出核对申请</w:t>
            </w:r>
            <w:r>
              <w:rPr>
                <w:rFonts w:hint="eastAsia" w:ascii="宋体" w:hAnsi="宋体" w:eastAsia="宋体" w:cs="宋体"/>
                <w:b w:val="0"/>
                <w:bCs w:val="0"/>
                <w:color w:val="0000FF"/>
                <w:szCs w:val="21"/>
                <w:highlight w:val="yellow"/>
                <w:u w:val="single"/>
                <w:lang w:val="en-US" w:eastAsia="zh-CN"/>
              </w:rPr>
              <w:t>及核对工作</w:t>
            </w:r>
            <w:r>
              <w:rPr>
                <w:rFonts w:hint="eastAsia" w:ascii="宋体" w:hAnsi="宋体" w:eastAsia="宋体" w:cs="宋体"/>
                <w:b w:val="0"/>
                <w:bCs w:val="0"/>
                <w:color w:val="0000FF"/>
                <w:szCs w:val="21"/>
                <w:highlight w:val="yellow"/>
                <w:u w:val="single"/>
                <w:lang w:val="zh-CN"/>
              </w:rPr>
              <w:t>的，视为工程量清单没有错误。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708" w:type="dxa"/>
            <w:noWrap w:val="0"/>
            <w:vAlign w:val="center"/>
          </w:tcPr>
          <w:p>
            <w:pPr>
              <w:pStyle w:val="59"/>
              <w:pageBreakBefore w:val="0"/>
              <w:kinsoku/>
              <w:wordWrap/>
              <w:overflowPunct/>
              <w:topLinePunct w:val="0"/>
              <w:bidi w:val="0"/>
              <w:snapToGrid/>
              <w:spacing w:after="0" w:line="360" w:lineRule="auto"/>
              <w:ind w:left="0" w:firstLine="0"/>
              <w:jc w:val="center"/>
              <w:textAlignment w:val="top"/>
              <w:rPr>
                <w:rFonts w:hint="default" w:ascii="宋体" w:hAnsi="宋体" w:eastAsia="宋体" w:cs="宋体"/>
                <w:b w:val="0"/>
                <w:bCs w:val="0"/>
                <w:color w:val="0000FF"/>
                <w:szCs w:val="21"/>
                <w:highlight w:val="none"/>
                <w:lang w:val="en-US" w:eastAsia="zh-CN"/>
              </w:rPr>
            </w:pPr>
            <w:r>
              <w:rPr>
                <w:rFonts w:hint="eastAsia" w:ascii="宋体" w:hAnsi="宋体" w:cs="宋体"/>
                <w:b w:val="0"/>
                <w:bCs w:val="0"/>
                <w:color w:val="0000FF"/>
                <w:szCs w:val="21"/>
                <w:highlight w:val="none"/>
                <w:lang w:val="en-US" w:eastAsia="zh-CN"/>
              </w:rPr>
              <w:t>6</w:t>
            </w:r>
          </w:p>
        </w:tc>
        <w:tc>
          <w:tcPr>
            <w:tcW w:w="857" w:type="dxa"/>
            <w:noWrap w:val="0"/>
            <w:vAlign w:val="center"/>
          </w:tcPr>
          <w:p>
            <w:pPr>
              <w:pStyle w:val="59"/>
              <w:pageBreakBefore w:val="0"/>
              <w:kinsoku/>
              <w:wordWrap/>
              <w:overflowPunct/>
              <w:topLinePunct w:val="0"/>
              <w:bidi w:val="0"/>
              <w:snapToGrid/>
              <w:spacing w:after="0" w:line="360" w:lineRule="auto"/>
              <w:ind w:left="0" w:firstLine="0"/>
              <w:jc w:val="center"/>
              <w:textAlignment w:val="top"/>
              <w:rPr>
                <w:rFonts w:hint="default" w:ascii="宋体" w:hAnsi="宋体" w:eastAsia="宋体" w:cs="宋体"/>
                <w:b w:val="0"/>
                <w:bCs w:val="0"/>
                <w:color w:val="0000FF"/>
                <w:szCs w:val="21"/>
                <w:highlight w:val="none"/>
                <w:lang w:val="en-US" w:eastAsia="zh-CN"/>
              </w:rPr>
            </w:pPr>
            <w:r>
              <w:rPr>
                <w:rFonts w:hint="eastAsia" w:ascii="宋体" w:hAnsi="宋体" w:cs="宋体"/>
                <w:b w:val="0"/>
                <w:bCs w:val="0"/>
                <w:color w:val="0000FF"/>
                <w:szCs w:val="21"/>
                <w:highlight w:val="none"/>
                <w:lang w:val="en-US" w:eastAsia="zh-CN"/>
              </w:rPr>
              <w:t>6.1.6</w:t>
            </w:r>
          </w:p>
        </w:tc>
        <w:tc>
          <w:tcPr>
            <w:tcW w:w="3109" w:type="dxa"/>
            <w:noWrap w:val="0"/>
            <w:vAlign w:val="center"/>
          </w:tcPr>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 w:val="21"/>
                <w:szCs w:val="21"/>
                <w:highlight w:val="none"/>
              </w:rPr>
            </w:pPr>
            <w:r>
              <w:rPr>
                <w:rFonts w:hint="eastAsia" w:ascii="宋体" w:hAnsi="宋体" w:eastAsia="宋体" w:cs="宋体"/>
                <w:b w:val="0"/>
                <w:bCs w:val="0"/>
                <w:color w:val="0000FF"/>
                <w:sz w:val="21"/>
                <w:szCs w:val="21"/>
                <w:highlight w:val="none"/>
              </w:rPr>
              <w:t>关于安全文明施工费支付比例和支付期限的约定：</w:t>
            </w:r>
            <w:r>
              <w:rPr>
                <w:rFonts w:hint="eastAsia" w:ascii="宋体" w:hAnsi="宋体" w:eastAsia="宋体" w:cs="宋体"/>
                <w:b w:val="0"/>
                <w:bCs w:val="0"/>
                <w:color w:val="0000FF"/>
                <w:sz w:val="21"/>
                <w:szCs w:val="21"/>
                <w:highlight w:val="none"/>
                <w:u w:val="single"/>
              </w:rPr>
              <w:t>执行通用合同条款</w:t>
            </w:r>
            <w:r>
              <w:rPr>
                <w:rFonts w:hint="eastAsia" w:ascii="宋体" w:hAnsi="宋体" w:eastAsia="宋体" w:cs="宋体"/>
                <w:b w:val="0"/>
                <w:bCs w:val="0"/>
                <w:color w:val="0000FF"/>
                <w:sz w:val="21"/>
                <w:szCs w:val="21"/>
                <w:highlight w:val="none"/>
              </w:rPr>
              <w:t>。</w:t>
            </w:r>
          </w:p>
        </w:tc>
        <w:tc>
          <w:tcPr>
            <w:tcW w:w="5362" w:type="dxa"/>
            <w:noWrap w:val="0"/>
            <w:vAlign w:val="center"/>
          </w:tcPr>
          <w:p>
            <w:pPr>
              <w:keepNext w:val="0"/>
              <w:keepLines w:val="0"/>
              <w:pageBreakBefore w:val="0"/>
              <w:widowControl w:val="0"/>
              <w:kinsoku/>
              <w:wordWrap/>
              <w:overflowPunct/>
              <w:topLinePunct w:val="0"/>
              <w:autoSpaceDE/>
              <w:autoSpaceDN/>
              <w:bidi w:val="0"/>
              <w:adjustRightInd w:val="0"/>
              <w:snapToGrid/>
              <w:spacing w:line="360" w:lineRule="auto"/>
              <w:ind w:firstLine="420" w:firstLineChars="200"/>
              <w:jc w:val="left"/>
              <w:textAlignment w:val="baseline"/>
              <w:rPr>
                <w:rFonts w:hint="eastAsia" w:cs="宋体"/>
                <w:b w:val="0"/>
                <w:bCs w:val="0"/>
                <w:color w:val="0000FF"/>
                <w:sz w:val="21"/>
                <w:szCs w:val="21"/>
                <w:highlight w:val="none"/>
                <w:lang w:eastAsia="zh-CN"/>
              </w:rPr>
            </w:pPr>
            <w:r>
              <w:rPr>
                <w:rFonts w:hint="eastAsia" w:ascii="宋体" w:hAnsi="宋体" w:eastAsia="宋体" w:cs="宋体"/>
                <w:b w:val="0"/>
                <w:bCs w:val="0"/>
                <w:color w:val="0000FF"/>
                <w:sz w:val="21"/>
                <w:szCs w:val="21"/>
                <w:highlight w:val="none"/>
              </w:rPr>
              <w:t>关于安全文明施工费支付比例和支付期限的约定</w:t>
            </w:r>
            <w:r>
              <w:rPr>
                <w:rFonts w:hint="eastAsia" w:cs="宋体"/>
                <w:b w:val="0"/>
                <w:bCs w:val="0"/>
                <w:color w:val="0000FF"/>
                <w:sz w:val="21"/>
                <w:szCs w:val="21"/>
                <w:highlight w:val="none"/>
                <w:lang w:eastAsia="zh-CN"/>
              </w:rPr>
              <w:t>：</w:t>
            </w:r>
          </w:p>
          <w:p>
            <w:pPr>
              <w:keepNext w:val="0"/>
              <w:keepLines w:val="0"/>
              <w:pageBreakBefore w:val="0"/>
              <w:widowControl w:val="0"/>
              <w:kinsoku/>
              <w:wordWrap/>
              <w:overflowPunct/>
              <w:topLinePunct w:val="0"/>
              <w:autoSpaceDE/>
              <w:autoSpaceDN/>
              <w:bidi w:val="0"/>
              <w:adjustRightInd w:val="0"/>
              <w:snapToGrid/>
              <w:spacing w:line="360" w:lineRule="auto"/>
              <w:jc w:val="left"/>
              <w:textAlignment w:val="baseline"/>
              <w:rPr>
                <w:rFonts w:hint="eastAsia" w:cs="宋体"/>
                <w:b w:val="0"/>
                <w:bCs w:val="0"/>
                <w:color w:val="0000FF"/>
                <w:sz w:val="21"/>
                <w:szCs w:val="21"/>
                <w:highlight w:val="none"/>
                <w:u w:val="single"/>
                <w:lang w:eastAsia="zh-CN"/>
              </w:rPr>
            </w:pPr>
            <w:r>
              <w:rPr>
                <w:rFonts w:hint="eastAsia" w:cs="宋体"/>
                <w:b w:val="0"/>
                <w:bCs w:val="0"/>
                <w:color w:val="0000FF"/>
                <w:sz w:val="21"/>
                <w:szCs w:val="21"/>
                <w:highlight w:val="none"/>
                <w:u w:val="single"/>
                <w:lang w:eastAsia="zh-CN"/>
              </w:rPr>
              <w:t>为确保承包人对安全文明施工费进行专款专用，发包人将按下表所列阶段和比例进行支付，承包人在</w:t>
            </w:r>
            <w:r>
              <w:rPr>
                <w:rFonts w:hint="eastAsia" w:cs="宋体"/>
                <w:b w:val="0"/>
                <w:bCs w:val="0"/>
                <w:color w:val="0000FF"/>
                <w:sz w:val="21"/>
                <w:szCs w:val="21"/>
                <w:highlight w:val="none"/>
                <w:u w:val="single"/>
                <w:lang w:val="en-US" w:eastAsia="zh-CN"/>
              </w:rPr>
              <w:t>下述</w:t>
            </w:r>
            <w:r>
              <w:rPr>
                <w:rFonts w:hint="eastAsia" w:cs="宋体"/>
                <w:b w:val="0"/>
                <w:bCs w:val="0"/>
                <w:color w:val="0000FF"/>
                <w:sz w:val="21"/>
                <w:szCs w:val="21"/>
                <w:highlight w:val="none"/>
                <w:u w:val="single"/>
                <w:lang w:eastAsia="zh-CN"/>
              </w:rPr>
              <w:t>各阶段工作完成后单独列项上报相应阶段安全文明施工费，同期进度款申请中不再支付安全文明施工费。发包人将视承包人安全文明投入及措施是否合格、到位等情况进行专项审核，并根据审核结果有权决定是否支付或部分支付该阶段的安全文明施工措施费用,如因承包人不合格项目影响本项目安全文明相应评审要求的，发包人有权按本合同相关约定扣罚违约金，因些引起的工期违约和给发包人带来的相关损失均由承包人承担；上述相应处罚款项均在本合同结算价中予以扣减，承包人不得有异议。各阶段支付比例如下表所示：</w:t>
            </w:r>
          </w:p>
          <w:p>
            <w:pPr>
              <w:keepNext w:val="0"/>
              <w:keepLines w:val="0"/>
              <w:pageBreakBefore w:val="0"/>
              <w:widowControl w:val="0"/>
              <w:kinsoku/>
              <w:wordWrap/>
              <w:overflowPunct/>
              <w:topLinePunct w:val="0"/>
              <w:autoSpaceDE/>
              <w:autoSpaceDN/>
              <w:bidi w:val="0"/>
              <w:adjustRightInd w:val="0"/>
              <w:snapToGrid/>
              <w:spacing w:line="360" w:lineRule="auto"/>
              <w:ind w:firstLine="420" w:firstLineChars="200"/>
              <w:jc w:val="left"/>
              <w:textAlignment w:val="baseline"/>
              <w:rPr>
                <w:rFonts w:hint="eastAsia" w:cs="宋体"/>
                <w:b w:val="0"/>
                <w:bCs w:val="0"/>
                <w:color w:val="0000FF"/>
                <w:sz w:val="21"/>
                <w:szCs w:val="21"/>
                <w:highlight w:val="none"/>
                <w:u w:val="single"/>
                <w:lang w:eastAsia="zh-CN"/>
              </w:rPr>
            </w:pPr>
            <w:r>
              <w:rPr>
                <w:rFonts w:hint="eastAsia" w:cs="宋体"/>
                <w:b w:val="0"/>
                <w:bCs w:val="0"/>
                <w:color w:val="0000FF"/>
                <w:sz w:val="21"/>
                <w:szCs w:val="21"/>
                <w:highlight w:val="none"/>
                <w:u w:val="single"/>
                <w:lang w:eastAsia="zh-CN"/>
              </w:rPr>
              <w:t>（1）开工后28天内预付安全文明施工总额的30%；</w:t>
            </w:r>
          </w:p>
          <w:p>
            <w:pPr>
              <w:keepNext w:val="0"/>
              <w:keepLines w:val="0"/>
              <w:pageBreakBefore w:val="0"/>
              <w:widowControl w:val="0"/>
              <w:kinsoku/>
              <w:wordWrap/>
              <w:overflowPunct/>
              <w:topLinePunct w:val="0"/>
              <w:autoSpaceDE/>
              <w:autoSpaceDN/>
              <w:bidi w:val="0"/>
              <w:adjustRightInd w:val="0"/>
              <w:snapToGrid/>
              <w:spacing w:line="360" w:lineRule="auto"/>
              <w:ind w:firstLine="420" w:firstLineChars="200"/>
              <w:jc w:val="left"/>
              <w:textAlignment w:val="baseline"/>
              <w:rPr>
                <w:rFonts w:hint="eastAsia" w:cs="宋体"/>
                <w:b w:val="0"/>
                <w:bCs w:val="0"/>
                <w:color w:val="0000FF"/>
                <w:sz w:val="21"/>
                <w:szCs w:val="21"/>
                <w:highlight w:val="none"/>
                <w:u w:val="single"/>
                <w:lang w:eastAsia="zh-CN"/>
              </w:rPr>
            </w:pPr>
            <w:r>
              <w:rPr>
                <w:rFonts w:hint="eastAsia" w:cs="宋体"/>
                <w:b w:val="0"/>
                <w:bCs w:val="0"/>
                <w:color w:val="0000FF"/>
                <w:sz w:val="21"/>
                <w:szCs w:val="21"/>
                <w:highlight w:val="none"/>
                <w:u w:val="single"/>
                <w:lang w:eastAsia="zh-CN"/>
              </w:rPr>
              <w:t>（2）主体封顶、外架、施工电梯、塔吊验收合格后支付安全文明施工总额的20%；</w:t>
            </w:r>
          </w:p>
          <w:p>
            <w:pPr>
              <w:keepNext w:val="0"/>
              <w:keepLines w:val="0"/>
              <w:pageBreakBefore w:val="0"/>
              <w:widowControl w:val="0"/>
              <w:kinsoku/>
              <w:wordWrap/>
              <w:overflowPunct/>
              <w:topLinePunct w:val="0"/>
              <w:autoSpaceDE/>
              <w:autoSpaceDN/>
              <w:bidi w:val="0"/>
              <w:adjustRightInd w:val="0"/>
              <w:snapToGrid/>
              <w:spacing w:line="360" w:lineRule="auto"/>
              <w:ind w:firstLine="420" w:firstLineChars="200"/>
              <w:jc w:val="left"/>
              <w:textAlignment w:val="baseline"/>
              <w:rPr>
                <w:rFonts w:hint="eastAsia" w:cs="宋体"/>
                <w:b w:val="0"/>
                <w:bCs w:val="0"/>
                <w:color w:val="0000FF"/>
                <w:sz w:val="21"/>
                <w:szCs w:val="21"/>
                <w:highlight w:val="none"/>
                <w:u w:val="single"/>
                <w:lang w:eastAsia="zh-CN"/>
              </w:rPr>
            </w:pPr>
            <w:r>
              <w:rPr>
                <w:rFonts w:hint="eastAsia" w:cs="宋体"/>
                <w:b w:val="0"/>
                <w:bCs w:val="0"/>
                <w:color w:val="0000FF"/>
                <w:sz w:val="21"/>
                <w:szCs w:val="21"/>
                <w:highlight w:val="none"/>
                <w:u w:val="single"/>
                <w:lang w:eastAsia="zh-CN"/>
              </w:rPr>
              <w:t>（3）外架拆除后支付安全文明施工总额的20%；</w:t>
            </w:r>
          </w:p>
          <w:p>
            <w:pPr>
              <w:keepNext w:val="0"/>
              <w:keepLines w:val="0"/>
              <w:pageBreakBefore w:val="0"/>
              <w:widowControl w:val="0"/>
              <w:kinsoku/>
              <w:wordWrap/>
              <w:overflowPunct/>
              <w:topLinePunct w:val="0"/>
              <w:autoSpaceDE/>
              <w:autoSpaceDN/>
              <w:bidi w:val="0"/>
              <w:adjustRightInd w:val="0"/>
              <w:snapToGrid/>
              <w:spacing w:line="360" w:lineRule="auto"/>
              <w:ind w:firstLine="420" w:firstLineChars="200"/>
              <w:jc w:val="left"/>
              <w:textAlignment w:val="baseline"/>
              <w:rPr>
                <w:rFonts w:hint="eastAsia" w:cs="宋体"/>
                <w:b w:val="0"/>
                <w:bCs w:val="0"/>
                <w:color w:val="0000FF"/>
                <w:sz w:val="21"/>
                <w:szCs w:val="21"/>
                <w:highlight w:val="none"/>
                <w:u w:val="single"/>
                <w:lang w:eastAsia="zh-CN"/>
              </w:rPr>
            </w:pPr>
            <w:r>
              <w:rPr>
                <w:rFonts w:hint="eastAsia" w:cs="宋体"/>
                <w:b w:val="0"/>
                <w:bCs w:val="0"/>
                <w:color w:val="0000FF"/>
                <w:sz w:val="21"/>
                <w:szCs w:val="21"/>
                <w:highlight w:val="none"/>
                <w:u w:val="single"/>
                <w:lang w:eastAsia="zh-CN"/>
              </w:rPr>
              <w:t>（4）工程竣工验收合格后支付安全文明施工总额的 15%；</w:t>
            </w:r>
          </w:p>
          <w:p>
            <w:pPr>
              <w:keepNext w:val="0"/>
              <w:keepLines w:val="0"/>
              <w:pageBreakBefore w:val="0"/>
              <w:widowControl w:val="0"/>
              <w:kinsoku/>
              <w:wordWrap/>
              <w:overflowPunct/>
              <w:topLinePunct w:val="0"/>
              <w:autoSpaceDE/>
              <w:autoSpaceDN/>
              <w:bidi w:val="0"/>
              <w:adjustRightInd w:val="0"/>
              <w:snapToGrid/>
              <w:spacing w:line="360" w:lineRule="auto"/>
              <w:ind w:firstLine="420" w:firstLineChars="200"/>
              <w:jc w:val="left"/>
              <w:textAlignment w:val="baseline"/>
              <w:rPr>
                <w:rFonts w:hint="eastAsia" w:ascii="宋体" w:hAnsi="宋体" w:eastAsia="宋体" w:cs="宋体"/>
                <w:b w:val="0"/>
                <w:bCs w:val="0"/>
                <w:color w:val="0000FF"/>
                <w:sz w:val="21"/>
                <w:szCs w:val="21"/>
                <w:highlight w:val="none"/>
                <w:lang w:eastAsia="zh-CN"/>
              </w:rPr>
            </w:pPr>
            <w:r>
              <w:rPr>
                <w:rFonts w:hint="eastAsia" w:cs="宋体"/>
                <w:b w:val="0"/>
                <w:bCs w:val="0"/>
                <w:color w:val="0000FF"/>
                <w:sz w:val="21"/>
                <w:szCs w:val="21"/>
                <w:highlight w:val="none"/>
                <w:u w:val="single"/>
                <w:lang w:eastAsia="zh-CN"/>
              </w:rPr>
              <w:t>（5）达到合同约定的安全文明工地要求且</w:t>
            </w:r>
            <w:r>
              <w:rPr>
                <w:rFonts w:hint="eastAsia" w:cs="宋体"/>
                <w:b w:val="0"/>
                <w:bCs w:val="0"/>
                <w:color w:val="FF0000"/>
                <w:sz w:val="21"/>
                <w:szCs w:val="21"/>
                <w:highlight w:val="none"/>
                <w:u w:val="single"/>
                <w:lang w:eastAsia="zh-CN"/>
              </w:rPr>
              <w:t>发包人委托的第三方审核单位</w:t>
            </w:r>
            <w:r>
              <w:rPr>
                <w:rFonts w:hint="eastAsia" w:cs="宋体"/>
                <w:b w:val="0"/>
                <w:bCs w:val="0"/>
                <w:color w:val="0000FF"/>
                <w:sz w:val="21"/>
                <w:szCs w:val="21"/>
                <w:highlight w:val="none"/>
                <w:u w:val="single"/>
                <w:lang w:eastAsia="zh-CN"/>
              </w:rPr>
              <w:t>出具竣工结算审核结论书后根据审定的结算金额与结算款同期申请支付剩余安全文明施工费。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708" w:type="dxa"/>
            <w:noWrap w:val="0"/>
            <w:vAlign w:val="center"/>
          </w:tcPr>
          <w:p>
            <w:pPr>
              <w:pStyle w:val="59"/>
              <w:pageBreakBefore w:val="0"/>
              <w:kinsoku/>
              <w:wordWrap/>
              <w:overflowPunct/>
              <w:topLinePunct w:val="0"/>
              <w:bidi w:val="0"/>
              <w:snapToGrid/>
              <w:spacing w:after="0" w:line="360" w:lineRule="auto"/>
              <w:ind w:left="0" w:firstLine="0"/>
              <w:jc w:val="center"/>
              <w:textAlignment w:val="top"/>
              <w:rPr>
                <w:rFonts w:hint="eastAsia" w:ascii="宋体" w:hAnsi="宋体" w:eastAsia="宋体" w:cs="宋体"/>
                <w:b w:val="0"/>
                <w:bCs w:val="0"/>
                <w:color w:val="0000FF"/>
                <w:szCs w:val="21"/>
                <w:highlight w:val="none"/>
                <w:lang w:val="en-US" w:eastAsia="zh-CN"/>
              </w:rPr>
            </w:pPr>
            <w:r>
              <w:rPr>
                <w:rFonts w:hint="eastAsia" w:ascii="宋体" w:hAnsi="宋体" w:cs="宋体"/>
                <w:b w:val="0"/>
                <w:bCs w:val="0"/>
                <w:color w:val="0000FF"/>
                <w:szCs w:val="21"/>
                <w:highlight w:val="none"/>
                <w:lang w:val="en-US" w:eastAsia="zh-CN"/>
              </w:rPr>
              <w:t>7</w:t>
            </w:r>
          </w:p>
        </w:tc>
        <w:tc>
          <w:tcPr>
            <w:tcW w:w="857" w:type="dxa"/>
            <w:noWrap w:val="0"/>
            <w:vAlign w:val="center"/>
          </w:tcPr>
          <w:p>
            <w:pPr>
              <w:pStyle w:val="59"/>
              <w:pageBreakBefore w:val="0"/>
              <w:kinsoku/>
              <w:wordWrap/>
              <w:overflowPunct/>
              <w:topLinePunct w:val="0"/>
              <w:bidi w:val="0"/>
              <w:snapToGrid/>
              <w:spacing w:after="0" w:line="360" w:lineRule="auto"/>
              <w:ind w:left="0" w:firstLine="0"/>
              <w:jc w:val="center"/>
              <w:textAlignment w:val="top"/>
              <w:rPr>
                <w:rFonts w:hint="default" w:ascii="宋体" w:hAnsi="宋体" w:eastAsia="宋体" w:cs="宋体"/>
                <w:b w:val="0"/>
                <w:bCs w:val="0"/>
                <w:color w:val="0000FF"/>
                <w:szCs w:val="21"/>
                <w:highlight w:val="none"/>
                <w:lang w:val="en-US" w:eastAsia="zh-CN"/>
              </w:rPr>
            </w:pPr>
            <w:r>
              <w:rPr>
                <w:rFonts w:hint="eastAsia" w:ascii="宋体" w:hAnsi="宋体" w:cs="宋体"/>
                <w:b w:val="0"/>
                <w:bCs w:val="0"/>
                <w:color w:val="0000FF"/>
                <w:szCs w:val="21"/>
                <w:highlight w:val="none"/>
                <w:lang w:val="en-US" w:eastAsia="zh-CN"/>
              </w:rPr>
              <w:t>6.3</w:t>
            </w:r>
          </w:p>
        </w:tc>
        <w:tc>
          <w:tcPr>
            <w:tcW w:w="3109" w:type="dxa"/>
            <w:noWrap w:val="0"/>
            <w:vAlign w:val="center"/>
          </w:tcPr>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Cs w:val="21"/>
                <w:highlight w:val="none"/>
                <w:lang w:val="zh-CN"/>
              </w:rPr>
            </w:pPr>
            <w:r>
              <w:rPr>
                <w:rFonts w:hint="eastAsia" w:ascii="宋体" w:hAnsi="宋体" w:eastAsia="宋体" w:cs="宋体"/>
                <w:b w:val="0"/>
                <w:bCs w:val="0"/>
                <w:color w:val="0000FF"/>
                <w:szCs w:val="21"/>
                <w:highlight w:val="none"/>
                <w:lang w:val="zh-CN"/>
              </w:rPr>
              <w:t>对环境保护的要求：</w:t>
            </w:r>
            <w:r>
              <w:rPr>
                <w:rFonts w:hint="eastAsia" w:ascii="宋体" w:hAnsi="宋体" w:eastAsia="宋体" w:cs="宋体"/>
                <w:b w:val="0"/>
                <w:bCs w:val="0"/>
                <w:color w:val="0000FF"/>
                <w:szCs w:val="21"/>
                <w:highlight w:val="none"/>
                <w:u w:val="single"/>
                <w:lang w:val="zh-CN"/>
              </w:rPr>
              <w:t>除执行通用合同条款外，承包人应按照扬尘污染防治有关现行有效管理规定执行。</w:t>
            </w:r>
          </w:p>
        </w:tc>
        <w:tc>
          <w:tcPr>
            <w:tcW w:w="5362" w:type="dxa"/>
            <w:noWrap w:val="0"/>
            <w:vAlign w:val="center"/>
          </w:tcPr>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Cs w:val="21"/>
                <w:highlight w:val="none"/>
                <w:u w:val="single"/>
                <w:lang w:val="zh-CN"/>
              </w:rPr>
            </w:pPr>
            <w:r>
              <w:rPr>
                <w:rFonts w:hint="eastAsia" w:ascii="宋体" w:hAnsi="宋体" w:eastAsia="宋体" w:cs="宋体"/>
                <w:b w:val="0"/>
                <w:bCs w:val="0"/>
                <w:color w:val="0000FF"/>
                <w:szCs w:val="21"/>
                <w:highlight w:val="none"/>
                <w:u w:val="none"/>
                <w:lang w:val="zh-CN"/>
              </w:rPr>
              <w:t>对环境保护的要求：</w:t>
            </w:r>
            <w:r>
              <w:rPr>
                <w:rFonts w:hint="eastAsia" w:ascii="宋体" w:hAnsi="宋体" w:eastAsia="宋体" w:cs="宋体"/>
                <w:b w:val="0"/>
                <w:bCs w:val="0"/>
                <w:color w:val="0000FF"/>
                <w:szCs w:val="21"/>
                <w:highlight w:val="none"/>
                <w:u w:val="single"/>
                <w:lang w:val="zh-CN"/>
              </w:rPr>
              <w:t>厦门市建设局关于印发房屋建筑和市政基础设施工程文明施工扬尘防治工作方案的通知”（厦建工[2022]29号），满足厦门市建设工程材料信息价相应政策规定，设置及运行防尘喷雾相应措施，包含防尘喷淋系统安装费、防尘喷淋系统日常使用费、移动式喷雾机日常使用费、防尘网、环境监测系统、洒水车及移动式炮雾车使用费等，已包含在安全文明施工费中，不再单独列项计算。</w:t>
            </w:r>
          </w:p>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Cs w:val="21"/>
                <w:highlight w:val="none"/>
                <w:lang w:val="zh-CN"/>
              </w:rPr>
            </w:pPr>
            <w:r>
              <w:rPr>
                <w:rFonts w:hint="eastAsia" w:ascii="宋体" w:hAnsi="宋体" w:eastAsia="宋体" w:cs="宋体"/>
                <w:b w:val="0"/>
                <w:bCs w:val="0"/>
                <w:color w:val="0000FF"/>
                <w:szCs w:val="21"/>
                <w:highlight w:val="none"/>
                <w:u w:val="single"/>
                <w:lang w:val="zh-CN"/>
              </w:rPr>
              <w:t>施工过程中未到达合同约定的“国贸地产《扬尘污染防治措施管理协议》”时（详见合同附件），发包人有权按上述比例扣减安全文明施工费用。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708" w:type="dxa"/>
            <w:noWrap w:val="0"/>
            <w:vAlign w:val="center"/>
          </w:tcPr>
          <w:p>
            <w:pPr>
              <w:pStyle w:val="59"/>
              <w:pageBreakBefore w:val="0"/>
              <w:kinsoku/>
              <w:wordWrap/>
              <w:overflowPunct/>
              <w:topLinePunct w:val="0"/>
              <w:bidi w:val="0"/>
              <w:snapToGrid/>
              <w:spacing w:after="0" w:line="360" w:lineRule="auto"/>
              <w:ind w:left="0" w:firstLine="0"/>
              <w:jc w:val="center"/>
              <w:textAlignment w:val="top"/>
              <w:rPr>
                <w:rFonts w:hint="eastAsia" w:ascii="宋体" w:hAnsi="宋体" w:eastAsia="宋体" w:cs="宋体"/>
                <w:b w:val="0"/>
                <w:bCs w:val="0"/>
                <w:color w:val="0000FF"/>
                <w:szCs w:val="21"/>
                <w:highlight w:val="none"/>
                <w:lang w:val="en-US" w:eastAsia="zh-CN"/>
              </w:rPr>
            </w:pPr>
            <w:r>
              <w:rPr>
                <w:rFonts w:hint="eastAsia" w:ascii="宋体" w:hAnsi="宋体" w:cs="宋体"/>
                <w:b w:val="0"/>
                <w:bCs w:val="0"/>
                <w:color w:val="0000FF"/>
                <w:szCs w:val="21"/>
                <w:highlight w:val="none"/>
                <w:lang w:val="en-US" w:eastAsia="zh-CN"/>
              </w:rPr>
              <w:t>8</w:t>
            </w:r>
          </w:p>
        </w:tc>
        <w:tc>
          <w:tcPr>
            <w:tcW w:w="857" w:type="dxa"/>
            <w:noWrap w:val="0"/>
            <w:vAlign w:val="center"/>
          </w:tcPr>
          <w:p>
            <w:pPr>
              <w:pStyle w:val="59"/>
              <w:pageBreakBefore w:val="0"/>
              <w:kinsoku/>
              <w:wordWrap/>
              <w:overflowPunct/>
              <w:topLinePunct w:val="0"/>
              <w:bidi w:val="0"/>
              <w:snapToGrid/>
              <w:spacing w:after="0" w:line="360" w:lineRule="auto"/>
              <w:ind w:left="0" w:firstLine="0"/>
              <w:jc w:val="center"/>
              <w:textAlignment w:val="top"/>
              <w:rPr>
                <w:rFonts w:hint="default" w:ascii="宋体" w:hAnsi="宋体" w:eastAsia="宋体" w:cs="宋体"/>
                <w:b w:val="0"/>
                <w:bCs w:val="0"/>
                <w:color w:val="0000FF"/>
                <w:szCs w:val="21"/>
                <w:highlight w:val="none"/>
                <w:lang w:val="en-US" w:eastAsia="zh-CN"/>
              </w:rPr>
            </w:pPr>
            <w:r>
              <w:rPr>
                <w:rFonts w:hint="eastAsia" w:ascii="宋体" w:hAnsi="宋体" w:cs="宋体"/>
                <w:b w:val="0"/>
                <w:bCs w:val="0"/>
                <w:color w:val="0000FF"/>
                <w:szCs w:val="21"/>
                <w:highlight w:val="none"/>
                <w:lang w:val="en-US" w:eastAsia="zh-CN"/>
              </w:rPr>
              <w:t>7.2.3</w:t>
            </w:r>
          </w:p>
        </w:tc>
        <w:tc>
          <w:tcPr>
            <w:tcW w:w="3109" w:type="dxa"/>
            <w:noWrap w:val="0"/>
            <w:vAlign w:val="center"/>
          </w:tcPr>
          <w:p>
            <w:pPr>
              <w:pStyle w:val="59"/>
              <w:pageBreakBefore w:val="0"/>
              <w:kinsoku/>
              <w:wordWrap/>
              <w:overflowPunct/>
              <w:topLinePunct w:val="0"/>
              <w:bidi w:val="0"/>
              <w:snapToGrid/>
              <w:spacing w:after="0" w:line="360" w:lineRule="auto"/>
              <w:ind w:left="0" w:firstLine="1098" w:firstLineChars="523"/>
              <w:jc w:val="both"/>
              <w:textAlignment w:val="top"/>
              <w:rPr>
                <w:rFonts w:hint="eastAsia" w:ascii="宋体" w:hAnsi="宋体" w:eastAsia="宋体" w:cs="宋体"/>
                <w:b w:val="0"/>
                <w:bCs w:val="0"/>
                <w:color w:val="0000FF"/>
                <w:sz w:val="21"/>
                <w:szCs w:val="21"/>
                <w:highlight w:val="none"/>
                <w:lang w:eastAsia="zh-CN"/>
              </w:rPr>
            </w:pPr>
            <w:r>
              <w:rPr>
                <w:rFonts w:hint="eastAsia" w:ascii="宋体" w:hAnsi="宋体" w:eastAsia="宋体" w:cs="宋体"/>
                <w:b w:val="0"/>
                <w:bCs w:val="0"/>
                <w:color w:val="0000FF"/>
                <w:szCs w:val="21"/>
                <w:highlight w:val="none"/>
                <w:lang w:val="zh-CN" w:eastAsia="zh-CN"/>
              </w:rPr>
              <w:t>无</w:t>
            </w:r>
          </w:p>
        </w:tc>
        <w:tc>
          <w:tcPr>
            <w:tcW w:w="5362" w:type="dxa"/>
            <w:noWrap w:val="0"/>
            <w:vAlign w:val="center"/>
          </w:tcPr>
          <w:p>
            <w:pPr>
              <w:pStyle w:val="59"/>
              <w:pageBreakBefore w:val="0"/>
              <w:kinsoku/>
              <w:wordWrap/>
              <w:overflowPunct/>
              <w:topLinePunct w:val="0"/>
              <w:bidi w:val="0"/>
              <w:snapToGrid/>
              <w:spacing w:after="0" w:line="360" w:lineRule="auto"/>
              <w:ind w:left="0" w:firstLine="0"/>
              <w:jc w:val="both"/>
              <w:textAlignment w:val="top"/>
              <w:rPr>
                <w:rFonts w:hint="eastAsia" w:ascii="宋体" w:hAnsi="宋体" w:eastAsia="宋体" w:cs="宋体"/>
                <w:b w:val="0"/>
                <w:bCs w:val="0"/>
                <w:color w:val="0000FF"/>
                <w:szCs w:val="21"/>
                <w:highlight w:val="none"/>
                <w:u w:val="none"/>
                <w:lang w:val="zh-CN"/>
              </w:rPr>
            </w:pPr>
            <w:r>
              <w:rPr>
                <w:rFonts w:hint="eastAsia" w:ascii="宋体" w:hAnsi="宋体" w:cs="宋体"/>
                <w:b w:val="0"/>
                <w:bCs w:val="0"/>
                <w:color w:val="0000FF"/>
                <w:szCs w:val="21"/>
                <w:highlight w:val="none"/>
                <w:u w:val="none"/>
                <w:lang w:val="zh-CN"/>
              </w:rPr>
              <w:t>新增</w:t>
            </w:r>
            <w:r>
              <w:rPr>
                <w:rFonts w:hint="eastAsia" w:ascii="宋体" w:hAnsi="宋体" w:eastAsia="宋体" w:cs="宋体"/>
                <w:b w:val="0"/>
                <w:bCs w:val="0"/>
                <w:color w:val="0000FF"/>
                <w:szCs w:val="21"/>
                <w:highlight w:val="none"/>
                <w:u w:val="none"/>
                <w:lang w:val="zh-CN"/>
              </w:rPr>
              <w:t>：</w:t>
            </w:r>
          </w:p>
          <w:p>
            <w:pPr>
              <w:pStyle w:val="59"/>
              <w:pageBreakBefore w:val="0"/>
              <w:kinsoku/>
              <w:wordWrap/>
              <w:overflowPunct/>
              <w:topLinePunct w:val="0"/>
              <w:bidi w:val="0"/>
              <w:snapToGrid/>
              <w:spacing w:after="0" w:line="360" w:lineRule="auto"/>
              <w:ind w:left="0" w:firstLine="0"/>
              <w:jc w:val="both"/>
              <w:textAlignment w:val="top"/>
              <w:rPr>
                <w:rFonts w:hint="eastAsia" w:ascii="宋体" w:hAnsi="宋体" w:eastAsia="宋体" w:cs="宋体"/>
                <w:b w:val="0"/>
                <w:bCs w:val="0"/>
                <w:color w:val="0000FF"/>
                <w:szCs w:val="21"/>
                <w:highlight w:val="none"/>
                <w:u w:val="none"/>
                <w:lang w:val="zh-CN"/>
              </w:rPr>
            </w:pPr>
            <w:r>
              <w:rPr>
                <w:rFonts w:hint="eastAsia" w:ascii="宋体" w:hAnsi="宋体" w:cs="宋体"/>
                <w:color w:val="0000FF"/>
                <w:sz w:val="21"/>
                <w:szCs w:val="21"/>
                <w:highlight w:val="none"/>
                <w:lang w:val="en-US" w:eastAsia="zh-CN"/>
              </w:rPr>
              <w:t>7.2.3工程中有关进度计划的其他要求：</w:t>
            </w:r>
          </w:p>
          <w:p>
            <w:pPr>
              <w:pStyle w:val="59"/>
              <w:pageBreakBefore w:val="0"/>
              <w:kinsoku/>
              <w:wordWrap/>
              <w:overflowPunct/>
              <w:topLinePunct w:val="0"/>
              <w:bidi w:val="0"/>
              <w:snapToGrid/>
              <w:spacing w:after="0" w:line="360" w:lineRule="auto"/>
              <w:ind w:left="0"/>
              <w:jc w:val="both"/>
              <w:textAlignment w:val="top"/>
              <w:rPr>
                <w:rFonts w:hint="eastAsia" w:cs="宋体"/>
                <w:color w:val="0000FF"/>
                <w:sz w:val="21"/>
                <w:szCs w:val="21"/>
                <w:highlight w:val="none"/>
                <w:u w:val="single"/>
              </w:rPr>
            </w:pPr>
            <w:r>
              <w:rPr>
                <w:rFonts w:hint="eastAsia" w:ascii="宋体" w:hAnsi="宋体" w:eastAsia="宋体" w:cs="宋体"/>
                <w:b w:val="0"/>
                <w:bCs w:val="0"/>
                <w:color w:val="0000FF"/>
                <w:szCs w:val="21"/>
                <w:highlight w:val="none"/>
                <w:u w:val="single"/>
                <w:lang w:val="zh-CN"/>
              </w:rPr>
              <w:t>①承包人的进度计划必须服从发包人根据实际情况做出的调整、安排，并根据发包人需要做出进一步深度计划。②配合发包人做好本项目的进度信息管理。③承包人应加强现场施工进度信息化管理及宣传工作，自行准备无人机设备，每周对地块施工进度进行全景高空拍摄、提供高清照片并做好资料存档，发包人可根据实际需要要求适时增加拍摄频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708" w:type="dxa"/>
            <w:noWrap w:val="0"/>
            <w:vAlign w:val="center"/>
          </w:tcPr>
          <w:p>
            <w:pPr>
              <w:pStyle w:val="59"/>
              <w:pageBreakBefore w:val="0"/>
              <w:kinsoku/>
              <w:wordWrap/>
              <w:overflowPunct/>
              <w:topLinePunct w:val="0"/>
              <w:bidi w:val="0"/>
              <w:snapToGrid/>
              <w:spacing w:after="0" w:line="360" w:lineRule="auto"/>
              <w:ind w:left="0" w:firstLine="0"/>
              <w:jc w:val="center"/>
              <w:textAlignment w:val="top"/>
              <w:rPr>
                <w:rFonts w:hint="eastAsia" w:ascii="宋体" w:hAnsi="宋体" w:eastAsia="宋体" w:cs="宋体"/>
                <w:b w:val="0"/>
                <w:bCs w:val="0"/>
                <w:color w:val="0000FF"/>
                <w:szCs w:val="21"/>
                <w:highlight w:val="none"/>
                <w:lang w:val="en-US" w:eastAsia="zh-CN"/>
              </w:rPr>
            </w:pPr>
            <w:r>
              <w:rPr>
                <w:rFonts w:hint="eastAsia" w:ascii="宋体" w:hAnsi="宋体" w:cs="宋体"/>
                <w:b w:val="0"/>
                <w:bCs w:val="0"/>
                <w:color w:val="0000FF"/>
                <w:szCs w:val="21"/>
                <w:highlight w:val="none"/>
                <w:lang w:val="en-US" w:eastAsia="zh-CN"/>
              </w:rPr>
              <w:t>9</w:t>
            </w:r>
          </w:p>
        </w:tc>
        <w:tc>
          <w:tcPr>
            <w:tcW w:w="857" w:type="dxa"/>
            <w:noWrap w:val="0"/>
            <w:vAlign w:val="center"/>
          </w:tcPr>
          <w:p>
            <w:pPr>
              <w:pStyle w:val="59"/>
              <w:pageBreakBefore w:val="0"/>
              <w:kinsoku/>
              <w:wordWrap/>
              <w:overflowPunct/>
              <w:topLinePunct w:val="0"/>
              <w:bidi w:val="0"/>
              <w:snapToGrid/>
              <w:spacing w:after="0" w:line="360" w:lineRule="auto"/>
              <w:ind w:left="0" w:firstLine="0"/>
              <w:jc w:val="center"/>
              <w:textAlignment w:val="top"/>
              <w:rPr>
                <w:rFonts w:hint="default" w:ascii="宋体" w:hAnsi="宋体" w:eastAsia="宋体" w:cs="宋体"/>
                <w:b w:val="0"/>
                <w:bCs w:val="0"/>
                <w:color w:val="0000FF"/>
                <w:szCs w:val="21"/>
                <w:highlight w:val="none"/>
                <w:lang w:val="en-US" w:eastAsia="zh-CN"/>
              </w:rPr>
            </w:pPr>
            <w:r>
              <w:rPr>
                <w:rFonts w:hint="eastAsia" w:ascii="宋体" w:hAnsi="宋体" w:cs="宋体"/>
                <w:b w:val="0"/>
                <w:bCs w:val="0"/>
                <w:color w:val="0000FF"/>
                <w:szCs w:val="21"/>
                <w:highlight w:val="none"/>
                <w:lang w:val="en-US" w:eastAsia="zh-CN"/>
              </w:rPr>
              <w:t>7.5.2</w:t>
            </w:r>
          </w:p>
        </w:tc>
        <w:tc>
          <w:tcPr>
            <w:tcW w:w="3109" w:type="dxa"/>
            <w:noWrap w:val="0"/>
            <w:vAlign w:val="center"/>
          </w:tcPr>
          <w:p>
            <w:pPr>
              <w:pStyle w:val="59"/>
              <w:pageBreakBefore w:val="0"/>
              <w:kinsoku/>
              <w:wordWrap/>
              <w:overflowPunct/>
              <w:topLinePunct w:val="0"/>
              <w:bidi w:val="0"/>
              <w:snapToGrid/>
              <w:spacing w:after="0" w:line="360" w:lineRule="auto"/>
              <w:ind w:left="0"/>
              <w:jc w:val="both"/>
              <w:textAlignment w:val="top"/>
              <w:rPr>
                <w:rFonts w:hint="eastAsia" w:ascii="宋体" w:hAnsi="宋体" w:eastAsia="宋体" w:cs="宋体"/>
                <w:b w:val="0"/>
                <w:bCs w:val="0"/>
                <w:color w:val="0000FF"/>
                <w:szCs w:val="21"/>
                <w:highlight w:val="none"/>
                <w:lang w:val="zh-CN"/>
              </w:rPr>
            </w:pPr>
            <w:r>
              <w:rPr>
                <w:rFonts w:hint="eastAsia" w:ascii="宋体" w:hAnsi="宋体" w:eastAsia="宋体" w:cs="宋体"/>
                <w:b w:val="0"/>
                <w:bCs w:val="0"/>
                <w:color w:val="0000FF"/>
                <w:szCs w:val="21"/>
                <w:highlight w:val="none"/>
                <w:lang w:val="zh-CN"/>
              </w:rPr>
              <w:t>因承包人原因造成工期延误，逾期竣工违约金的计算方法为：</w:t>
            </w:r>
            <w:r>
              <w:rPr>
                <w:rFonts w:hint="eastAsia" w:ascii="宋体" w:hAnsi="宋体" w:eastAsia="宋体" w:cs="宋体"/>
                <w:b w:val="0"/>
                <w:bCs w:val="0"/>
                <w:color w:val="0000FF"/>
                <w:szCs w:val="21"/>
                <w:highlight w:val="none"/>
                <w:u w:val="single"/>
                <w:lang w:val="zh-CN"/>
              </w:rPr>
              <w:t>按照签约合同价格为基数，日万分之一计算逾期竣工违约金，逾期竣工违约金累计计算</w:t>
            </w:r>
            <w:r>
              <w:rPr>
                <w:rFonts w:hint="eastAsia" w:ascii="宋体" w:hAnsi="宋体" w:eastAsia="宋体" w:cs="宋体"/>
                <w:b w:val="0"/>
                <w:bCs w:val="0"/>
                <w:color w:val="0000FF"/>
                <w:szCs w:val="21"/>
                <w:highlight w:val="none"/>
                <w:lang w:val="zh-CN"/>
              </w:rPr>
              <w:t>。</w:t>
            </w:r>
          </w:p>
        </w:tc>
        <w:tc>
          <w:tcPr>
            <w:tcW w:w="5362" w:type="dxa"/>
            <w:noWrap w:val="0"/>
            <w:vAlign w:val="center"/>
          </w:tcPr>
          <w:p>
            <w:pPr>
              <w:pageBreakBefore w:val="0"/>
              <w:kinsoku/>
              <w:wordWrap/>
              <w:overflowPunct/>
              <w:topLinePunct w:val="0"/>
              <w:autoSpaceDE w:val="0"/>
              <w:autoSpaceDN w:val="0"/>
              <w:bidi w:val="0"/>
              <w:adjustRightInd w:val="0"/>
              <w:snapToGrid/>
              <w:spacing w:line="360" w:lineRule="auto"/>
              <w:ind w:left="0" w:firstLine="420" w:firstLineChars="200"/>
              <w:jc w:val="both"/>
              <w:rPr>
                <w:rFonts w:hint="eastAsia" w:ascii="宋体" w:hAnsi="宋体" w:eastAsia="宋体" w:cs="宋体"/>
                <w:b w:val="0"/>
                <w:bCs w:val="0"/>
                <w:color w:val="0000FF"/>
                <w:kern w:val="1"/>
                <w:sz w:val="21"/>
                <w:szCs w:val="21"/>
                <w:highlight w:val="none"/>
                <w:u w:val="single"/>
                <w:lang w:val="zh-CN" w:eastAsia="zh-CN" w:bidi="ar-SA"/>
              </w:rPr>
            </w:pPr>
            <w:r>
              <w:rPr>
                <w:rFonts w:hint="eastAsia" w:ascii="宋体" w:hAnsi="宋体" w:eastAsia="宋体" w:cs="宋体"/>
                <w:b w:val="0"/>
                <w:bCs w:val="0"/>
                <w:color w:val="0000FF"/>
                <w:kern w:val="1"/>
                <w:sz w:val="21"/>
                <w:szCs w:val="21"/>
                <w:highlight w:val="none"/>
                <w:u w:val="none"/>
                <w:lang w:val="zh-CN" w:eastAsia="zh-CN" w:bidi="ar-SA"/>
              </w:rPr>
              <w:t>因承包人原因造成工期延误，逾期竣工违约金的计算方法为：</w:t>
            </w:r>
            <w:r>
              <w:rPr>
                <w:rFonts w:hint="eastAsia" w:ascii="宋体" w:hAnsi="宋体" w:eastAsia="宋体" w:cs="宋体"/>
                <w:b w:val="0"/>
                <w:bCs w:val="0"/>
                <w:color w:val="0000FF"/>
                <w:kern w:val="1"/>
                <w:sz w:val="21"/>
                <w:szCs w:val="21"/>
                <w:highlight w:val="none"/>
                <w:u w:val="single"/>
                <w:lang w:val="zh-CN" w:eastAsia="zh-CN" w:bidi="ar-SA"/>
              </w:rPr>
              <w:t>发包人有权根据现场施工进度调整本工程总工期或关键节点工期，承包人不得因工期超合同约定工期所造成的场地、机械设备、人员、办公费等费用的增加向发包人提出索赔，且承包人不得因自身原因影响现场进度。承包人应充分考虑与其他专业承包单位的工作衔接、配合等因素，积极配合其他专业承包单位的施工，责任和费用均含在合同总价中。发包人已按合同约定完成了自身承担的开工准备工作后，承包人无正当理由不开工或监理工程师因承包人原因导致无法签发开工令的，视为承包人违约，工期不予顺延。</w:t>
            </w:r>
          </w:p>
          <w:p>
            <w:pPr>
              <w:pageBreakBefore w:val="0"/>
              <w:kinsoku/>
              <w:wordWrap/>
              <w:overflowPunct/>
              <w:topLinePunct w:val="0"/>
              <w:autoSpaceDE w:val="0"/>
              <w:autoSpaceDN w:val="0"/>
              <w:bidi w:val="0"/>
              <w:adjustRightInd w:val="0"/>
              <w:snapToGrid/>
              <w:spacing w:line="360" w:lineRule="auto"/>
              <w:ind w:left="0" w:firstLine="420" w:firstLineChars="200"/>
              <w:jc w:val="both"/>
              <w:rPr>
                <w:rFonts w:hint="eastAsia" w:ascii="宋体" w:hAnsi="宋体" w:eastAsia="宋体" w:cs="宋体"/>
                <w:b w:val="0"/>
                <w:bCs w:val="0"/>
                <w:color w:val="0000FF"/>
                <w:kern w:val="1"/>
                <w:sz w:val="21"/>
                <w:szCs w:val="21"/>
                <w:highlight w:val="none"/>
                <w:u w:val="single"/>
                <w:lang w:val="zh-CN" w:eastAsia="zh-CN" w:bidi="ar-SA"/>
              </w:rPr>
            </w:pPr>
            <w:r>
              <w:rPr>
                <w:rFonts w:hint="eastAsia" w:ascii="宋体" w:hAnsi="宋体" w:eastAsia="宋体" w:cs="宋体"/>
                <w:b w:val="0"/>
                <w:bCs w:val="0"/>
                <w:color w:val="0000FF"/>
                <w:kern w:val="1"/>
                <w:sz w:val="21"/>
                <w:szCs w:val="21"/>
                <w:highlight w:val="none"/>
                <w:u w:val="single"/>
                <w:lang w:val="zh-CN" w:eastAsia="zh-CN" w:bidi="ar-SA"/>
              </w:rPr>
              <w:t>因承包人原因造成合同工期（含关键节点工期）延误的，按每拖延1个日历天支付签约合同总价的万分之三累计计算违约金（累计计算即关键节点工期与合同总工期均延误时须累加处罚）；合同工期（含关键节点工期）延误超过一个月的，按每拖延1个日历天支付签约合同总价的千分之一累计计算违约金（累计计算即关键节点工期与合同总工期均延误时须累加处罚），且发包人有权单方终止合同。如上述延误给发包人造成损失的，承包人还应承担发包人所有损失。</w:t>
            </w:r>
          </w:p>
          <w:p>
            <w:pPr>
              <w:pageBreakBefore w:val="0"/>
              <w:kinsoku/>
              <w:wordWrap/>
              <w:overflowPunct/>
              <w:topLinePunct w:val="0"/>
              <w:autoSpaceDE w:val="0"/>
              <w:autoSpaceDN w:val="0"/>
              <w:bidi w:val="0"/>
              <w:adjustRightInd w:val="0"/>
              <w:snapToGrid/>
              <w:spacing w:line="360" w:lineRule="auto"/>
              <w:ind w:left="0" w:firstLine="420" w:firstLineChars="200"/>
              <w:jc w:val="both"/>
              <w:rPr>
                <w:rFonts w:hint="eastAsia" w:ascii="宋体" w:hAnsi="宋体" w:eastAsia="宋体" w:cs="宋体"/>
                <w:b w:val="0"/>
                <w:bCs w:val="0"/>
                <w:color w:val="0000FF"/>
                <w:highlight w:val="none"/>
                <w:lang w:val="zh-CN"/>
              </w:rPr>
            </w:pPr>
            <w:r>
              <w:rPr>
                <w:rFonts w:hint="eastAsia" w:ascii="宋体" w:hAnsi="宋体" w:eastAsia="宋体" w:cs="宋体"/>
                <w:b w:val="0"/>
                <w:bCs w:val="0"/>
                <w:color w:val="0000FF"/>
                <w:kern w:val="1"/>
                <w:sz w:val="21"/>
                <w:szCs w:val="21"/>
                <w:highlight w:val="none"/>
                <w:u w:val="single"/>
                <w:lang w:val="zh-CN" w:eastAsia="zh-CN" w:bidi="ar-SA"/>
              </w:rPr>
              <w:t>由于承包人原因造成工期（含关键节点工期）滞后的，工期滞后超过15天未超过30天的，承包人公司领导（副总经理及以上）应按发包人要求每周至少1天入驻工地，督促施工进度；工期滞后30天（含）及以上，承包人公司领导（副总经理及以上）应按发包人要求每周至少入驻3天，督促施工进度。承包人未按入驻工地约定执行的，发包人有权对承包人处以人民币1万元/天•人的罚款。工期抢回后，发包人可取消承包人领导驻施工现场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708" w:type="dxa"/>
            <w:noWrap w:val="0"/>
            <w:vAlign w:val="center"/>
          </w:tcPr>
          <w:p>
            <w:pPr>
              <w:pStyle w:val="59"/>
              <w:pageBreakBefore w:val="0"/>
              <w:kinsoku/>
              <w:wordWrap/>
              <w:overflowPunct/>
              <w:topLinePunct w:val="0"/>
              <w:bidi w:val="0"/>
              <w:snapToGrid/>
              <w:spacing w:after="0" w:line="360" w:lineRule="auto"/>
              <w:ind w:left="0" w:firstLine="0"/>
              <w:jc w:val="center"/>
              <w:textAlignment w:val="top"/>
              <w:rPr>
                <w:rFonts w:hint="default" w:ascii="宋体" w:hAnsi="宋体" w:eastAsia="宋体" w:cs="宋体"/>
                <w:b w:val="0"/>
                <w:bCs w:val="0"/>
                <w:color w:val="0000FF"/>
                <w:szCs w:val="21"/>
                <w:highlight w:val="none"/>
                <w:lang w:val="en-US" w:eastAsia="zh-CN"/>
              </w:rPr>
            </w:pPr>
            <w:r>
              <w:rPr>
                <w:rFonts w:hint="eastAsia" w:ascii="宋体" w:hAnsi="宋体" w:cs="宋体"/>
                <w:b w:val="0"/>
                <w:bCs w:val="0"/>
                <w:color w:val="0000FF"/>
                <w:szCs w:val="21"/>
                <w:highlight w:val="none"/>
                <w:lang w:val="en-US" w:eastAsia="zh-CN"/>
              </w:rPr>
              <w:t>10</w:t>
            </w:r>
          </w:p>
        </w:tc>
        <w:tc>
          <w:tcPr>
            <w:tcW w:w="857" w:type="dxa"/>
            <w:noWrap w:val="0"/>
            <w:vAlign w:val="center"/>
          </w:tcPr>
          <w:p>
            <w:pPr>
              <w:pStyle w:val="59"/>
              <w:pageBreakBefore w:val="0"/>
              <w:kinsoku/>
              <w:wordWrap/>
              <w:overflowPunct/>
              <w:topLinePunct w:val="0"/>
              <w:bidi w:val="0"/>
              <w:snapToGrid/>
              <w:spacing w:after="0" w:line="360" w:lineRule="auto"/>
              <w:ind w:left="0" w:firstLine="0"/>
              <w:jc w:val="center"/>
              <w:textAlignment w:val="top"/>
              <w:rPr>
                <w:rFonts w:hint="default" w:ascii="宋体" w:hAnsi="宋体" w:eastAsia="宋体" w:cs="宋体"/>
                <w:b w:val="0"/>
                <w:bCs w:val="0"/>
                <w:color w:val="0000FF"/>
                <w:szCs w:val="21"/>
                <w:highlight w:val="none"/>
                <w:lang w:val="en-US" w:eastAsia="zh-CN"/>
              </w:rPr>
            </w:pPr>
            <w:r>
              <w:rPr>
                <w:rFonts w:hint="eastAsia" w:ascii="宋体" w:hAnsi="宋体" w:cs="宋体"/>
                <w:b w:val="0"/>
                <w:bCs w:val="0"/>
                <w:color w:val="0000FF"/>
                <w:szCs w:val="21"/>
                <w:highlight w:val="none"/>
                <w:lang w:val="en-US" w:eastAsia="zh-CN"/>
              </w:rPr>
              <w:t>7.5.2</w:t>
            </w:r>
          </w:p>
        </w:tc>
        <w:tc>
          <w:tcPr>
            <w:tcW w:w="3109" w:type="dxa"/>
            <w:noWrap w:val="0"/>
            <w:vAlign w:val="center"/>
          </w:tcPr>
          <w:p>
            <w:pPr>
              <w:pStyle w:val="59"/>
              <w:pageBreakBefore w:val="0"/>
              <w:kinsoku/>
              <w:wordWrap/>
              <w:overflowPunct/>
              <w:topLinePunct w:val="0"/>
              <w:bidi w:val="0"/>
              <w:snapToGrid/>
              <w:spacing w:after="0" w:line="360" w:lineRule="auto"/>
              <w:ind w:left="0" w:firstLine="420" w:firstLineChars="200"/>
              <w:jc w:val="both"/>
              <w:textAlignment w:val="top"/>
              <w:rPr>
                <w:rFonts w:hint="eastAsia" w:ascii="宋体" w:hAnsi="宋体" w:eastAsia="宋体" w:cs="宋体"/>
                <w:b w:val="0"/>
                <w:bCs w:val="0"/>
                <w:color w:val="0000FF"/>
                <w:szCs w:val="21"/>
                <w:highlight w:val="none"/>
                <w:lang w:val="zh-CN"/>
              </w:rPr>
            </w:pPr>
            <w:r>
              <w:rPr>
                <w:rFonts w:hint="eastAsia" w:ascii="宋体" w:hAnsi="宋体" w:eastAsia="宋体" w:cs="宋体"/>
                <w:b w:val="0"/>
                <w:bCs w:val="0"/>
                <w:color w:val="0000FF"/>
                <w:szCs w:val="21"/>
                <w:highlight w:val="none"/>
                <w:lang w:val="zh-CN"/>
              </w:rPr>
              <w:t>因承包人原因造成工期延误，逾期竣工违约金的上限：</w:t>
            </w:r>
            <w:r>
              <w:rPr>
                <w:rFonts w:hint="eastAsia" w:ascii="宋体" w:hAnsi="宋体" w:eastAsia="宋体" w:cs="宋体"/>
                <w:b w:val="0"/>
                <w:bCs w:val="0"/>
                <w:color w:val="0000FF"/>
                <w:szCs w:val="21"/>
                <w:highlight w:val="none"/>
                <w:u w:val="single"/>
                <w:lang w:val="zh-CN"/>
              </w:rPr>
              <w:t>逾期竣工违约金累计计算，最高不超过签约合同价格的3%</w:t>
            </w:r>
            <w:r>
              <w:rPr>
                <w:rFonts w:hint="eastAsia" w:ascii="宋体" w:hAnsi="宋体" w:eastAsia="宋体" w:cs="宋体"/>
                <w:b w:val="0"/>
                <w:bCs w:val="0"/>
                <w:color w:val="0000FF"/>
                <w:szCs w:val="21"/>
                <w:highlight w:val="none"/>
                <w:lang w:val="zh-CN"/>
              </w:rPr>
              <w:t>。</w:t>
            </w:r>
          </w:p>
        </w:tc>
        <w:tc>
          <w:tcPr>
            <w:tcW w:w="5362" w:type="dxa"/>
            <w:noWrap w:val="0"/>
            <w:vAlign w:val="center"/>
          </w:tcPr>
          <w:p>
            <w:pPr>
              <w:pStyle w:val="59"/>
              <w:pageBreakBefore w:val="0"/>
              <w:kinsoku/>
              <w:wordWrap/>
              <w:overflowPunct/>
              <w:topLinePunct w:val="0"/>
              <w:bidi w:val="0"/>
              <w:snapToGrid/>
              <w:spacing w:after="0" w:line="360" w:lineRule="auto"/>
              <w:ind w:left="0" w:leftChars="0" w:firstLine="420" w:firstLineChars="200"/>
              <w:jc w:val="both"/>
              <w:rPr>
                <w:rFonts w:hint="eastAsia" w:ascii="宋体" w:hAnsi="宋体" w:eastAsia="宋体" w:cs="宋体"/>
                <w:b w:val="0"/>
                <w:bCs w:val="0"/>
                <w:color w:val="0000FF"/>
                <w:highlight w:val="none"/>
                <w:lang w:val="zh-CN"/>
              </w:rPr>
            </w:pPr>
            <w:r>
              <w:rPr>
                <w:rFonts w:hint="eastAsia" w:ascii="宋体" w:hAnsi="宋体" w:eastAsia="宋体" w:cs="宋体"/>
                <w:b w:val="0"/>
                <w:bCs w:val="0"/>
                <w:color w:val="0000FF"/>
                <w:highlight w:val="none"/>
                <w:lang w:val="zh-CN"/>
              </w:rPr>
              <w:t>因承包人原因造成工期延误，逾期竣工违约金的上限</w:t>
            </w:r>
            <w:r>
              <w:rPr>
                <w:rFonts w:hint="eastAsia" w:ascii="宋体" w:hAnsi="宋体" w:cs="宋体"/>
                <w:b w:val="0"/>
                <w:bCs w:val="0"/>
                <w:color w:val="0000FF"/>
                <w:highlight w:val="none"/>
                <w:lang w:val="zh-CN"/>
              </w:rPr>
              <w:t>：</w:t>
            </w:r>
            <w:r>
              <w:rPr>
                <w:rFonts w:hint="eastAsia" w:ascii="宋体" w:hAnsi="宋体" w:cs="宋体"/>
                <w:b w:val="0"/>
                <w:bCs w:val="0"/>
                <w:color w:val="0000FF"/>
                <w:highlight w:val="none"/>
                <w:u w:val="single"/>
                <w:lang w:val="zh-CN"/>
              </w:rPr>
              <w:t>逾期竣工违约金累计计算。除上述逾期竣工违约金外，若经发包人书面通知后，承包人仍未提交具体的补救措施计划或实质性持续施工的，则发包人有权解除合同并要求承包人返还已收取的全部工程款，同时发包人有权自行委托其他施工单位提供相应服务，承包人应承担由此产生的全部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708" w:type="dxa"/>
            <w:noWrap w:val="0"/>
            <w:vAlign w:val="center"/>
          </w:tcPr>
          <w:p>
            <w:pPr>
              <w:pStyle w:val="59"/>
              <w:pageBreakBefore w:val="0"/>
              <w:kinsoku/>
              <w:wordWrap/>
              <w:overflowPunct/>
              <w:topLinePunct w:val="0"/>
              <w:bidi w:val="0"/>
              <w:snapToGrid/>
              <w:spacing w:after="0" w:line="360" w:lineRule="auto"/>
              <w:ind w:left="0" w:firstLine="0"/>
              <w:jc w:val="center"/>
              <w:textAlignment w:val="top"/>
              <w:rPr>
                <w:rFonts w:hint="default" w:ascii="宋体" w:hAnsi="宋体" w:eastAsia="宋体" w:cs="宋体"/>
                <w:b w:val="0"/>
                <w:bCs w:val="0"/>
                <w:color w:val="0000FF"/>
                <w:szCs w:val="21"/>
                <w:highlight w:val="none"/>
                <w:lang w:val="en-US" w:eastAsia="zh-CN"/>
              </w:rPr>
            </w:pPr>
            <w:r>
              <w:rPr>
                <w:rFonts w:hint="eastAsia" w:ascii="宋体" w:hAnsi="宋体" w:cs="宋体"/>
                <w:b w:val="0"/>
                <w:bCs w:val="0"/>
                <w:color w:val="0000FF"/>
                <w:szCs w:val="21"/>
                <w:highlight w:val="none"/>
                <w:lang w:val="en-US" w:eastAsia="zh-CN"/>
              </w:rPr>
              <w:t>11</w:t>
            </w:r>
          </w:p>
        </w:tc>
        <w:tc>
          <w:tcPr>
            <w:tcW w:w="857" w:type="dxa"/>
            <w:noWrap w:val="0"/>
            <w:vAlign w:val="center"/>
          </w:tcPr>
          <w:p>
            <w:pPr>
              <w:pStyle w:val="59"/>
              <w:pageBreakBefore w:val="0"/>
              <w:kinsoku/>
              <w:wordWrap/>
              <w:overflowPunct/>
              <w:topLinePunct w:val="0"/>
              <w:bidi w:val="0"/>
              <w:snapToGrid/>
              <w:spacing w:after="0" w:line="360" w:lineRule="auto"/>
              <w:ind w:left="0" w:firstLine="0"/>
              <w:jc w:val="center"/>
              <w:textAlignment w:val="top"/>
              <w:rPr>
                <w:rFonts w:hint="default" w:ascii="宋体" w:hAnsi="宋体" w:eastAsia="宋体" w:cs="宋体"/>
                <w:b w:val="0"/>
                <w:bCs w:val="0"/>
                <w:color w:val="0000FF"/>
                <w:sz w:val="21"/>
                <w:szCs w:val="21"/>
                <w:highlight w:val="none"/>
                <w:lang w:val="en-US" w:eastAsia="zh-CN"/>
              </w:rPr>
            </w:pPr>
            <w:r>
              <w:rPr>
                <w:rFonts w:hint="eastAsia" w:ascii="宋体" w:hAnsi="宋体" w:cs="宋体"/>
                <w:b w:val="0"/>
                <w:bCs w:val="0"/>
                <w:color w:val="0000FF"/>
                <w:sz w:val="21"/>
                <w:szCs w:val="21"/>
                <w:highlight w:val="none"/>
                <w:lang w:val="en-US" w:eastAsia="zh-CN"/>
              </w:rPr>
              <w:t>8.2.1</w:t>
            </w:r>
          </w:p>
        </w:tc>
        <w:tc>
          <w:tcPr>
            <w:tcW w:w="3109" w:type="dxa"/>
            <w:noWrap w:val="0"/>
            <w:vAlign w:val="center"/>
          </w:tcPr>
          <w:p>
            <w:pPr>
              <w:pStyle w:val="59"/>
              <w:pageBreakBefore w:val="0"/>
              <w:kinsoku/>
              <w:wordWrap/>
              <w:overflowPunct/>
              <w:topLinePunct w:val="0"/>
              <w:bidi w:val="0"/>
              <w:snapToGrid/>
              <w:spacing w:after="0" w:line="360" w:lineRule="auto"/>
              <w:ind w:left="0" w:firstLine="1260" w:firstLineChars="600"/>
              <w:jc w:val="both"/>
              <w:textAlignment w:val="top"/>
              <w:rPr>
                <w:rFonts w:hint="eastAsia" w:ascii="宋体" w:hAnsi="宋体" w:eastAsia="宋体" w:cs="宋体"/>
                <w:b w:val="0"/>
                <w:bCs w:val="0"/>
                <w:color w:val="0000FF"/>
                <w:szCs w:val="21"/>
                <w:highlight w:val="none"/>
                <w:lang w:val="zh-CN"/>
              </w:rPr>
            </w:pPr>
            <w:r>
              <w:rPr>
                <w:rFonts w:hint="eastAsia" w:ascii="宋体" w:hAnsi="宋体" w:cs="宋体"/>
                <w:b w:val="0"/>
                <w:bCs w:val="0"/>
                <w:color w:val="0000FF"/>
                <w:szCs w:val="21"/>
                <w:highlight w:val="none"/>
                <w:lang w:val="zh-CN"/>
              </w:rPr>
              <w:t>无</w:t>
            </w:r>
          </w:p>
        </w:tc>
        <w:tc>
          <w:tcPr>
            <w:tcW w:w="5362" w:type="dxa"/>
            <w:noWrap w:val="0"/>
            <w:vAlign w:val="center"/>
          </w:tcPr>
          <w:p>
            <w:pPr>
              <w:pageBreakBefore w:val="0"/>
              <w:kinsoku/>
              <w:wordWrap/>
              <w:overflowPunct/>
              <w:topLinePunct w:val="0"/>
              <w:bidi w:val="0"/>
              <w:snapToGrid/>
              <w:spacing w:line="360" w:lineRule="auto"/>
              <w:ind w:left="0" w:firstLine="0" w:firstLineChars="0"/>
              <w:jc w:val="both"/>
              <w:rPr>
                <w:rFonts w:hint="eastAsia" w:cs="宋体"/>
                <w:b w:val="0"/>
                <w:bCs w:val="0"/>
                <w:color w:val="0000FF"/>
                <w:sz w:val="21"/>
                <w:szCs w:val="21"/>
                <w:highlight w:val="none"/>
                <w:lang w:val="en-US" w:eastAsia="zh-CN"/>
              </w:rPr>
            </w:pPr>
            <w:r>
              <w:rPr>
                <w:rFonts w:hint="eastAsia" w:cs="宋体"/>
                <w:b w:val="0"/>
                <w:bCs w:val="0"/>
                <w:color w:val="0000FF"/>
                <w:sz w:val="21"/>
                <w:szCs w:val="21"/>
                <w:highlight w:val="none"/>
                <w:lang w:val="en-US" w:eastAsia="zh-CN"/>
              </w:rPr>
              <w:t>新增：</w:t>
            </w:r>
          </w:p>
          <w:p>
            <w:pPr>
              <w:pStyle w:val="59"/>
              <w:keepNext w:val="0"/>
              <w:keepLines w:val="0"/>
              <w:pageBreakBefore w:val="0"/>
              <w:widowControl w:val="0"/>
              <w:kinsoku/>
              <w:wordWrap/>
              <w:overflowPunct/>
              <w:topLinePunct w:val="0"/>
              <w:autoSpaceDE/>
              <w:autoSpaceDN/>
              <w:bidi w:val="0"/>
              <w:adjustRightInd/>
              <w:snapToGrid/>
              <w:spacing w:after="0" w:line="360" w:lineRule="auto"/>
              <w:ind w:left="0" w:leftChars="0" w:firstLine="420" w:firstLineChars="200"/>
              <w:textAlignment w:val="auto"/>
              <w:rPr>
                <w:rFonts w:hint="eastAsia" w:ascii="宋体" w:hAnsi="宋体" w:eastAsia="宋体" w:cs="宋体"/>
                <w:color w:val="0000FF"/>
                <w:highlight w:val="none"/>
                <w:u w:val="single"/>
                <w:lang w:val="en-US" w:eastAsia="zh-CN"/>
              </w:rPr>
            </w:pPr>
            <w:r>
              <w:rPr>
                <w:rFonts w:hint="eastAsia" w:ascii="宋体" w:hAnsi="宋体" w:eastAsia="宋体" w:cs="宋体"/>
                <w:color w:val="0000FF"/>
                <w:sz w:val="21"/>
                <w:szCs w:val="21"/>
                <w:highlight w:val="none"/>
                <w:u w:val="single"/>
              </w:rPr>
              <w:t>8.2</w:t>
            </w:r>
            <w:r>
              <w:rPr>
                <w:rFonts w:hint="eastAsia" w:ascii="宋体" w:hAnsi="宋体" w:eastAsia="宋体" w:cs="宋体"/>
                <w:color w:val="0000FF"/>
                <w:sz w:val="21"/>
                <w:szCs w:val="21"/>
                <w:highlight w:val="none"/>
                <w:u w:val="single"/>
                <w:lang w:val="en-US" w:eastAsia="zh-CN"/>
              </w:rPr>
              <w:t>.1</w:t>
            </w:r>
            <w:r>
              <w:rPr>
                <w:rFonts w:hint="eastAsia" w:ascii="宋体" w:hAnsi="宋体" w:eastAsia="宋体" w:cs="宋体"/>
                <w:color w:val="0000FF"/>
                <w:highlight w:val="none"/>
                <w:u w:val="single"/>
                <w:lang w:val="en-US" w:eastAsia="zh-CN"/>
              </w:rPr>
              <w:t>承包人采购材料设备的约定</w:t>
            </w:r>
          </w:p>
          <w:p>
            <w:pPr>
              <w:pStyle w:val="59"/>
              <w:keepNext w:val="0"/>
              <w:keepLines w:val="0"/>
              <w:pageBreakBefore w:val="0"/>
              <w:widowControl w:val="0"/>
              <w:kinsoku/>
              <w:wordWrap/>
              <w:overflowPunct/>
              <w:topLinePunct w:val="0"/>
              <w:autoSpaceDE/>
              <w:autoSpaceDN/>
              <w:bidi w:val="0"/>
              <w:adjustRightInd/>
              <w:snapToGrid/>
              <w:spacing w:after="0" w:line="360" w:lineRule="auto"/>
              <w:ind w:left="0" w:leftChars="0" w:firstLine="420" w:firstLineChars="200"/>
              <w:textAlignment w:val="auto"/>
              <w:rPr>
                <w:rFonts w:hint="eastAsia" w:ascii="宋体" w:hAnsi="宋体" w:eastAsia="宋体" w:cs="宋体"/>
                <w:color w:val="0000FF"/>
                <w:highlight w:val="none"/>
                <w:u w:val="single"/>
                <w:lang w:val="en-US" w:eastAsia="zh-CN"/>
              </w:rPr>
            </w:pPr>
            <w:r>
              <w:rPr>
                <w:rFonts w:hint="eastAsia" w:ascii="宋体" w:hAnsi="宋体" w:eastAsia="宋体" w:cs="宋体"/>
                <w:color w:val="0000FF"/>
                <w:highlight w:val="none"/>
                <w:u w:val="single"/>
                <w:lang w:val="en-US" w:eastAsia="zh-CN"/>
              </w:rPr>
              <w:t>本工程凡属承包范围内的所有材料、设备均由承包人自行采购供应，且应满足：</w:t>
            </w:r>
          </w:p>
          <w:p>
            <w:pPr>
              <w:pStyle w:val="59"/>
              <w:keepNext w:val="0"/>
              <w:keepLines w:val="0"/>
              <w:pageBreakBefore w:val="0"/>
              <w:widowControl w:val="0"/>
              <w:kinsoku/>
              <w:wordWrap/>
              <w:overflowPunct/>
              <w:topLinePunct w:val="0"/>
              <w:autoSpaceDE/>
              <w:autoSpaceDN/>
              <w:bidi w:val="0"/>
              <w:adjustRightInd/>
              <w:snapToGrid/>
              <w:spacing w:after="0" w:line="360" w:lineRule="auto"/>
              <w:ind w:left="0" w:leftChars="0" w:firstLine="420" w:firstLineChars="200"/>
              <w:textAlignment w:val="auto"/>
              <w:rPr>
                <w:rFonts w:hint="eastAsia" w:ascii="宋体" w:hAnsi="宋体" w:eastAsia="宋体" w:cs="宋体"/>
                <w:color w:val="0000FF"/>
                <w:highlight w:val="none"/>
                <w:u w:val="single"/>
                <w:lang w:val="en-US" w:eastAsia="zh-CN"/>
              </w:rPr>
            </w:pPr>
            <w:r>
              <w:rPr>
                <w:rFonts w:hint="eastAsia" w:ascii="宋体" w:hAnsi="宋体" w:eastAsia="宋体" w:cs="宋体"/>
                <w:color w:val="0000FF"/>
                <w:highlight w:val="none"/>
                <w:u w:val="single"/>
                <w:lang w:val="en-US" w:eastAsia="zh-CN"/>
              </w:rPr>
              <w:t>（1）本项目所有主要材料含《主要材料设备品牌选用表》须提前提供样品经发包人和监理工程师确认。如未经发包人及监理工程师确认的，发包人有权要求承包人更换其所采购的材料、设备等，由此产生的一切损失和责任由承包人自行承担，工期不予顺延。</w:t>
            </w:r>
            <w:r>
              <w:rPr>
                <w:rFonts w:hint="eastAsia" w:ascii="宋体" w:hAnsi="宋体" w:cs="宋体"/>
                <w:color w:val="0000FF"/>
                <w:highlight w:val="none"/>
                <w:u w:val="single"/>
                <w:lang w:val="en-US" w:eastAsia="zh-CN"/>
              </w:rPr>
              <w:t>如主要材料设备建设单位有自有品牌的，应优先选用建设单位自有品牌。</w:t>
            </w:r>
          </w:p>
          <w:p>
            <w:pPr>
              <w:pStyle w:val="59"/>
              <w:keepNext w:val="0"/>
              <w:keepLines w:val="0"/>
              <w:pageBreakBefore w:val="0"/>
              <w:widowControl w:val="0"/>
              <w:kinsoku/>
              <w:wordWrap/>
              <w:overflowPunct/>
              <w:topLinePunct w:val="0"/>
              <w:autoSpaceDE/>
              <w:autoSpaceDN/>
              <w:bidi w:val="0"/>
              <w:adjustRightInd/>
              <w:snapToGrid/>
              <w:spacing w:after="0" w:line="360" w:lineRule="auto"/>
              <w:ind w:left="0" w:leftChars="0" w:firstLine="420" w:firstLineChars="200"/>
              <w:textAlignment w:val="auto"/>
              <w:rPr>
                <w:rFonts w:hint="eastAsia" w:ascii="宋体" w:hAnsi="宋体" w:eastAsia="宋体" w:cs="宋体"/>
                <w:color w:val="0000FF"/>
                <w:highlight w:val="none"/>
                <w:u w:val="single"/>
                <w:lang w:val="en-US" w:eastAsia="zh-CN"/>
              </w:rPr>
            </w:pPr>
            <w:r>
              <w:rPr>
                <w:rFonts w:hint="eastAsia" w:ascii="宋体" w:hAnsi="宋体" w:eastAsia="宋体" w:cs="宋体"/>
                <w:color w:val="0000FF"/>
                <w:highlight w:val="none"/>
                <w:u w:val="single"/>
                <w:lang w:val="en-US" w:eastAsia="zh-CN"/>
              </w:rPr>
              <w:t>（2）承包人负责采购/提供的材料、设备等均应为质量合格、符合法律法规规定要求、全新、未被使用过的产品，还必须符合本工程设计及使用要求以及相关行业的标准和要求，附有完整随附文件（包括但不限于具有相关的国家、省、市认可的产品合格证、质量保证书、产品说明等，以及第三方检测机构检验报告）；</w:t>
            </w:r>
          </w:p>
          <w:p>
            <w:pPr>
              <w:pStyle w:val="59"/>
              <w:keepNext w:val="0"/>
              <w:keepLines w:val="0"/>
              <w:pageBreakBefore w:val="0"/>
              <w:widowControl w:val="0"/>
              <w:kinsoku/>
              <w:wordWrap/>
              <w:overflowPunct/>
              <w:topLinePunct w:val="0"/>
              <w:autoSpaceDE/>
              <w:autoSpaceDN/>
              <w:bidi w:val="0"/>
              <w:adjustRightInd/>
              <w:snapToGrid/>
              <w:spacing w:after="0" w:line="360" w:lineRule="auto"/>
              <w:ind w:left="0" w:firstLine="420" w:firstLineChars="200"/>
              <w:textAlignment w:val="auto"/>
              <w:rPr>
                <w:rFonts w:hint="eastAsia" w:ascii="宋体" w:hAnsi="宋体" w:eastAsia="宋体" w:cs="宋体"/>
                <w:color w:val="0000FF"/>
                <w:highlight w:val="none"/>
                <w:u w:val="single"/>
                <w:lang w:val="en-US" w:eastAsia="zh-CN"/>
              </w:rPr>
            </w:pPr>
            <w:r>
              <w:rPr>
                <w:rFonts w:hint="eastAsia" w:ascii="宋体" w:hAnsi="宋体" w:eastAsia="宋体" w:cs="宋体"/>
                <w:color w:val="0000FF"/>
                <w:highlight w:val="none"/>
                <w:u w:val="single"/>
                <w:lang w:val="en-US" w:eastAsia="zh-CN"/>
              </w:rPr>
              <w:t>（3）承包人采购供应的材料、设备，在开箱验收前 24小时内，承包人应向发包人和监理工程师提出开箱检验申请，经发包人和监理工程师验收合格后并签署意见后方可使用，如有必要，还需经由设计单位验收及出具验收意见；经开箱验收的材料、设备并不等同于发包人认可其最终质量合格。</w:t>
            </w:r>
          </w:p>
          <w:p>
            <w:pPr>
              <w:pStyle w:val="59"/>
              <w:keepNext w:val="0"/>
              <w:keepLines w:val="0"/>
              <w:pageBreakBefore w:val="0"/>
              <w:widowControl w:val="0"/>
              <w:kinsoku/>
              <w:wordWrap/>
              <w:overflowPunct/>
              <w:topLinePunct w:val="0"/>
              <w:autoSpaceDE/>
              <w:autoSpaceDN/>
              <w:bidi w:val="0"/>
              <w:adjustRightInd/>
              <w:snapToGrid/>
              <w:spacing w:after="0" w:line="360" w:lineRule="auto"/>
              <w:ind w:left="0" w:firstLine="420" w:firstLineChars="200"/>
              <w:textAlignment w:val="auto"/>
              <w:rPr>
                <w:rFonts w:hint="eastAsia" w:ascii="宋体" w:hAnsi="宋体" w:eastAsia="宋体" w:cs="宋体"/>
                <w:color w:val="0000FF"/>
                <w:highlight w:val="none"/>
                <w:u w:val="single"/>
                <w:lang w:val="en-US" w:eastAsia="zh-CN"/>
              </w:rPr>
            </w:pPr>
            <w:r>
              <w:rPr>
                <w:rFonts w:hint="eastAsia" w:ascii="宋体" w:hAnsi="宋体" w:eastAsia="宋体" w:cs="宋体"/>
                <w:color w:val="0000FF"/>
                <w:highlight w:val="none"/>
                <w:u w:val="single"/>
                <w:lang w:val="en-US" w:eastAsia="zh-CN"/>
              </w:rPr>
              <w:t>（4）如承包人负责采购或提供与本工程设计、标准或本合同约定不符的材料、设备均不得用于本工程，否则承包人应立即拆除及运出施工现场、重新采购符合约定的材料、设备并返工，因此产生的责任和费用概由承包人自行承担，发包人有权处以所使用材料总价5～10倍的罚款，且工期不予顺延。如因此给本工程或发包人造成任何损失或破坏的，承包人还应承担发包人的所有损失。</w:t>
            </w:r>
          </w:p>
          <w:p>
            <w:pPr>
              <w:pStyle w:val="59"/>
              <w:keepNext w:val="0"/>
              <w:keepLines w:val="0"/>
              <w:pageBreakBefore w:val="0"/>
              <w:widowControl w:val="0"/>
              <w:kinsoku/>
              <w:wordWrap/>
              <w:overflowPunct/>
              <w:topLinePunct w:val="0"/>
              <w:autoSpaceDE/>
              <w:autoSpaceDN/>
              <w:bidi w:val="0"/>
              <w:adjustRightInd/>
              <w:snapToGrid/>
              <w:spacing w:after="0" w:line="360" w:lineRule="auto"/>
              <w:ind w:left="0" w:firstLine="420" w:firstLineChars="200"/>
              <w:textAlignment w:val="auto"/>
              <w:rPr>
                <w:rFonts w:hint="default"/>
                <w:highlight w:val="none"/>
                <w:lang w:val="en-US" w:eastAsia="zh-CN"/>
              </w:rPr>
            </w:pPr>
            <w:r>
              <w:rPr>
                <w:rFonts w:hint="eastAsia" w:ascii="宋体" w:hAnsi="宋体" w:eastAsia="宋体" w:cs="宋体"/>
                <w:color w:val="0000FF"/>
                <w:highlight w:val="none"/>
                <w:u w:val="single"/>
                <w:lang w:val="en-US" w:eastAsia="zh-CN"/>
              </w:rPr>
              <w:t>（5）承包人应充分考虑施工期间材料价格的浮动，提前做好主材的备料工作，不得因材料断供导致现场停工及工期延误，若因主材断供导致现场停工，自停工之日起，承包人需承担人民币50000元/日的违约金，发包人有权从承包人进度款中直接扣除，直至材料正常供应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708" w:type="dxa"/>
            <w:noWrap w:val="0"/>
            <w:vAlign w:val="center"/>
          </w:tcPr>
          <w:p>
            <w:pPr>
              <w:pStyle w:val="59"/>
              <w:pageBreakBefore w:val="0"/>
              <w:kinsoku/>
              <w:wordWrap/>
              <w:overflowPunct/>
              <w:topLinePunct w:val="0"/>
              <w:bidi w:val="0"/>
              <w:snapToGrid/>
              <w:spacing w:after="0" w:line="360" w:lineRule="auto"/>
              <w:ind w:left="0" w:firstLine="0"/>
              <w:jc w:val="center"/>
              <w:textAlignment w:val="top"/>
              <w:rPr>
                <w:rFonts w:hint="default" w:ascii="宋体" w:hAnsi="宋体" w:eastAsia="宋体" w:cs="宋体"/>
                <w:b w:val="0"/>
                <w:bCs w:val="0"/>
                <w:color w:val="0000FF"/>
                <w:szCs w:val="21"/>
                <w:highlight w:val="none"/>
                <w:lang w:val="en-US" w:eastAsia="zh-CN"/>
              </w:rPr>
            </w:pPr>
            <w:r>
              <w:rPr>
                <w:rFonts w:hint="eastAsia" w:ascii="宋体" w:hAnsi="宋体" w:cs="宋体"/>
                <w:b w:val="0"/>
                <w:bCs w:val="0"/>
                <w:color w:val="0000FF"/>
                <w:szCs w:val="21"/>
                <w:highlight w:val="none"/>
                <w:lang w:val="en-US" w:eastAsia="zh-CN"/>
              </w:rPr>
              <w:t>12</w:t>
            </w:r>
          </w:p>
        </w:tc>
        <w:tc>
          <w:tcPr>
            <w:tcW w:w="857" w:type="dxa"/>
            <w:noWrap w:val="0"/>
            <w:vAlign w:val="center"/>
          </w:tcPr>
          <w:p>
            <w:pPr>
              <w:pStyle w:val="59"/>
              <w:spacing w:after="0" w:line="300" w:lineRule="auto"/>
              <w:ind w:left="0" w:leftChars="0" w:firstLine="0" w:firstLineChars="0"/>
              <w:jc w:val="center"/>
              <w:textAlignment w:val="top"/>
              <w:rPr>
                <w:rFonts w:hint="default" w:ascii="宋体" w:hAnsi="宋体" w:eastAsia="宋体" w:cs="宋体"/>
                <w:b/>
                <w:bCs/>
                <w:color w:val="0000FF"/>
                <w:kern w:val="1"/>
                <w:sz w:val="21"/>
                <w:szCs w:val="21"/>
                <w:highlight w:val="none"/>
                <w:lang w:val="en-US" w:eastAsia="zh-CN" w:bidi="ar-SA"/>
              </w:rPr>
            </w:pPr>
            <w:r>
              <w:rPr>
                <w:rFonts w:hint="eastAsia" w:ascii="宋体" w:hAnsi="宋体" w:cs="宋体"/>
                <w:b w:val="0"/>
                <w:bCs w:val="0"/>
                <w:color w:val="0000FF"/>
                <w:kern w:val="1"/>
                <w:sz w:val="21"/>
                <w:szCs w:val="21"/>
                <w:highlight w:val="none"/>
                <w:lang w:val="en-US" w:eastAsia="zh-CN" w:bidi="ar-SA"/>
              </w:rPr>
              <w:t>8.4</w:t>
            </w:r>
          </w:p>
        </w:tc>
        <w:tc>
          <w:tcPr>
            <w:tcW w:w="3109" w:type="dxa"/>
            <w:noWrap w:val="0"/>
            <w:vAlign w:val="center"/>
          </w:tcPr>
          <w:p>
            <w:pPr>
              <w:adjustRightInd w:val="0"/>
              <w:spacing w:line="360" w:lineRule="auto"/>
              <w:ind w:firstLine="1260" w:firstLineChars="600"/>
              <w:jc w:val="left"/>
              <w:textAlignment w:val="baseline"/>
              <w:rPr>
                <w:rFonts w:hint="eastAsia" w:ascii="宋体" w:hAnsi="宋体" w:eastAsia="宋体" w:cs="宋体"/>
                <w:b/>
                <w:bCs/>
                <w:color w:val="0000FF"/>
                <w:sz w:val="21"/>
                <w:szCs w:val="21"/>
                <w:highlight w:val="none"/>
                <w:lang w:val="zh-CN" w:eastAsia="zh-CN" w:bidi="ar-SA"/>
              </w:rPr>
            </w:pPr>
            <w:r>
              <w:rPr>
                <w:rFonts w:hint="eastAsia" w:cs="宋体"/>
                <w:b w:val="0"/>
                <w:bCs w:val="0"/>
                <w:color w:val="0000FF"/>
                <w:sz w:val="21"/>
                <w:szCs w:val="21"/>
                <w:highlight w:val="none"/>
                <w:lang w:val="zh-CN" w:eastAsia="zh-CN" w:bidi="ar-SA"/>
              </w:rPr>
              <w:t>无</w:t>
            </w:r>
          </w:p>
        </w:tc>
        <w:tc>
          <w:tcPr>
            <w:tcW w:w="5362" w:type="dxa"/>
            <w:noWrap w:val="0"/>
            <w:vAlign w:val="center"/>
          </w:tcPr>
          <w:p>
            <w:pPr>
              <w:pStyle w:val="59"/>
              <w:spacing w:after="0" w:line="300" w:lineRule="auto"/>
              <w:ind w:left="0" w:leftChars="0" w:firstLine="0" w:firstLineChars="0"/>
              <w:jc w:val="left"/>
              <w:textAlignment w:val="top"/>
              <w:rPr>
                <w:rFonts w:hint="eastAsia" w:ascii="宋体" w:hAnsi="宋体" w:cs="宋体"/>
                <w:b w:val="0"/>
                <w:bCs w:val="0"/>
                <w:color w:val="0000FF"/>
                <w:kern w:val="1"/>
                <w:sz w:val="21"/>
                <w:szCs w:val="21"/>
                <w:highlight w:val="none"/>
                <w:lang w:val="zh-CN" w:eastAsia="zh-CN" w:bidi="ar-SA"/>
              </w:rPr>
            </w:pPr>
            <w:r>
              <w:rPr>
                <w:rFonts w:hint="eastAsia" w:ascii="宋体" w:hAnsi="宋体" w:cs="宋体"/>
                <w:b w:val="0"/>
                <w:bCs w:val="0"/>
                <w:color w:val="0000FF"/>
                <w:kern w:val="1"/>
                <w:sz w:val="21"/>
                <w:szCs w:val="21"/>
                <w:highlight w:val="none"/>
                <w:lang w:val="zh-CN" w:eastAsia="zh-CN" w:bidi="ar-SA"/>
              </w:rPr>
              <w:t>新增：</w:t>
            </w:r>
          </w:p>
          <w:p>
            <w:pPr>
              <w:pStyle w:val="59"/>
              <w:keepNext w:val="0"/>
              <w:keepLines w:val="0"/>
              <w:pageBreakBefore w:val="0"/>
              <w:widowControl w:val="0"/>
              <w:kinsoku/>
              <w:wordWrap/>
              <w:overflowPunct/>
              <w:topLinePunct w:val="0"/>
              <w:autoSpaceDE/>
              <w:autoSpaceDN/>
              <w:bidi w:val="0"/>
              <w:adjustRightInd/>
              <w:snapToGrid/>
              <w:spacing w:after="0" w:line="360" w:lineRule="auto"/>
              <w:ind w:left="0" w:leftChars="0" w:firstLine="420" w:firstLineChars="200"/>
              <w:jc w:val="left"/>
              <w:textAlignment w:val="top"/>
              <w:rPr>
                <w:rFonts w:hint="eastAsia" w:ascii="宋体" w:hAnsi="宋体" w:cs="宋体"/>
                <w:b/>
                <w:bCs/>
                <w:color w:val="0000FF"/>
                <w:kern w:val="1"/>
                <w:sz w:val="21"/>
                <w:szCs w:val="21"/>
                <w:highlight w:val="none"/>
                <w:lang w:val="zh-CN" w:eastAsia="zh-CN" w:bidi="ar-SA"/>
              </w:rPr>
            </w:pPr>
            <w:r>
              <w:rPr>
                <w:rFonts w:hint="eastAsia" w:ascii="宋体" w:hAnsi="宋体" w:cs="宋体"/>
                <w:b w:val="0"/>
                <w:bCs w:val="0"/>
                <w:color w:val="0000FF"/>
                <w:kern w:val="1"/>
                <w:sz w:val="21"/>
                <w:szCs w:val="21"/>
                <w:highlight w:val="none"/>
                <w:lang w:val="zh-CN" w:eastAsia="zh-CN" w:bidi="ar-SA"/>
              </w:rPr>
              <w:t>8.4.1 发包人供应的材料设备的保管费用的承担：</w:t>
            </w:r>
            <w:r>
              <w:rPr>
                <w:rFonts w:hint="eastAsia" w:ascii="宋体" w:hAnsi="宋体" w:eastAsia="宋体" w:cs="宋体"/>
                <w:color w:val="0000FF"/>
                <w:highlight w:val="none"/>
                <w:u w:val="single"/>
                <w:lang w:val="zh-CN" w:eastAsia="zh-CN"/>
              </w:rPr>
              <w:t>发包人供应的材料和工程设备（含箱变等所有发包人供应的材料与工程设备），承包人清点后由承包人妥善保管，保管费用由承包人承担，但已标价工程量清单或预算书已经列支或专用合同条款另有约定除外。如因承包人使用及保护不当等原因造成的损坏、丢失或毁损的，承包人应做好修复工作。否则，发包人有权聘请第三方进行修复，发包人有权从押金或进度款中直接扣除修复所需费用，承包人不得有异议；监理人未通知承包人清点的，承包人不负责材料和工程设备的保管，由此导致丢失毁损的由发包人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708" w:type="dxa"/>
            <w:noWrap w:val="0"/>
            <w:vAlign w:val="center"/>
          </w:tcPr>
          <w:p>
            <w:pPr>
              <w:pStyle w:val="59"/>
              <w:pageBreakBefore w:val="0"/>
              <w:kinsoku/>
              <w:wordWrap/>
              <w:overflowPunct/>
              <w:topLinePunct w:val="0"/>
              <w:bidi w:val="0"/>
              <w:snapToGrid/>
              <w:spacing w:after="0" w:line="360" w:lineRule="auto"/>
              <w:ind w:left="0" w:firstLine="0"/>
              <w:jc w:val="center"/>
              <w:textAlignment w:val="top"/>
              <w:rPr>
                <w:rFonts w:hint="default" w:ascii="宋体" w:hAnsi="宋体" w:cs="宋体"/>
                <w:b w:val="0"/>
                <w:bCs w:val="0"/>
                <w:color w:val="0000FF"/>
                <w:szCs w:val="21"/>
                <w:highlight w:val="none"/>
                <w:lang w:val="en-US" w:eastAsia="zh-CN"/>
              </w:rPr>
            </w:pPr>
            <w:r>
              <w:rPr>
                <w:rFonts w:hint="eastAsia" w:ascii="宋体" w:hAnsi="宋体" w:cs="宋体"/>
                <w:b w:val="0"/>
                <w:bCs w:val="0"/>
                <w:color w:val="0000FF"/>
                <w:szCs w:val="21"/>
                <w:highlight w:val="none"/>
                <w:lang w:val="en-US" w:eastAsia="zh-CN"/>
              </w:rPr>
              <w:t>13</w:t>
            </w:r>
          </w:p>
        </w:tc>
        <w:tc>
          <w:tcPr>
            <w:tcW w:w="857" w:type="dxa"/>
            <w:noWrap w:val="0"/>
            <w:vAlign w:val="center"/>
          </w:tcPr>
          <w:p>
            <w:pPr>
              <w:pStyle w:val="59"/>
              <w:spacing w:after="0" w:line="300" w:lineRule="auto"/>
              <w:ind w:left="0" w:leftChars="0" w:firstLine="0" w:firstLineChars="0"/>
              <w:jc w:val="center"/>
              <w:textAlignment w:val="top"/>
              <w:rPr>
                <w:rFonts w:hint="default" w:ascii="宋体" w:hAnsi="宋体" w:cs="宋体"/>
                <w:b w:val="0"/>
                <w:bCs w:val="0"/>
                <w:color w:val="0000FF"/>
                <w:kern w:val="1"/>
                <w:sz w:val="21"/>
                <w:szCs w:val="21"/>
                <w:highlight w:val="yellow"/>
                <w:lang w:val="en-US" w:eastAsia="zh-CN" w:bidi="ar-SA"/>
              </w:rPr>
            </w:pPr>
            <w:r>
              <w:rPr>
                <w:rFonts w:hint="eastAsia" w:ascii="宋体" w:hAnsi="宋体" w:cs="宋体"/>
                <w:b w:val="0"/>
                <w:bCs w:val="0"/>
                <w:color w:val="0000FF"/>
                <w:kern w:val="1"/>
                <w:sz w:val="21"/>
                <w:szCs w:val="21"/>
                <w:highlight w:val="yellow"/>
                <w:lang w:val="en-US" w:eastAsia="zh-CN" w:bidi="ar-SA"/>
              </w:rPr>
              <w:t>8.8.1</w:t>
            </w:r>
          </w:p>
        </w:tc>
        <w:tc>
          <w:tcPr>
            <w:tcW w:w="3109" w:type="dxa"/>
            <w:noWrap w:val="0"/>
            <w:vAlign w:val="center"/>
          </w:tcPr>
          <w:p>
            <w:pPr>
              <w:autoSpaceDE w:val="0"/>
              <w:autoSpaceDN w:val="0"/>
              <w:adjustRightInd w:val="0"/>
              <w:spacing w:line="360" w:lineRule="auto"/>
              <w:ind w:firstLine="420" w:firstLineChars="200"/>
              <w:jc w:val="left"/>
              <w:textAlignment w:val="baseline"/>
              <w:rPr>
                <w:rFonts w:cs="宋体"/>
                <w:color w:val="auto"/>
                <w:sz w:val="21"/>
                <w:szCs w:val="21"/>
                <w:highlight w:val="yellow"/>
              </w:rPr>
            </w:pPr>
            <w:r>
              <w:rPr>
                <w:rFonts w:hint="eastAsia" w:cs="宋体"/>
                <w:color w:val="auto"/>
                <w:sz w:val="21"/>
                <w:szCs w:val="21"/>
                <w:highlight w:val="yellow"/>
              </w:rPr>
              <w:t>关于修建临时设施费用承担的约定：</w:t>
            </w:r>
            <w:r>
              <w:rPr>
                <w:rFonts w:hint="eastAsia" w:cs="宋体"/>
                <w:color w:val="auto"/>
                <w:sz w:val="21"/>
                <w:szCs w:val="21"/>
                <w:highlight w:val="yellow"/>
                <w:u w:val="single"/>
              </w:rPr>
              <w:t>所有费用已包含在投标报价中，均由承包人承担</w:t>
            </w:r>
            <w:r>
              <w:rPr>
                <w:rFonts w:hint="eastAsia" w:cs="宋体"/>
                <w:color w:val="auto"/>
                <w:sz w:val="21"/>
                <w:szCs w:val="21"/>
                <w:highlight w:val="yellow"/>
              </w:rPr>
              <w:t>。</w:t>
            </w:r>
          </w:p>
          <w:p>
            <w:pPr>
              <w:adjustRightInd w:val="0"/>
              <w:spacing w:line="360" w:lineRule="auto"/>
              <w:ind w:firstLine="1260" w:firstLineChars="600"/>
              <w:jc w:val="left"/>
              <w:textAlignment w:val="baseline"/>
              <w:rPr>
                <w:rFonts w:hint="eastAsia" w:cs="宋体"/>
                <w:b w:val="0"/>
                <w:bCs w:val="0"/>
                <w:color w:val="0000FF"/>
                <w:sz w:val="21"/>
                <w:szCs w:val="21"/>
                <w:highlight w:val="yellow"/>
                <w:lang w:val="zh-CN" w:eastAsia="zh-CN" w:bidi="ar-SA"/>
              </w:rPr>
            </w:pPr>
          </w:p>
        </w:tc>
        <w:tc>
          <w:tcPr>
            <w:tcW w:w="5362" w:type="dxa"/>
            <w:noWrap w:val="0"/>
            <w:vAlign w:val="center"/>
          </w:tcPr>
          <w:p>
            <w:pPr>
              <w:pStyle w:val="59"/>
              <w:keepNext w:val="0"/>
              <w:keepLines w:val="0"/>
              <w:pageBreakBefore w:val="0"/>
              <w:widowControl w:val="0"/>
              <w:kinsoku/>
              <w:wordWrap/>
              <w:overflowPunct/>
              <w:topLinePunct w:val="0"/>
              <w:autoSpaceDE/>
              <w:autoSpaceDN/>
              <w:bidi w:val="0"/>
              <w:adjustRightInd/>
              <w:snapToGrid/>
              <w:spacing w:after="0" w:line="360" w:lineRule="auto"/>
              <w:ind w:left="0" w:leftChars="0" w:firstLine="420" w:firstLineChars="200"/>
              <w:jc w:val="left"/>
              <w:textAlignment w:val="top"/>
              <w:rPr>
                <w:rFonts w:hint="eastAsia" w:ascii="宋体" w:hAnsi="宋体" w:eastAsia="宋体" w:cs="宋体"/>
                <w:b w:val="0"/>
                <w:bCs w:val="0"/>
                <w:color w:val="0000FF"/>
                <w:kern w:val="1"/>
                <w:sz w:val="21"/>
                <w:szCs w:val="21"/>
                <w:highlight w:val="yellow"/>
                <w:lang w:val="en-US" w:eastAsia="zh-CN" w:bidi="ar-SA"/>
              </w:rPr>
            </w:pPr>
            <w:r>
              <w:rPr>
                <w:rFonts w:hint="eastAsia" w:cs="宋体"/>
                <w:color w:val="auto"/>
                <w:sz w:val="21"/>
                <w:szCs w:val="21"/>
                <w:highlight w:val="yellow"/>
              </w:rPr>
              <w:t>关于修建临时设施费用承担的约定：</w:t>
            </w:r>
            <w:r>
              <w:rPr>
                <w:rFonts w:hint="eastAsia" w:cs="宋体"/>
                <w:color w:val="auto"/>
                <w:sz w:val="21"/>
                <w:szCs w:val="21"/>
                <w:highlight w:val="yellow"/>
                <w:u w:val="single"/>
              </w:rPr>
              <w:t>所有费用已包含在投标报价中，承包人承担临时设施的全部费用，如需要临时占地的，应由承包人办理申请手续并承担费用，发包人配合。施工过程中承包人应做好工地的围护工作，工地围墙如有非发包人原因造成的破损（包含市政修路导致的围墙损毁或需要配合拆除及恢复临时围挡等），承包人无条件修复且自行承担全部费用和责任</w:t>
            </w:r>
            <w:r>
              <w:rPr>
                <w:rFonts w:hint="eastAsia" w:cs="宋体"/>
                <w:color w:val="auto"/>
                <w:sz w:val="21"/>
                <w:szCs w:val="21"/>
                <w:highlight w:val="yellow"/>
                <w:u w:val="singl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708" w:type="dxa"/>
            <w:noWrap w:val="0"/>
            <w:vAlign w:val="center"/>
          </w:tcPr>
          <w:p>
            <w:pPr>
              <w:pStyle w:val="59"/>
              <w:pageBreakBefore w:val="0"/>
              <w:kinsoku/>
              <w:wordWrap/>
              <w:overflowPunct/>
              <w:topLinePunct w:val="0"/>
              <w:bidi w:val="0"/>
              <w:snapToGrid/>
              <w:spacing w:after="0" w:line="360" w:lineRule="auto"/>
              <w:ind w:left="0" w:firstLine="0"/>
              <w:jc w:val="center"/>
              <w:textAlignment w:val="top"/>
              <w:rPr>
                <w:rFonts w:hint="default" w:ascii="宋体" w:hAnsi="宋体" w:eastAsia="宋体" w:cs="宋体"/>
                <w:b w:val="0"/>
                <w:bCs w:val="0"/>
                <w:color w:val="0000FF"/>
                <w:szCs w:val="21"/>
                <w:highlight w:val="none"/>
                <w:lang w:val="en-US" w:eastAsia="zh-CN"/>
              </w:rPr>
            </w:pPr>
            <w:r>
              <w:rPr>
                <w:rFonts w:hint="eastAsia" w:ascii="宋体" w:hAnsi="宋体" w:cs="宋体"/>
                <w:b w:val="0"/>
                <w:bCs w:val="0"/>
                <w:color w:val="0000FF"/>
                <w:szCs w:val="21"/>
                <w:highlight w:val="none"/>
                <w:lang w:val="en-US" w:eastAsia="zh-CN"/>
              </w:rPr>
              <w:t>14</w:t>
            </w:r>
          </w:p>
        </w:tc>
        <w:tc>
          <w:tcPr>
            <w:tcW w:w="857" w:type="dxa"/>
            <w:noWrap w:val="0"/>
            <w:vAlign w:val="center"/>
          </w:tcPr>
          <w:p>
            <w:pPr>
              <w:pStyle w:val="59"/>
              <w:pageBreakBefore w:val="0"/>
              <w:kinsoku/>
              <w:wordWrap/>
              <w:overflowPunct/>
              <w:topLinePunct w:val="0"/>
              <w:bidi w:val="0"/>
              <w:snapToGrid/>
              <w:spacing w:after="0" w:line="360" w:lineRule="auto"/>
              <w:ind w:left="0" w:firstLine="0"/>
              <w:jc w:val="center"/>
              <w:textAlignment w:val="top"/>
              <w:rPr>
                <w:rFonts w:hint="default" w:ascii="宋体" w:hAnsi="宋体" w:eastAsia="宋体" w:cs="宋体"/>
                <w:b w:val="0"/>
                <w:bCs w:val="0"/>
                <w:color w:val="0000FF"/>
                <w:sz w:val="21"/>
                <w:szCs w:val="21"/>
                <w:highlight w:val="none"/>
                <w:lang w:val="en-US" w:eastAsia="zh-CN"/>
              </w:rPr>
            </w:pPr>
            <w:r>
              <w:rPr>
                <w:rFonts w:hint="eastAsia" w:ascii="宋体" w:hAnsi="宋体" w:cs="宋体"/>
                <w:b w:val="0"/>
                <w:bCs w:val="0"/>
                <w:color w:val="0000FF"/>
                <w:sz w:val="21"/>
                <w:szCs w:val="21"/>
                <w:highlight w:val="none"/>
                <w:lang w:val="en-US" w:eastAsia="zh-CN"/>
              </w:rPr>
              <w:t>10.1</w:t>
            </w:r>
          </w:p>
        </w:tc>
        <w:tc>
          <w:tcPr>
            <w:tcW w:w="3109" w:type="dxa"/>
            <w:noWrap w:val="0"/>
            <w:vAlign w:val="center"/>
          </w:tcPr>
          <w:p>
            <w:pPr>
              <w:pStyle w:val="59"/>
              <w:pageBreakBefore w:val="0"/>
              <w:kinsoku/>
              <w:wordWrap/>
              <w:overflowPunct/>
              <w:topLinePunct w:val="0"/>
              <w:bidi w:val="0"/>
              <w:snapToGrid/>
              <w:spacing w:after="0" w:line="360" w:lineRule="auto"/>
              <w:ind w:left="0" w:firstLine="420" w:firstLineChars="200"/>
              <w:jc w:val="both"/>
              <w:textAlignment w:val="top"/>
              <w:rPr>
                <w:rFonts w:hint="eastAsia" w:ascii="宋体" w:hAnsi="宋体" w:eastAsia="宋体" w:cs="宋体"/>
                <w:b w:val="0"/>
                <w:bCs w:val="0"/>
                <w:color w:val="0000FF"/>
                <w:szCs w:val="21"/>
                <w:highlight w:val="none"/>
                <w:lang w:val="zh-CN"/>
              </w:rPr>
            </w:pPr>
            <w:r>
              <w:rPr>
                <w:rFonts w:hint="eastAsia" w:ascii="宋体" w:hAnsi="宋体" w:eastAsia="宋体" w:cs="宋体"/>
                <w:b w:val="0"/>
                <w:bCs w:val="0"/>
                <w:color w:val="0000FF"/>
                <w:szCs w:val="21"/>
                <w:highlight w:val="none"/>
                <w:lang w:val="zh-CN"/>
              </w:rPr>
              <w:t>关于变更的范围的约定：</w:t>
            </w:r>
            <w:r>
              <w:rPr>
                <w:rFonts w:hint="eastAsia" w:ascii="宋体" w:hAnsi="宋体" w:eastAsia="宋体" w:cs="宋体"/>
                <w:b w:val="0"/>
                <w:bCs w:val="0"/>
                <w:color w:val="0000FF"/>
                <w:szCs w:val="21"/>
                <w:highlight w:val="none"/>
                <w:u w:val="single"/>
                <w:lang w:val="zh-CN"/>
              </w:rPr>
              <w:t>执行通用合同条款并符合以下规定：</w:t>
            </w:r>
            <w:r>
              <w:rPr>
                <w:rFonts w:hint="eastAsia" w:ascii="宋体" w:hAnsi="宋体" w:eastAsia="宋体" w:cs="宋体"/>
                <w:b w:val="0"/>
                <w:bCs w:val="0"/>
                <w:color w:val="0000FF"/>
                <w:szCs w:val="21"/>
                <w:highlight w:val="none"/>
                <w:lang w:val="zh-CN"/>
              </w:rPr>
              <w:t xml:space="preserve">  </w:t>
            </w:r>
          </w:p>
          <w:p>
            <w:pPr>
              <w:pStyle w:val="59"/>
              <w:pageBreakBefore w:val="0"/>
              <w:kinsoku/>
              <w:wordWrap/>
              <w:overflowPunct/>
              <w:topLinePunct w:val="0"/>
              <w:bidi w:val="0"/>
              <w:snapToGrid/>
              <w:spacing w:after="0" w:line="360" w:lineRule="auto"/>
              <w:ind w:left="0" w:firstLine="420" w:firstLineChars="200"/>
              <w:jc w:val="both"/>
              <w:textAlignment w:val="top"/>
              <w:rPr>
                <w:rFonts w:hint="eastAsia" w:ascii="宋体" w:hAnsi="宋体" w:eastAsia="宋体" w:cs="宋体"/>
                <w:b w:val="0"/>
                <w:bCs w:val="0"/>
                <w:color w:val="0000FF"/>
                <w:szCs w:val="21"/>
                <w:highlight w:val="none"/>
                <w:u w:val="single"/>
                <w:lang w:val="zh-CN"/>
              </w:rPr>
            </w:pPr>
            <w:r>
              <w:rPr>
                <w:rFonts w:hint="eastAsia" w:ascii="宋体" w:hAnsi="宋体" w:eastAsia="宋体" w:cs="宋体"/>
                <w:b w:val="0"/>
                <w:bCs w:val="0"/>
                <w:color w:val="0000FF"/>
                <w:szCs w:val="21"/>
                <w:highlight w:val="none"/>
                <w:u w:val="single"/>
                <w:lang w:val="zh-CN"/>
              </w:rPr>
              <w:t>（1）严格建设标准，擅自提高建设标准、规模的工程，一律不得追加投资,严禁以承包人工艺改变、材料设备采购困难等为由要求勘察设计单位进行变更；</w:t>
            </w:r>
          </w:p>
          <w:p>
            <w:pPr>
              <w:pStyle w:val="59"/>
              <w:pageBreakBefore w:val="0"/>
              <w:kinsoku/>
              <w:wordWrap/>
              <w:overflowPunct/>
              <w:topLinePunct w:val="0"/>
              <w:bidi w:val="0"/>
              <w:snapToGrid/>
              <w:spacing w:after="0" w:line="360" w:lineRule="auto"/>
              <w:ind w:left="0" w:firstLine="420" w:firstLineChars="200"/>
              <w:jc w:val="both"/>
              <w:textAlignment w:val="top"/>
              <w:rPr>
                <w:rFonts w:hint="eastAsia" w:ascii="宋体" w:hAnsi="宋体" w:eastAsia="宋体" w:cs="宋体"/>
                <w:b w:val="0"/>
                <w:bCs w:val="0"/>
                <w:color w:val="0000FF"/>
                <w:szCs w:val="21"/>
                <w:highlight w:val="none"/>
                <w:u w:val="single"/>
                <w:lang w:val="zh-CN"/>
              </w:rPr>
            </w:pPr>
            <w:r>
              <w:rPr>
                <w:rFonts w:hint="eastAsia" w:ascii="宋体" w:hAnsi="宋体" w:eastAsia="宋体" w:cs="宋体"/>
                <w:b w:val="0"/>
                <w:bCs w:val="0"/>
                <w:color w:val="0000FF"/>
                <w:szCs w:val="21"/>
                <w:highlight w:val="none"/>
                <w:u w:val="single"/>
                <w:lang w:val="zh-CN"/>
              </w:rPr>
              <w:t>（2）除因不可抗力需要实施应急抢险工程外，设计变更涉及增加造价的，应报经批准</w:t>
            </w:r>
          </w:p>
          <w:p>
            <w:pPr>
              <w:pStyle w:val="59"/>
              <w:pageBreakBefore w:val="0"/>
              <w:kinsoku/>
              <w:wordWrap/>
              <w:overflowPunct/>
              <w:topLinePunct w:val="0"/>
              <w:bidi w:val="0"/>
              <w:snapToGrid/>
              <w:spacing w:after="0" w:line="360" w:lineRule="auto"/>
              <w:ind w:left="0" w:firstLine="420" w:firstLineChars="200"/>
              <w:jc w:val="both"/>
              <w:textAlignment w:val="top"/>
              <w:rPr>
                <w:rFonts w:hint="eastAsia" w:ascii="宋体" w:hAnsi="宋体" w:eastAsia="宋体" w:cs="宋体"/>
                <w:b w:val="0"/>
                <w:bCs w:val="0"/>
                <w:color w:val="0000FF"/>
                <w:szCs w:val="21"/>
                <w:highlight w:val="none"/>
                <w:u w:val="single"/>
                <w:lang w:val="zh-CN"/>
              </w:rPr>
            </w:pPr>
            <w:r>
              <w:rPr>
                <w:rFonts w:hint="eastAsia" w:ascii="宋体" w:hAnsi="宋体" w:eastAsia="宋体" w:cs="宋体"/>
                <w:b w:val="0"/>
                <w:bCs w:val="0"/>
                <w:color w:val="0000FF"/>
                <w:szCs w:val="21"/>
                <w:highlight w:val="none"/>
                <w:u w:val="single"/>
                <w:lang w:val="zh-CN"/>
              </w:rPr>
              <w:t>后方可实施。</w:t>
            </w:r>
          </w:p>
          <w:p>
            <w:pPr>
              <w:pStyle w:val="59"/>
              <w:pageBreakBefore w:val="0"/>
              <w:kinsoku/>
              <w:wordWrap/>
              <w:overflowPunct/>
              <w:topLinePunct w:val="0"/>
              <w:bidi w:val="0"/>
              <w:snapToGrid/>
              <w:spacing w:after="0" w:line="360" w:lineRule="auto"/>
              <w:ind w:left="0" w:firstLine="420" w:firstLineChars="200"/>
              <w:jc w:val="both"/>
              <w:textAlignment w:val="top"/>
              <w:rPr>
                <w:rFonts w:hint="eastAsia" w:ascii="宋体" w:hAnsi="宋体" w:eastAsia="宋体" w:cs="宋体"/>
                <w:b w:val="0"/>
                <w:bCs w:val="0"/>
                <w:color w:val="0000FF"/>
                <w:szCs w:val="21"/>
                <w:highlight w:val="none"/>
                <w:lang w:val="zh-CN"/>
              </w:rPr>
            </w:pPr>
            <w:r>
              <w:rPr>
                <w:rFonts w:hint="eastAsia" w:ascii="宋体" w:hAnsi="宋体" w:eastAsia="宋体" w:cs="宋体"/>
                <w:b w:val="0"/>
                <w:bCs w:val="0"/>
                <w:color w:val="0000FF"/>
                <w:szCs w:val="21"/>
                <w:highlight w:val="none"/>
                <w:u w:val="single"/>
                <w:lang w:val="zh-CN"/>
              </w:rPr>
              <w:t>（3）发包人设计变更涉及增加造价未按程序报经批准的，承包人有权不予实施。</w:t>
            </w:r>
          </w:p>
        </w:tc>
        <w:tc>
          <w:tcPr>
            <w:tcW w:w="5362" w:type="dxa"/>
            <w:noWrap w:val="0"/>
            <w:vAlign w:val="center"/>
          </w:tcPr>
          <w:p>
            <w:pPr>
              <w:pStyle w:val="59"/>
              <w:pageBreakBefore w:val="0"/>
              <w:kinsoku/>
              <w:wordWrap/>
              <w:overflowPunct/>
              <w:topLinePunct w:val="0"/>
              <w:bidi w:val="0"/>
              <w:snapToGrid/>
              <w:spacing w:after="0" w:line="360" w:lineRule="auto"/>
              <w:ind w:left="0" w:leftChars="0" w:firstLine="420" w:firstLineChars="200"/>
              <w:jc w:val="both"/>
              <w:rPr>
                <w:rFonts w:hint="eastAsia" w:ascii="宋体" w:hAnsi="宋体" w:eastAsia="宋体" w:cs="宋体"/>
                <w:b w:val="0"/>
                <w:bCs w:val="0"/>
                <w:color w:val="0000FF"/>
                <w:highlight w:val="none"/>
                <w:u w:val="single"/>
                <w:lang w:val="zh-CN"/>
              </w:rPr>
            </w:pPr>
            <w:r>
              <w:rPr>
                <w:rFonts w:hint="eastAsia" w:ascii="宋体" w:hAnsi="宋体" w:eastAsia="宋体" w:cs="宋体"/>
                <w:b w:val="0"/>
                <w:bCs w:val="0"/>
                <w:color w:val="0000FF"/>
                <w:szCs w:val="21"/>
                <w:highlight w:val="none"/>
                <w:lang w:val="zh-CN"/>
              </w:rPr>
              <w:t>关于变更的范围的约定：</w:t>
            </w:r>
            <w:r>
              <w:rPr>
                <w:rFonts w:hint="eastAsia" w:ascii="宋体" w:hAnsi="宋体" w:eastAsia="宋体" w:cs="宋体"/>
                <w:b w:val="0"/>
                <w:bCs w:val="0"/>
                <w:color w:val="0000FF"/>
                <w:highlight w:val="none"/>
                <w:u w:val="single"/>
                <w:lang w:val="zh-CN"/>
              </w:rPr>
              <w:t>①严格建设标准，擅自提高建设标准、规模的项目工程，一律不得追加投资, 严禁以承包人工艺改变、材料设备采购困难等为由要求勘察设计单位进行变更；</w:t>
            </w:r>
          </w:p>
          <w:p>
            <w:pPr>
              <w:pStyle w:val="59"/>
              <w:pageBreakBefore w:val="0"/>
              <w:kinsoku/>
              <w:wordWrap/>
              <w:overflowPunct/>
              <w:topLinePunct w:val="0"/>
              <w:bidi w:val="0"/>
              <w:snapToGrid/>
              <w:spacing w:after="0" w:line="360" w:lineRule="auto"/>
              <w:ind w:left="0" w:leftChars="0" w:firstLine="420" w:firstLineChars="200"/>
              <w:jc w:val="both"/>
              <w:rPr>
                <w:rFonts w:hint="eastAsia" w:ascii="宋体" w:hAnsi="宋体" w:eastAsia="宋体" w:cs="宋体"/>
                <w:b w:val="0"/>
                <w:bCs w:val="0"/>
                <w:color w:val="FF0000"/>
                <w:highlight w:val="none"/>
                <w:u w:val="single"/>
                <w:lang w:val="zh-CN"/>
              </w:rPr>
            </w:pPr>
            <w:r>
              <w:rPr>
                <w:rFonts w:hint="eastAsia" w:ascii="宋体" w:hAnsi="宋体" w:eastAsia="宋体" w:cs="宋体"/>
                <w:b w:val="0"/>
                <w:bCs w:val="0"/>
                <w:color w:val="FF0000"/>
                <w:highlight w:val="none"/>
                <w:u w:val="single"/>
                <w:lang w:val="zh-CN"/>
              </w:rPr>
              <w:t>②在施工中因不可预见等因素造成的设计变更</w:t>
            </w:r>
            <w:r>
              <w:rPr>
                <w:rFonts w:hint="eastAsia" w:ascii="宋体" w:hAnsi="宋体" w:cs="宋体"/>
                <w:b w:val="0"/>
                <w:bCs w:val="0"/>
                <w:color w:val="FF0000"/>
                <w:highlight w:val="none"/>
                <w:u w:val="single"/>
                <w:lang w:val="zh-CN"/>
              </w:rPr>
              <w:t>、</w:t>
            </w:r>
            <w:r>
              <w:rPr>
                <w:rFonts w:hint="eastAsia" w:ascii="宋体" w:hAnsi="宋体" w:cs="宋体"/>
                <w:b w:val="0"/>
                <w:bCs w:val="0"/>
                <w:color w:val="FF0000"/>
                <w:highlight w:val="none"/>
                <w:u w:val="single"/>
                <w:lang w:val="en-US" w:eastAsia="zh-CN"/>
              </w:rPr>
              <w:t>工程签证</w:t>
            </w:r>
            <w:r>
              <w:rPr>
                <w:rFonts w:hint="eastAsia" w:ascii="宋体" w:hAnsi="宋体" w:eastAsia="宋体" w:cs="宋体"/>
                <w:b w:val="0"/>
                <w:bCs w:val="0"/>
                <w:color w:val="FF0000"/>
                <w:highlight w:val="none"/>
                <w:u w:val="single"/>
                <w:lang w:val="zh-CN"/>
              </w:rPr>
              <w:t>，应先经</w:t>
            </w:r>
            <w:r>
              <w:rPr>
                <w:rFonts w:hint="eastAsia" w:ascii="宋体" w:hAnsi="宋体" w:cs="宋体"/>
                <w:b w:val="0"/>
                <w:bCs w:val="0"/>
                <w:color w:val="FF0000"/>
                <w:highlight w:val="none"/>
                <w:u w:val="single"/>
                <w:lang w:val="en-US" w:eastAsia="zh-CN"/>
              </w:rPr>
              <w:t>发包人、建设单位</w:t>
            </w:r>
            <w:r>
              <w:rPr>
                <w:rFonts w:hint="eastAsia" w:ascii="宋体" w:hAnsi="宋体" w:eastAsia="宋体" w:cs="宋体"/>
                <w:b w:val="0"/>
                <w:bCs w:val="0"/>
                <w:color w:val="FF0000"/>
                <w:highlight w:val="none"/>
                <w:u w:val="single"/>
                <w:lang w:val="zh-CN"/>
              </w:rPr>
              <w:t>对其必要性、合理性、投资变化情况进行分析论证。</w:t>
            </w:r>
          </w:p>
          <w:p>
            <w:pPr>
              <w:pStyle w:val="59"/>
              <w:pageBreakBefore w:val="0"/>
              <w:kinsoku/>
              <w:wordWrap/>
              <w:overflowPunct/>
              <w:topLinePunct w:val="0"/>
              <w:bidi w:val="0"/>
              <w:snapToGrid/>
              <w:spacing w:after="0" w:line="360" w:lineRule="auto"/>
              <w:ind w:left="0" w:leftChars="0" w:firstLine="420" w:firstLineChars="200"/>
              <w:jc w:val="both"/>
              <w:rPr>
                <w:rFonts w:hint="eastAsia" w:ascii="宋体" w:hAnsi="宋体" w:eastAsia="宋体" w:cs="宋体"/>
                <w:b w:val="0"/>
                <w:bCs w:val="0"/>
                <w:color w:val="FF0000"/>
                <w:highlight w:val="none"/>
                <w:u w:val="single"/>
                <w:lang w:val="zh-CN"/>
              </w:rPr>
            </w:pPr>
            <w:r>
              <w:rPr>
                <w:rFonts w:hint="eastAsia" w:ascii="宋体" w:hAnsi="宋体" w:eastAsia="宋体" w:cs="宋体"/>
                <w:b w:val="0"/>
                <w:bCs w:val="0"/>
                <w:color w:val="FF0000"/>
                <w:highlight w:val="none"/>
                <w:u w:val="single"/>
                <w:lang w:val="zh-CN"/>
              </w:rPr>
              <w:t>③除因不可抗力需要实施应急抢险工程外，设计变更</w:t>
            </w:r>
            <w:r>
              <w:rPr>
                <w:rFonts w:hint="eastAsia" w:ascii="宋体" w:hAnsi="宋体" w:cs="宋体"/>
                <w:b w:val="0"/>
                <w:bCs w:val="0"/>
                <w:color w:val="FF0000"/>
                <w:highlight w:val="none"/>
                <w:u w:val="single"/>
                <w:lang w:val="zh-CN"/>
              </w:rPr>
              <w:t>、</w:t>
            </w:r>
            <w:r>
              <w:rPr>
                <w:rFonts w:hint="eastAsia" w:ascii="宋体" w:hAnsi="宋体" w:cs="宋体"/>
                <w:b w:val="0"/>
                <w:bCs w:val="0"/>
                <w:color w:val="FF0000"/>
                <w:highlight w:val="none"/>
                <w:u w:val="single"/>
                <w:lang w:val="en-US" w:eastAsia="zh-CN"/>
              </w:rPr>
              <w:t>工程签证</w:t>
            </w:r>
            <w:r>
              <w:rPr>
                <w:rFonts w:hint="eastAsia" w:ascii="宋体" w:hAnsi="宋体" w:eastAsia="宋体" w:cs="宋体"/>
                <w:b w:val="0"/>
                <w:bCs w:val="0"/>
                <w:color w:val="FF0000"/>
                <w:highlight w:val="none"/>
                <w:u w:val="single"/>
                <w:lang w:val="zh-CN"/>
              </w:rPr>
              <w:t>涉及增加造价的，应报经</w:t>
            </w:r>
            <w:r>
              <w:rPr>
                <w:rFonts w:hint="eastAsia" w:ascii="宋体" w:hAnsi="宋体" w:cs="宋体"/>
                <w:b w:val="0"/>
                <w:bCs w:val="0"/>
                <w:color w:val="FF0000"/>
                <w:highlight w:val="none"/>
                <w:u w:val="single"/>
                <w:lang w:val="en-US" w:eastAsia="zh-CN"/>
              </w:rPr>
              <w:t>建设单位</w:t>
            </w:r>
            <w:r>
              <w:rPr>
                <w:rFonts w:hint="eastAsia" w:ascii="宋体" w:hAnsi="宋体" w:eastAsia="宋体" w:cs="宋体"/>
                <w:b w:val="0"/>
                <w:bCs w:val="0"/>
                <w:color w:val="FF0000"/>
                <w:highlight w:val="none"/>
                <w:u w:val="single"/>
                <w:lang w:val="zh-CN"/>
              </w:rPr>
              <w:t>批准后方可实施。工程变更程序按</w:t>
            </w:r>
            <w:r>
              <w:rPr>
                <w:rFonts w:hint="eastAsia" w:ascii="宋体" w:hAnsi="宋体" w:cs="宋体"/>
                <w:b w:val="0"/>
                <w:bCs w:val="0"/>
                <w:color w:val="FF0000"/>
                <w:highlight w:val="none"/>
                <w:u w:val="single"/>
                <w:lang w:val="zh-CN"/>
              </w:rPr>
              <w:t>建设单位</w:t>
            </w:r>
            <w:r>
              <w:rPr>
                <w:rFonts w:hint="eastAsia" w:ascii="宋体" w:hAnsi="宋体" w:eastAsia="宋体" w:cs="宋体"/>
                <w:b w:val="0"/>
                <w:bCs w:val="0"/>
                <w:color w:val="FF0000"/>
                <w:highlight w:val="none"/>
                <w:u w:val="single"/>
                <w:lang w:val="zh-CN"/>
              </w:rPr>
              <w:t>、发包人相关管理规定实施，如有新政策、规定，执行新政策、规定。</w:t>
            </w:r>
          </w:p>
          <w:p>
            <w:pPr>
              <w:pStyle w:val="59"/>
              <w:pageBreakBefore w:val="0"/>
              <w:kinsoku/>
              <w:wordWrap/>
              <w:overflowPunct/>
              <w:topLinePunct w:val="0"/>
              <w:bidi w:val="0"/>
              <w:snapToGrid/>
              <w:spacing w:after="0" w:line="360" w:lineRule="auto"/>
              <w:ind w:left="0" w:leftChars="0" w:firstLine="420" w:firstLineChars="200"/>
              <w:jc w:val="both"/>
              <w:rPr>
                <w:rFonts w:hint="eastAsia" w:ascii="宋体" w:hAnsi="宋体" w:eastAsia="宋体" w:cs="宋体"/>
                <w:b w:val="0"/>
                <w:bCs w:val="0"/>
                <w:color w:val="0000FF"/>
                <w:highlight w:val="none"/>
                <w:u w:val="single"/>
                <w:lang w:val="zh-CN"/>
              </w:rPr>
            </w:pPr>
            <w:r>
              <w:rPr>
                <w:rFonts w:hint="eastAsia" w:ascii="宋体" w:hAnsi="宋体" w:cs="宋体"/>
                <w:b w:val="0"/>
                <w:bCs w:val="0"/>
                <w:color w:val="0000FF"/>
                <w:highlight w:val="none"/>
                <w:u w:val="single"/>
                <w:lang w:val="en-US" w:eastAsia="zh-CN"/>
              </w:rPr>
              <w:t>④</w:t>
            </w:r>
            <w:r>
              <w:rPr>
                <w:rFonts w:hint="eastAsia" w:ascii="宋体" w:hAnsi="宋体" w:eastAsia="宋体" w:cs="宋体"/>
                <w:b w:val="0"/>
                <w:bCs w:val="0"/>
                <w:color w:val="0000FF"/>
                <w:highlight w:val="none"/>
                <w:u w:val="single"/>
                <w:lang w:val="zh-CN"/>
              </w:rPr>
              <w:t>建设单位、发包人、承包人、监理人均知悉并同意：本工程建设过程中的任何的变更、签证都须经工程监理工程师、发包人、建设单位审核，且均须经发包人、建设单位签字或盖章后方可生效</w:t>
            </w:r>
            <w:r>
              <w:rPr>
                <w:rFonts w:hint="eastAsia" w:ascii="宋体" w:hAnsi="宋体" w:cs="宋体"/>
                <w:b w:val="0"/>
                <w:bCs w:val="0"/>
                <w:color w:val="0000FF"/>
                <w:highlight w:val="none"/>
                <w:u w:val="single"/>
                <w:lang w:val="zh-CN"/>
              </w:rPr>
              <w:t>（</w:t>
            </w:r>
            <w:r>
              <w:rPr>
                <w:rFonts w:hint="eastAsia" w:ascii="宋体" w:hAnsi="宋体" w:cs="宋体"/>
                <w:color w:val="0000FF"/>
                <w:highlight w:val="none"/>
                <w:u w:val="single"/>
                <w:lang w:val="zh-CN"/>
              </w:rPr>
              <w:t>如增补、变更金额单笔金额超过20万元（含）或已累计增补、变更金额超过</w:t>
            </w:r>
            <w:r>
              <w:rPr>
                <w:rFonts w:hint="eastAsia" w:ascii="宋体" w:hAnsi="宋体" w:cs="宋体"/>
                <w:color w:val="0000FF"/>
                <w:highlight w:val="none"/>
                <w:u w:val="single"/>
                <w:lang w:val="en-US" w:eastAsia="zh-CN"/>
              </w:rPr>
              <w:t>5</w:t>
            </w:r>
            <w:r>
              <w:rPr>
                <w:rFonts w:hint="eastAsia" w:ascii="宋体" w:hAnsi="宋体" w:cs="宋体"/>
                <w:color w:val="0000FF"/>
                <w:highlight w:val="none"/>
                <w:u w:val="single"/>
                <w:lang w:val="zh-CN"/>
              </w:rPr>
              <w:t>0万元（含）的事项须</w:t>
            </w:r>
            <w:r>
              <w:rPr>
                <w:rFonts w:hint="eastAsia" w:ascii="宋体" w:hAnsi="宋体" w:cs="宋体"/>
                <w:color w:val="0000FF"/>
                <w:highlight w:val="none"/>
                <w:u w:val="single"/>
                <w:lang w:val="en-US" w:eastAsia="zh-CN"/>
              </w:rPr>
              <w:t>还需</w:t>
            </w:r>
            <w:r>
              <w:rPr>
                <w:rFonts w:hint="eastAsia" w:ascii="宋体" w:hAnsi="宋体" w:cs="宋体"/>
                <w:color w:val="0000FF"/>
                <w:highlight w:val="none"/>
                <w:u w:val="single"/>
                <w:lang w:val="zh-CN"/>
              </w:rPr>
              <w:t>提报信息科技集团总经理办公会审议</w:t>
            </w:r>
            <w:r>
              <w:rPr>
                <w:rFonts w:hint="eastAsia" w:ascii="宋体" w:hAnsi="宋体" w:cs="宋体"/>
                <w:color w:val="0000FF"/>
                <w:highlight w:val="none"/>
                <w:u w:val="single"/>
                <w:lang w:val="en-US" w:eastAsia="zh-CN"/>
              </w:rPr>
              <w:t>通过后方可实施</w:t>
            </w:r>
            <w:r>
              <w:rPr>
                <w:rFonts w:hint="eastAsia" w:ascii="宋体" w:hAnsi="宋体" w:cs="宋体"/>
                <w:b w:val="0"/>
                <w:bCs w:val="0"/>
                <w:color w:val="0000FF"/>
                <w:highlight w:val="none"/>
                <w:u w:val="single"/>
                <w:lang w:val="zh-CN"/>
              </w:rPr>
              <w:t>）</w:t>
            </w:r>
            <w:r>
              <w:rPr>
                <w:rFonts w:hint="eastAsia" w:ascii="宋体" w:hAnsi="宋体" w:eastAsia="宋体" w:cs="宋体"/>
                <w:b w:val="0"/>
                <w:bCs w:val="0"/>
                <w:color w:val="0000FF"/>
                <w:highlight w:val="none"/>
                <w:u w:val="single"/>
                <w:lang w:val="zh-CN"/>
              </w:rPr>
              <w:t>，且如变更、签证仅监理工程师、发包人代表签字，监理人或发包人签章，但未经建设单位审核并签字或盖章，仍为无效变更签证。对无效变更签证，发包人、建设单位有权不予确认及计价，所产生的一切费用及责任由承包人自行承担，且工期不予顺延。本工程的所有变更及签证发包人、工程监理、承包人均应保留签证原件。若未按发包人要求提供，则按承包人未提出办理变更签证情况处理。</w:t>
            </w:r>
          </w:p>
          <w:p>
            <w:pPr>
              <w:pStyle w:val="59"/>
              <w:pageBreakBefore w:val="0"/>
              <w:kinsoku/>
              <w:wordWrap/>
              <w:overflowPunct/>
              <w:topLinePunct w:val="0"/>
              <w:bidi w:val="0"/>
              <w:snapToGrid/>
              <w:spacing w:after="0" w:line="360" w:lineRule="auto"/>
              <w:ind w:left="0" w:leftChars="0" w:firstLine="420" w:firstLineChars="200"/>
              <w:jc w:val="both"/>
              <w:rPr>
                <w:rFonts w:hint="eastAsia" w:ascii="宋体" w:hAnsi="宋体" w:eastAsia="宋体" w:cs="宋体"/>
                <w:b w:val="0"/>
                <w:bCs w:val="0"/>
                <w:color w:val="0000FF"/>
                <w:highlight w:val="none"/>
                <w:u w:val="single"/>
                <w:lang w:val="zh-CN"/>
              </w:rPr>
            </w:pPr>
            <w:r>
              <w:rPr>
                <w:rFonts w:hint="eastAsia" w:ascii="宋体" w:hAnsi="宋体" w:eastAsia="宋体" w:cs="宋体"/>
                <w:b w:val="0"/>
                <w:bCs w:val="0"/>
                <w:color w:val="0000FF"/>
                <w:highlight w:val="none"/>
                <w:u w:val="single"/>
                <w:lang w:val="zh-CN"/>
              </w:rPr>
              <w:t>⑤工程变更及签证均必须注明事由、工作范围及部位、具体作法、尺寸、工程数量和费用组成。签证文字的表述应做到鲜明、准确，必要时应附图、现场照片及数据草签原件。隐蔽工程事前必须由承包人、监理、发包人三方共同确认工程量，如没有事前确认，以发包人确认的工程量为准。承包人报送的工程变更及签证资料至少包括以下内容：</w:t>
            </w:r>
          </w:p>
          <w:p>
            <w:pPr>
              <w:pStyle w:val="59"/>
              <w:pageBreakBefore w:val="0"/>
              <w:kinsoku/>
              <w:wordWrap/>
              <w:overflowPunct/>
              <w:topLinePunct w:val="0"/>
              <w:bidi w:val="0"/>
              <w:snapToGrid/>
              <w:spacing w:after="0" w:line="360" w:lineRule="auto"/>
              <w:ind w:left="0" w:leftChars="0" w:firstLine="420" w:firstLineChars="200"/>
              <w:jc w:val="both"/>
              <w:rPr>
                <w:rFonts w:hint="eastAsia" w:ascii="宋体" w:hAnsi="宋体" w:eastAsia="宋体" w:cs="宋体"/>
                <w:b w:val="0"/>
                <w:bCs w:val="0"/>
                <w:color w:val="0000FF"/>
                <w:highlight w:val="none"/>
                <w:u w:val="single"/>
                <w:lang w:val="zh-CN"/>
              </w:rPr>
            </w:pPr>
            <w:r>
              <w:rPr>
                <w:rFonts w:hint="eastAsia" w:ascii="宋体" w:hAnsi="宋体" w:eastAsia="宋体" w:cs="宋体"/>
                <w:b w:val="0"/>
                <w:bCs w:val="0"/>
                <w:color w:val="0000FF"/>
                <w:highlight w:val="none"/>
                <w:u w:val="single"/>
                <w:lang w:val="zh-CN"/>
              </w:rPr>
              <w:t>A.引起签证的设计变更单或签证原因资料。</w:t>
            </w:r>
          </w:p>
          <w:p>
            <w:pPr>
              <w:pStyle w:val="59"/>
              <w:pageBreakBefore w:val="0"/>
              <w:kinsoku/>
              <w:wordWrap/>
              <w:overflowPunct/>
              <w:topLinePunct w:val="0"/>
              <w:bidi w:val="0"/>
              <w:snapToGrid/>
              <w:spacing w:after="0" w:line="360" w:lineRule="auto"/>
              <w:ind w:left="0" w:leftChars="0" w:firstLine="420" w:firstLineChars="200"/>
              <w:jc w:val="both"/>
              <w:rPr>
                <w:rFonts w:hint="eastAsia" w:ascii="宋体" w:hAnsi="宋体" w:eastAsia="宋体" w:cs="宋体"/>
                <w:b w:val="0"/>
                <w:bCs w:val="0"/>
                <w:color w:val="0000FF"/>
                <w:highlight w:val="none"/>
                <w:u w:val="single"/>
                <w:lang w:val="zh-CN"/>
              </w:rPr>
            </w:pPr>
            <w:r>
              <w:rPr>
                <w:rFonts w:hint="eastAsia" w:ascii="宋体" w:hAnsi="宋体" w:eastAsia="宋体" w:cs="宋体"/>
                <w:b w:val="0"/>
                <w:bCs w:val="0"/>
                <w:color w:val="0000FF"/>
                <w:highlight w:val="none"/>
                <w:u w:val="single"/>
                <w:lang w:val="zh-CN"/>
              </w:rPr>
              <w:t>B.符合发包人规定的变更流程及相关表格。</w:t>
            </w:r>
          </w:p>
          <w:p>
            <w:pPr>
              <w:pStyle w:val="59"/>
              <w:pageBreakBefore w:val="0"/>
              <w:kinsoku/>
              <w:wordWrap/>
              <w:overflowPunct/>
              <w:topLinePunct w:val="0"/>
              <w:bidi w:val="0"/>
              <w:snapToGrid/>
              <w:spacing w:after="0" w:line="360" w:lineRule="auto"/>
              <w:ind w:left="0" w:leftChars="0" w:firstLine="420" w:firstLineChars="200"/>
              <w:jc w:val="both"/>
              <w:rPr>
                <w:rFonts w:hint="eastAsia" w:ascii="宋体" w:hAnsi="宋体" w:eastAsia="宋体" w:cs="宋体"/>
                <w:b w:val="0"/>
                <w:bCs w:val="0"/>
                <w:color w:val="0000FF"/>
                <w:highlight w:val="none"/>
                <w:u w:val="single"/>
                <w:lang w:val="zh-CN"/>
              </w:rPr>
            </w:pPr>
            <w:r>
              <w:rPr>
                <w:rFonts w:hint="eastAsia" w:ascii="宋体" w:hAnsi="宋体" w:eastAsia="宋体" w:cs="宋体"/>
                <w:b w:val="0"/>
                <w:bCs w:val="0"/>
                <w:color w:val="0000FF"/>
                <w:highlight w:val="none"/>
                <w:u w:val="single"/>
                <w:lang w:val="zh-CN"/>
              </w:rPr>
              <w:t>C.签证工程量的计算方法及底稿。</w:t>
            </w:r>
          </w:p>
          <w:p>
            <w:pPr>
              <w:pStyle w:val="59"/>
              <w:pageBreakBefore w:val="0"/>
              <w:kinsoku/>
              <w:wordWrap/>
              <w:overflowPunct/>
              <w:topLinePunct w:val="0"/>
              <w:bidi w:val="0"/>
              <w:snapToGrid/>
              <w:spacing w:after="0" w:line="360" w:lineRule="auto"/>
              <w:ind w:left="0" w:leftChars="0" w:firstLine="420" w:firstLineChars="200"/>
              <w:jc w:val="both"/>
              <w:rPr>
                <w:rFonts w:hint="eastAsia" w:ascii="宋体" w:hAnsi="宋体" w:eastAsia="宋体" w:cs="宋体"/>
                <w:b w:val="0"/>
                <w:bCs w:val="0"/>
                <w:color w:val="0000FF"/>
                <w:highlight w:val="none"/>
                <w:u w:val="single"/>
                <w:lang w:val="zh-CN"/>
              </w:rPr>
            </w:pPr>
            <w:r>
              <w:rPr>
                <w:rFonts w:hint="eastAsia" w:ascii="宋体" w:hAnsi="宋体" w:eastAsia="宋体" w:cs="宋体"/>
                <w:b w:val="0"/>
                <w:bCs w:val="0"/>
                <w:color w:val="0000FF"/>
                <w:highlight w:val="none"/>
                <w:u w:val="single"/>
                <w:lang w:val="zh-CN"/>
              </w:rPr>
              <w:t>D.计价清单及电子档。</w:t>
            </w:r>
          </w:p>
          <w:p>
            <w:pPr>
              <w:pStyle w:val="59"/>
              <w:pageBreakBefore w:val="0"/>
              <w:kinsoku/>
              <w:wordWrap/>
              <w:overflowPunct/>
              <w:topLinePunct w:val="0"/>
              <w:bidi w:val="0"/>
              <w:snapToGrid/>
              <w:spacing w:after="0" w:line="360" w:lineRule="auto"/>
              <w:ind w:left="0" w:leftChars="0" w:firstLine="420" w:firstLineChars="200"/>
              <w:jc w:val="both"/>
              <w:rPr>
                <w:rFonts w:hint="eastAsia" w:ascii="宋体" w:hAnsi="宋体" w:eastAsia="宋体" w:cs="宋体"/>
                <w:b w:val="0"/>
                <w:bCs w:val="0"/>
                <w:color w:val="0000FF"/>
                <w:highlight w:val="none"/>
                <w:u w:val="single"/>
                <w:lang w:val="zh-CN"/>
              </w:rPr>
            </w:pPr>
            <w:r>
              <w:rPr>
                <w:rFonts w:hint="eastAsia" w:ascii="宋体" w:hAnsi="宋体" w:eastAsia="宋体" w:cs="宋体"/>
                <w:b w:val="0"/>
                <w:bCs w:val="0"/>
                <w:color w:val="0000FF"/>
                <w:highlight w:val="none"/>
                <w:u w:val="single"/>
                <w:lang w:val="zh-CN"/>
              </w:rPr>
              <w:t>E.变更签证图纸及现场照片。</w:t>
            </w:r>
          </w:p>
          <w:p>
            <w:pPr>
              <w:pStyle w:val="59"/>
              <w:pageBreakBefore w:val="0"/>
              <w:kinsoku/>
              <w:wordWrap/>
              <w:overflowPunct/>
              <w:topLinePunct w:val="0"/>
              <w:bidi w:val="0"/>
              <w:snapToGrid/>
              <w:spacing w:after="0" w:line="360" w:lineRule="auto"/>
              <w:ind w:left="0" w:leftChars="0" w:firstLine="420" w:firstLineChars="200"/>
              <w:jc w:val="both"/>
              <w:rPr>
                <w:rFonts w:hint="eastAsia" w:ascii="宋体" w:hAnsi="宋体" w:eastAsia="宋体" w:cs="宋体"/>
                <w:b w:val="0"/>
                <w:bCs w:val="0"/>
                <w:color w:val="0000FF"/>
                <w:highlight w:val="none"/>
                <w:u w:val="single"/>
                <w:lang w:val="zh-CN"/>
              </w:rPr>
            </w:pPr>
            <w:r>
              <w:rPr>
                <w:rFonts w:hint="eastAsia" w:ascii="宋体" w:hAnsi="宋体" w:eastAsia="宋体" w:cs="宋体"/>
                <w:b w:val="0"/>
                <w:bCs w:val="0"/>
                <w:color w:val="0000FF"/>
                <w:highlight w:val="none"/>
                <w:u w:val="single"/>
                <w:lang w:val="zh-CN"/>
              </w:rPr>
              <w:t>若未按发包人要求提供的，则按承包人未提出办理变更签证情况处理。</w:t>
            </w:r>
          </w:p>
          <w:p>
            <w:pPr>
              <w:pStyle w:val="59"/>
              <w:pageBreakBefore w:val="0"/>
              <w:kinsoku/>
              <w:wordWrap/>
              <w:overflowPunct/>
              <w:topLinePunct w:val="0"/>
              <w:bidi w:val="0"/>
              <w:snapToGrid/>
              <w:spacing w:after="0" w:line="360" w:lineRule="auto"/>
              <w:ind w:left="0" w:leftChars="0" w:firstLine="420" w:firstLineChars="200"/>
              <w:jc w:val="both"/>
              <w:rPr>
                <w:rFonts w:hint="eastAsia" w:ascii="宋体" w:hAnsi="宋体" w:eastAsia="宋体" w:cs="宋体"/>
                <w:b w:val="0"/>
                <w:bCs w:val="0"/>
                <w:color w:val="0000FF"/>
                <w:highlight w:val="none"/>
                <w:u w:val="single"/>
                <w:lang w:val="zh-CN"/>
              </w:rPr>
            </w:pPr>
            <w:r>
              <w:rPr>
                <w:rFonts w:hint="eastAsia" w:ascii="宋体" w:hAnsi="宋体" w:eastAsia="宋体" w:cs="宋体"/>
                <w:b w:val="0"/>
                <w:bCs w:val="0"/>
                <w:color w:val="0000FF"/>
                <w:highlight w:val="none"/>
                <w:u w:val="single"/>
                <w:lang w:val="zh-CN"/>
              </w:rPr>
              <w:t>⑥凡需延长工期或增加工程造价办理变更及签证的，承包人应不迟于变更下发或签证事项实施完成后14 天内向发包人提交完整的签证资料，逾期未提交的，视为承包人放弃；涉及减少工程造价的变更和签证，承包人也必须自变更下发或事项实施完成后14天内向发包人提交完整的签证资料，逾期视为承包人同意发包人自行依据本合同条款对该项变更价款进行核减。”</w:t>
            </w:r>
          </w:p>
          <w:p>
            <w:pPr>
              <w:pStyle w:val="59"/>
              <w:pageBreakBefore w:val="0"/>
              <w:kinsoku/>
              <w:wordWrap/>
              <w:overflowPunct/>
              <w:topLinePunct w:val="0"/>
              <w:bidi w:val="0"/>
              <w:snapToGrid/>
              <w:spacing w:after="0" w:line="360" w:lineRule="auto"/>
              <w:ind w:left="0" w:leftChars="0" w:firstLine="420" w:firstLineChars="200"/>
              <w:jc w:val="both"/>
              <w:rPr>
                <w:rFonts w:hint="eastAsia" w:ascii="宋体" w:hAnsi="宋体" w:eastAsia="宋体" w:cs="宋体"/>
                <w:b w:val="0"/>
                <w:bCs w:val="0"/>
                <w:color w:val="0000FF"/>
                <w:highlight w:val="none"/>
                <w:lang w:val="zh-CN"/>
              </w:rPr>
            </w:pPr>
            <w:r>
              <w:rPr>
                <w:rFonts w:hint="eastAsia" w:ascii="宋体" w:hAnsi="宋体" w:eastAsia="宋体" w:cs="宋体"/>
                <w:b w:val="0"/>
                <w:bCs w:val="0"/>
                <w:color w:val="0000FF"/>
                <w:highlight w:val="none"/>
                <w:u w:val="single"/>
                <w:lang w:val="zh-CN"/>
              </w:rPr>
              <w:t>⑦承包人应配合发包人对施工过程的设计变更及工程签证进行“一</w:t>
            </w:r>
            <w:r>
              <w:rPr>
                <w:rFonts w:hint="eastAsia" w:ascii="宋体" w:hAnsi="宋体" w:cs="宋体"/>
                <w:b w:val="0"/>
                <w:bCs w:val="0"/>
                <w:color w:val="0000FF"/>
                <w:highlight w:val="none"/>
                <w:u w:val="single"/>
                <w:lang w:val="en-US" w:eastAsia="zh-CN"/>
              </w:rPr>
              <w:t>月</w:t>
            </w:r>
            <w:r>
              <w:rPr>
                <w:rFonts w:hint="eastAsia" w:ascii="宋体" w:hAnsi="宋体" w:eastAsia="宋体" w:cs="宋体"/>
                <w:b w:val="0"/>
                <w:bCs w:val="0"/>
                <w:color w:val="0000FF"/>
                <w:highlight w:val="none"/>
                <w:u w:val="single"/>
                <w:lang w:val="zh-CN"/>
              </w:rPr>
              <w:t>一清”原则，否则发包人有权采取暂缓支付进度款或降低进度款支付比例，直到承包人配合完成工程签证为止。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708" w:type="dxa"/>
            <w:noWrap w:val="0"/>
            <w:vAlign w:val="center"/>
          </w:tcPr>
          <w:p>
            <w:pPr>
              <w:pStyle w:val="59"/>
              <w:pageBreakBefore w:val="0"/>
              <w:kinsoku/>
              <w:wordWrap/>
              <w:overflowPunct/>
              <w:topLinePunct w:val="0"/>
              <w:bidi w:val="0"/>
              <w:snapToGrid/>
              <w:spacing w:after="0" w:line="360" w:lineRule="auto"/>
              <w:ind w:left="0" w:firstLine="0"/>
              <w:jc w:val="center"/>
              <w:textAlignment w:val="top"/>
              <w:rPr>
                <w:rFonts w:hint="default" w:ascii="宋体" w:hAnsi="宋体" w:eastAsia="宋体" w:cs="宋体"/>
                <w:b w:val="0"/>
                <w:bCs w:val="0"/>
                <w:color w:val="0000FF"/>
                <w:szCs w:val="21"/>
                <w:highlight w:val="none"/>
                <w:lang w:val="en-US" w:eastAsia="zh-CN"/>
              </w:rPr>
            </w:pPr>
            <w:r>
              <w:rPr>
                <w:rFonts w:hint="eastAsia" w:ascii="宋体" w:hAnsi="宋体" w:cs="宋体"/>
                <w:b w:val="0"/>
                <w:bCs w:val="0"/>
                <w:color w:val="0000FF"/>
                <w:szCs w:val="21"/>
                <w:highlight w:val="none"/>
                <w:lang w:val="en-US" w:eastAsia="zh-CN"/>
              </w:rPr>
              <w:t>15</w:t>
            </w:r>
          </w:p>
        </w:tc>
        <w:tc>
          <w:tcPr>
            <w:tcW w:w="857" w:type="dxa"/>
            <w:noWrap w:val="0"/>
            <w:vAlign w:val="center"/>
          </w:tcPr>
          <w:p>
            <w:pPr>
              <w:pStyle w:val="59"/>
              <w:spacing w:after="0" w:line="300" w:lineRule="auto"/>
              <w:ind w:left="0" w:leftChars="0" w:firstLine="0" w:firstLineChars="0"/>
              <w:jc w:val="center"/>
              <w:textAlignment w:val="top"/>
              <w:rPr>
                <w:rFonts w:hint="default" w:ascii="宋体" w:hAnsi="宋体" w:eastAsia="宋体" w:cs="宋体"/>
                <w:b w:val="0"/>
                <w:bCs w:val="0"/>
                <w:color w:val="0000FF"/>
                <w:kern w:val="1"/>
                <w:sz w:val="21"/>
                <w:szCs w:val="21"/>
                <w:highlight w:val="none"/>
                <w:lang w:val="en-US" w:eastAsia="zh-CN" w:bidi="ar-SA"/>
              </w:rPr>
            </w:pPr>
            <w:r>
              <w:rPr>
                <w:rFonts w:hint="eastAsia" w:ascii="宋体" w:hAnsi="宋体" w:cs="宋体"/>
                <w:b w:val="0"/>
                <w:bCs w:val="0"/>
                <w:color w:val="0000FF"/>
                <w:kern w:val="1"/>
                <w:sz w:val="21"/>
                <w:szCs w:val="21"/>
                <w:highlight w:val="none"/>
                <w:lang w:val="en-US" w:eastAsia="zh-CN" w:bidi="ar-SA"/>
              </w:rPr>
              <w:t>10.4.1</w:t>
            </w:r>
          </w:p>
        </w:tc>
        <w:tc>
          <w:tcPr>
            <w:tcW w:w="3109" w:type="dxa"/>
            <w:noWrap w:val="0"/>
            <w:vAlign w:val="center"/>
          </w:tcPr>
          <w:p>
            <w:pPr>
              <w:pStyle w:val="59"/>
              <w:spacing w:after="0" w:line="300" w:lineRule="auto"/>
              <w:ind w:left="0" w:leftChars="0" w:firstLine="0" w:firstLineChars="0"/>
              <w:jc w:val="both"/>
              <w:textAlignment w:val="top"/>
              <w:rPr>
                <w:rFonts w:hint="eastAsia" w:ascii="宋体" w:hAnsi="宋体" w:eastAsia="宋体" w:cs="宋体"/>
                <w:b w:val="0"/>
                <w:bCs w:val="0"/>
                <w:color w:val="0000FF"/>
                <w:kern w:val="1"/>
                <w:sz w:val="21"/>
                <w:szCs w:val="21"/>
                <w:highlight w:val="none"/>
                <w:lang w:val="zh-CN" w:eastAsia="zh-CN" w:bidi="ar-SA"/>
              </w:rPr>
            </w:pPr>
            <w:r>
              <w:rPr>
                <w:rFonts w:hint="eastAsia" w:ascii="宋体" w:hAnsi="宋体" w:eastAsia="宋体" w:cs="宋体"/>
                <w:b w:val="0"/>
                <w:bCs w:val="0"/>
                <w:color w:val="0000FF"/>
                <w:kern w:val="1"/>
                <w:sz w:val="21"/>
                <w:szCs w:val="21"/>
                <w:highlight w:val="none"/>
                <w:lang w:val="zh-CN" w:eastAsia="zh-CN" w:bidi="ar-SA"/>
              </w:rPr>
              <w:t>（4）</w:t>
            </w:r>
            <w:r>
              <w:rPr>
                <w:rFonts w:hint="eastAsia" w:ascii="宋体" w:hAnsi="宋体" w:eastAsia="宋体" w:cs="宋体"/>
                <w:b w:val="0"/>
                <w:bCs w:val="0"/>
                <w:color w:val="0000FF"/>
                <w:kern w:val="1"/>
                <w:sz w:val="21"/>
                <w:szCs w:val="21"/>
                <w:highlight w:val="none"/>
                <w:u w:val="single"/>
                <w:lang w:val="zh-CN" w:eastAsia="zh-CN" w:bidi="ar-SA"/>
              </w:rPr>
              <w:t>没有价格信息的材料，按《厦门市财政局 厦门市发展和改革委员会 厦门市建设局关于明确市级财政投资建设项目价格信息缺项材料选用定价机制的通知》（厦财建[2018]15号）及《厦门市财政局 厦门市发展和改革委员会 厦门市建设局关于市级财政投资建设项目价格信息缺项材料选用定价有关事项的补充通知》（厦财建[2018]44号）等有关规定执行</w:t>
            </w:r>
            <w:r>
              <w:rPr>
                <w:rFonts w:hint="eastAsia" w:ascii="宋体" w:hAnsi="宋体" w:eastAsia="宋体" w:cs="宋体"/>
                <w:b w:val="0"/>
                <w:bCs w:val="0"/>
                <w:color w:val="0000FF"/>
                <w:kern w:val="1"/>
                <w:sz w:val="21"/>
                <w:szCs w:val="21"/>
                <w:highlight w:val="none"/>
                <w:lang w:val="zh-CN" w:eastAsia="zh-CN" w:bidi="ar-SA"/>
              </w:rPr>
              <w:t>。</w:t>
            </w:r>
          </w:p>
        </w:tc>
        <w:tc>
          <w:tcPr>
            <w:tcW w:w="5362" w:type="dxa"/>
            <w:noWrap w:val="0"/>
            <w:vAlign w:val="center"/>
          </w:tcPr>
          <w:p>
            <w:pPr>
              <w:pStyle w:val="9"/>
              <w:wordWrap w:val="0"/>
              <w:snapToGrid w:val="0"/>
              <w:spacing w:line="300" w:lineRule="auto"/>
              <w:ind w:firstLine="420" w:firstLineChars="200"/>
              <w:jc w:val="left"/>
              <w:rPr>
                <w:rFonts w:hint="default" w:cs="宋体"/>
                <w:color w:val="0000FF"/>
                <w:kern w:val="1"/>
                <w:sz w:val="21"/>
                <w:szCs w:val="21"/>
                <w:highlight w:val="none"/>
                <w:lang w:val="en-US" w:eastAsia="zh-CN" w:bidi="ar-SA"/>
              </w:rPr>
            </w:pPr>
            <w:r>
              <w:rPr>
                <w:rFonts w:hint="eastAsia" w:cs="宋体"/>
                <w:color w:val="0000FF"/>
                <w:kern w:val="1"/>
                <w:sz w:val="21"/>
                <w:szCs w:val="21"/>
                <w:highlight w:val="none"/>
                <w:lang w:val="zh-CN" w:eastAsia="zh-CN" w:bidi="ar-SA"/>
              </w:rPr>
              <w:t>(4)</w:t>
            </w:r>
            <w:r>
              <w:rPr>
                <w:rFonts w:hint="eastAsia" w:cs="宋体"/>
                <w:color w:val="0000FF"/>
                <w:kern w:val="1"/>
                <w:sz w:val="21"/>
                <w:szCs w:val="21"/>
                <w:highlight w:val="none"/>
                <w:u w:val="single"/>
                <w:lang w:val="zh-CN" w:eastAsia="zh-CN" w:bidi="ar-SA"/>
              </w:rPr>
              <w:t>没有价格信息的材料，按厦门市缺项材料选用定价机制有关规定执行</w:t>
            </w:r>
            <w:r>
              <w:rPr>
                <w:rFonts w:hint="eastAsia" w:cs="宋体"/>
                <w:color w:val="0000FF"/>
                <w:kern w:val="1"/>
                <w:sz w:val="21"/>
                <w:szCs w:val="21"/>
                <w:highlight w:val="none"/>
                <w:lang w:val="zh-CN" w:eastAsia="zh-CN" w:bidi="ar-SA"/>
              </w:rPr>
              <w:t>。</w:t>
            </w:r>
          </w:p>
          <w:p>
            <w:pPr>
              <w:pStyle w:val="9"/>
              <w:wordWrap w:val="0"/>
              <w:snapToGrid w:val="0"/>
              <w:spacing w:line="300" w:lineRule="auto"/>
              <w:ind w:firstLine="420" w:firstLineChars="200"/>
              <w:jc w:val="left"/>
              <w:rPr>
                <w:rFonts w:hint="eastAsia" w:ascii="宋体" w:hAnsi="宋体" w:eastAsia="宋体" w:cs="宋体"/>
                <w:color w:val="0000FF"/>
                <w:kern w:val="1"/>
                <w:sz w:val="21"/>
                <w:szCs w:val="21"/>
                <w:highlight w:val="none"/>
                <w:lang w:val="zh-CN" w:eastAsia="zh-CN" w:bidi="ar-SA"/>
              </w:rPr>
            </w:pPr>
            <w:r>
              <w:rPr>
                <w:rFonts w:hint="eastAsia" w:ascii="宋体" w:hAnsi="宋体" w:eastAsia="宋体" w:cs="宋体"/>
                <w:color w:val="0000FF"/>
                <w:kern w:val="1"/>
                <w:sz w:val="21"/>
                <w:szCs w:val="21"/>
                <w:highlight w:val="none"/>
                <w:u w:val="single"/>
                <w:lang w:val="zh-CN" w:eastAsia="zh-CN" w:bidi="ar-SA"/>
              </w:rPr>
              <w:t>（</w:t>
            </w:r>
            <w:r>
              <w:rPr>
                <w:rFonts w:hint="eastAsia" w:cs="宋体"/>
                <w:color w:val="0000FF"/>
                <w:kern w:val="1"/>
                <w:sz w:val="21"/>
                <w:szCs w:val="21"/>
                <w:highlight w:val="none"/>
                <w:u w:val="single"/>
                <w:lang w:val="en-US" w:eastAsia="zh-CN" w:bidi="ar-SA"/>
              </w:rPr>
              <w:t>5</w:t>
            </w:r>
            <w:r>
              <w:rPr>
                <w:rFonts w:hint="eastAsia" w:ascii="宋体" w:hAnsi="宋体" w:eastAsia="宋体" w:cs="宋体"/>
                <w:color w:val="0000FF"/>
                <w:kern w:val="1"/>
                <w:sz w:val="21"/>
                <w:szCs w:val="21"/>
                <w:highlight w:val="none"/>
                <w:u w:val="single"/>
                <w:lang w:val="zh-CN" w:eastAsia="zh-CN" w:bidi="ar-SA"/>
              </w:rPr>
              <w:t>）审核过程有争议无法达成一致意见的，承包人应先按发包人要求先行施工，承包人不得以此为借口消极怠工，若由此产生承包人工期延误，详第7.5.2条款。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708" w:type="dxa"/>
            <w:noWrap w:val="0"/>
            <w:vAlign w:val="center"/>
          </w:tcPr>
          <w:p>
            <w:pPr>
              <w:pStyle w:val="59"/>
              <w:pageBreakBefore w:val="0"/>
              <w:kinsoku/>
              <w:wordWrap/>
              <w:overflowPunct/>
              <w:topLinePunct w:val="0"/>
              <w:bidi w:val="0"/>
              <w:snapToGrid/>
              <w:spacing w:after="0" w:line="360" w:lineRule="auto"/>
              <w:ind w:left="0" w:firstLine="0"/>
              <w:jc w:val="center"/>
              <w:textAlignment w:val="top"/>
              <w:rPr>
                <w:rFonts w:hint="default" w:ascii="宋体" w:hAnsi="宋体" w:cs="宋体"/>
                <w:b w:val="0"/>
                <w:bCs w:val="0"/>
                <w:color w:val="0000FF"/>
                <w:szCs w:val="21"/>
                <w:highlight w:val="none"/>
                <w:lang w:val="en-US" w:eastAsia="zh-CN"/>
              </w:rPr>
            </w:pPr>
            <w:r>
              <w:rPr>
                <w:rFonts w:hint="eastAsia" w:ascii="宋体" w:hAnsi="宋体" w:cs="宋体"/>
                <w:b w:val="0"/>
                <w:bCs w:val="0"/>
                <w:color w:val="0000FF"/>
                <w:szCs w:val="21"/>
                <w:highlight w:val="none"/>
                <w:lang w:val="en-US" w:eastAsia="zh-CN"/>
              </w:rPr>
              <w:t>16</w:t>
            </w:r>
          </w:p>
        </w:tc>
        <w:tc>
          <w:tcPr>
            <w:tcW w:w="857" w:type="dxa"/>
            <w:noWrap w:val="0"/>
            <w:vAlign w:val="center"/>
          </w:tcPr>
          <w:p>
            <w:pPr>
              <w:pStyle w:val="59"/>
              <w:spacing w:after="0" w:line="300" w:lineRule="auto"/>
              <w:ind w:left="0" w:leftChars="0" w:firstLine="0" w:firstLineChars="0"/>
              <w:jc w:val="center"/>
              <w:textAlignment w:val="top"/>
              <w:rPr>
                <w:rFonts w:hint="eastAsia" w:ascii="宋体" w:hAnsi="宋体" w:eastAsia="宋体" w:cs="宋体"/>
                <w:b w:val="0"/>
                <w:bCs w:val="0"/>
                <w:color w:val="0000FF"/>
                <w:kern w:val="1"/>
                <w:sz w:val="21"/>
                <w:szCs w:val="21"/>
                <w:highlight w:val="yellow"/>
                <w:lang w:val="en-US" w:eastAsia="zh-CN" w:bidi="ar-SA"/>
              </w:rPr>
            </w:pPr>
            <w:r>
              <w:rPr>
                <w:rFonts w:hint="eastAsia" w:cs="宋体"/>
                <w:color w:val="0000FF"/>
                <w:sz w:val="21"/>
                <w:szCs w:val="21"/>
                <w:highlight w:val="yellow"/>
              </w:rPr>
              <w:t>12.1.2</w:t>
            </w:r>
          </w:p>
        </w:tc>
        <w:tc>
          <w:tcPr>
            <w:tcW w:w="3109" w:type="dxa"/>
            <w:noWrap w:val="0"/>
            <w:vAlign w:val="center"/>
          </w:tcPr>
          <w:p>
            <w:pPr>
              <w:pStyle w:val="59"/>
              <w:numPr>
                <w:ilvl w:val="0"/>
                <w:numId w:val="20"/>
              </w:numPr>
              <w:spacing w:after="0" w:line="300" w:lineRule="auto"/>
              <w:ind w:left="0" w:leftChars="0" w:firstLine="0" w:firstLineChars="0"/>
              <w:jc w:val="both"/>
              <w:textAlignment w:val="top"/>
              <w:rPr>
                <w:rFonts w:hint="eastAsia"/>
                <w:color w:val="0000FF"/>
                <w:highlight w:val="yellow"/>
                <w:lang w:val="zh-CN" w:eastAsia="zh-CN"/>
              </w:rPr>
            </w:pPr>
            <w:r>
              <w:rPr>
                <w:rFonts w:hint="eastAsia"/>
                <w:color w:val="0000FF"/>
                <w:highlight w:val="yellow"/>
              </w:rPr>
              <w:t>风险费用的计算方法：综合上述风险因素并根据工程大小、技术复杂程度、施工难易程度、施工自然条件，发包人按规定已考虑 3%的风险包干系数计入在工程招标控制价中。承包人在投标报价时已考虑了上述风险因素并计取了风险包干费用。在风险范围内的工程造价包干，施工过程和竣工结算时将不再调整。</w:t>
            </w:r>
          </w:p>
        </w:tc>
        <w:tc>
          <w:tcPr>
            <w:tcW w:w="5362" w:type="dxa"/>
            <w:noWrap w:val="0"/>
            <w:vAlign w:val="center"/>
          </w:tcPr>
          <w:p>
            <w:pPr>
              <w:pStyle w:val="9"/>
              <w:numPr>
                <w:ilvl w:val="0"/>
                <w:numId w:val="21"/>
              </w:numPr>
              <w:wordWrap w:val="0"/>
              <w:snapToGrid w:val="0"/>
              <w:spacing w:line="300" w:lineRule="auto"/>
              <w:ind w:firstLine="420" w:firstLineChars="200"/>
              <w:jc w:val="left"/>
              <w:rPr>
                <w:rFonts w:hint="eastAsia" w:cs="宋体"/>
                <w:color w:val="0000FF"/>
                <w:sz w:val="21"/>
                <w:szCs w:val="21"/>
                <w:highlight w:val="yellow"/>
                <w:u w:val="single"/>
              </w:rPr>
            </w:pPr>
            <w:r>
              <w:rPr>
                <w:rFonts w:hint="eastAsia" w:cs="宋体"/>
                <w:color w:val="0000FF"/>
                <w:sz w:val="21"/>
                <w:szCs w:val="21"/>
                <w:highlight w:val="yellow"/>
                <w:u w:val="single"/>
              </w:rPr>
              <w:t xml:space="preserve">风险费用的计算方法：综合上述风险因素并根据工程大小、技术复杂程度、施工难易程度、施工自然条件，发包人按规定已考虑 </w:t>
            </w:r>
            <w:r>
              <w:rPr>
                <w:rFonts w:hint="eastAsia" w:cs="宋体"/>
                <w:color w:val="0000FF"/>
                <w:sz w:val="21"/>
                <w:szCs w:val="21"/>
                <w:highlight w:val="yellow"/>
                <w:u w:val="single"/>
                <w:lang w:val="en-US" w:eastAsia="zh-CN"/>
              </w:rPr>
              <w:t>1.5</w:t>
            </w:r>
            <w:r>
              <w:rPr>
                <w:rFonts w:hint="eastAsia" w:cs="宋体"/>
                <w:color w:val="0000FF"/>
                <w:sz w:val="21"/>
                <w:szCs w:val="21"/>
                <w:highlight w:val="yellow"/>
                <w:u w:val="single"/>
              </w:rPr>
              <w:t>%的风险包干系数计入在工程招标控制价中。承包人在投标报价时已考虑了上述风险因素并计取了风险包干费用。在风险范围内的工程造价包干，施工过程和竣工结算时将不再调整。</w:t>
            </w:r>
          </w:p>
          <w:p>
            <w:pPr>
              <w:pStyle w:val="9"/>
              <w:numPr>
                <w:ilvl w:val="0"/>
                <w:numId w:val="0"/>
              </w:numPr>
              <w:wordWrap w:val="0"/>
              <w:snapToGrid w:val="0"/>
              <w:spacing w:line="300" w:lineRule="auto"/>
              <w:jc w:val="left"/>
              <w:rPr>
                <w:rFonts w:hint="eastAsia" w:cs="宋体"/>
                <w:color w:val="0000FF"/>
                <w:sz w:val="21"/>
                <w:szCs w:val="21"/>
                <w:highlight w:val="yellow"/>
                <w:u w:val="single"/>
                <w:lang w:val="zh-CN"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708" w:type="dxa"/>
            <w:noWrap w:val="0"/>
            <w:vAlign w:val="center"/>
          </w:tcPr>
          <w:p>
            <w:pPr>
              <w:pStyle w:val="59"/>
              <w:pageBreakBefore w:val="0"/>
              <w:kinsoku/>
              <w:wordWrap/>
              <w:overflowPunct/>
              <w:topLinePunct w:val="0"/>
              <w:bidi w:val="0"/>
              <w:snapToGrid/>
              <w:spacing w:after="0" w:line="360" w:lineRule="auto"/>
              <w:ind w:left="0" w:firstLine="0"/>
              <w:jc w:val="center"/>
              <w:textAlignment w:val="top"/>
              <w:rPr>
                <w:rFonts w:hint="default" w:ascii="宋体" w:hAnsi="宋体" w:cs="宋体"/>
                <w:b w:val="0"/>
                <w:bCs w:val="0"/>
                <w:color w:val="0000FF"/>
                <w:szCs w:val="21"/>
                <w:highlight w:val="none"/>
                <w:lang w:val="en-US" w:eastAsia="zh-CN"/>
              </w:rPr>
            </w:pPr>
            <w:r>
              <w:rPr>
                <w:rFonts w:hint="eastAsia" w:ascii="宋体" w:hAnsi="宋体" w:cs="宋体"/>
                <w:b w:val="0"/>
                <w:bCs w:val="0"/>
                <w:color w:val="0000FF"/>
                <w:szCs w:val="21"/>
                <w:highlight w:val="none"/>
                <w:lang w:val="en-US" w:eastAsia="zh-CN"/>
              </w:rPr>
              <w:t>17</w:t>
            </w:r>
          </w:p>
        </w:tc>
        <w:tc>
          <w:tcPr>
            <w:tcW w:w="857" w:type="dxa"/>
            <w:noWrap w:val="0"/>
            <w:vAlign w:val="center"/>
          </w:tcPr>
          <w:p>
            <w:pPr>
              <w:pStyle w:val="59"/>
              <w:spacing w:after="0" w:line="300" w:lineRule="auto"/>
              <w:ind w:left="0" w:leftChars="0" w:firstLine="0" w:firstLineChars="0"/>
              <w:jc w:val="center"/>
              <w:textAlignment w:val="top"/>
              <w:rPr>
                <w:rFonts w:hint="default" w:eastAsia="宋体" w:cs="宋体"/>
                <w:color w:val="0000FF"/>
                <w:sz w:val="21"/>
                <w:szCs w:val="21"/>
                <w:highlight w:val="yellow"/>
                <w:lang w:val="en-US" w:eastAsia="zh-CN"/>
              </w:rPr>
            </w:pPr>
            <w:r>
              <w:rPr>
                <w:rFonts w:hint="eastAsia" w:cs="宋体"/>
                <w:color w:val="0000FF"/>
                <w:sz w:val="21"/>
                <w:szCs w:val="21"/>
                <w:highlight w:val="yellow"/>
                <w:lang w:val="en-US" w:eastAsia="zh-CN"/>
              </w:rPr>
              <w:t>12.1.2</w:t>
            </w:r>
          </w:p>
        </w:tc>
        <w:tc>
          <w:tcPr>
            <w:tcW w:w="3109" w:type="dxa"/>
            <w:noWrap w:val="0"/>
            <w:vAlign w:val="center"/>
          </w:tcPr>
          <w:p>
            <w:pPr>
              <w:adjustRightInd w:val="0"/>
              <w:spacing w:line="360" w:lineRule="auto"/>
              <w:ind w:firstLine="420" w:firstLineChars="200"/>
              <w:jc w:val="left"/>
              <w:textAlignment w:val="baseline"/>
              <w:rPr>
                <w:rFonts w:hint="eastAsia" w:cs="宋体"/>
                <w:color w:val="auto"/>
                <w:sz w:val="21"/>
                <w:szCs w:val="21"/>
                <w:highlight w:val="yellow"/>
                <w:u w:val="single"/>
              </w:rPr>
            </w:pPr>
            <w:r>
              <w:rPr>
                <w:rFonts w:hint="eastAsia" w:cs="宋体"/>
                <w:color w:val="auto"/>
                <w:sz w:val="21"/>
                <w:szCs w:val="21"/>
                <w:highlight w:val="yellow"/>
                <w:u w:val="single"/>
              </w:rPr>
              <w:t>（3）采用固定总价合同，出现以下几种情况合同价款可进行调整；</w:t>
            </w:r>
          </w:p>
          <w:p>
            <w:pPr>
              <w:adjustRightInd w:val="0"/>
              <w:spacing w:line="360" w:lineRule="auto"/>
              <w:ind w:firstLine="420" w:firstLineChars="200"/>
              <w:jc w:val="left"/>
              <w:textAlignment w:val="baseline"/>
              <w:rPr>
                <w:rFonts w:hint="eastAsia" w:cs="宋体"/>
                <w:color w:val="auto"/>
                <w:sz w:val="21"/>
                <w:szCs w:val="21"/>
                <w:highlight w:val="yellow"/>
                <w:u w:val="single"/>
              </w:rPr>
            </w:pPr>
            <w:r>
              <w:rPr>
                <w:rFonts w:hint="eastAsia" w:cs="宋体"/>
                <w:color w:val="auto"/>
                <w:sz w:val="21"/>
                <w:szCs w:val="21"/>
                <w:highlight w:val="yellow"/>
                <w:u w:val="single"/>
              </w:rPr>
              <w:t>①非承包人原因造成的变更，且变更程序符合相关规定的项目；</w:t>
            </w:r>
          </w:p>
          <w:p>
            <w:pPr>
              <w:adjustRightInd w:val="0"/>
              <w:spacing w:line="360" w:lineRule="auto"/>
              <w:ind w:firstLine="420" w:firstLineChars="200"/>
              <w:jc w:val="left"/>
              <w:textAlignment w:val="baseline"/>
              <w:rPr>
                <w:rFonts w:hint="eastAsia" w:cs="宋体"/>
                <w:color w:val="auto"/>
                <w:sz w:val="21"/>
                <w:szCs w:val="21"/>
                <w:highlight w:val="yellow"/>
                <w:u w:val="single"/>
              </w:rPr>
            </w:pPr>
            <w:r>
              <w:rPr>
                <w:rFonts w:hint="eastAsia" w:cs="宋体"/>
                <w:color w:val="auto"/>
                <w:sz w:val="21"/>
                <w:szCs w:val="21"/>
                <w:highlight w:val="yellow"/>
                <w:u w:val="single"/>
              </w:rPr>
              <w:t>②发包人提供的地质勘察结果与实际不符，导致基础工程发生变更的；</w:t>
            </w:r>
          </w:p>
          <w:p>
            <w:pPr>
              <w:adjustRightInd w:val="0"/>
              <w:spacing w:line="360" w:lineRule="auto"/>
              <w:ind w:firstLine="420" w:firstLineChars="200"/>
              <w:jc w:val="left"/>
              <w:textAlignment w:val="baseline"/>
              <w:rPr>
                <w:rFonts w:hint="eastAsia" w:cs="宋体"/>
                <w:color w:val="auto"/>
                <w:sz w:val="21"/>
                <w:szCs w:val="21"/>
                <w:highlight w:val="yellow"/>
                <w:u w:val="single"/>
              </w:rPr>
            </w:pPr>
            <w:r>
              <w:rPr>
                <w:rFonts w:hint="eastAsia" w:cs="宋体"/>
                <w:color w:val="auto"/>
                <w:sz w:val="21"/>
                <w:szCs w:val="21"/>
                <w:highlight w:val="yellow"/>
                <w:u w:val="single"/>
              </w:rPr>
              <w:t>③在施工期间福建省住房和城乡建设厅发布了人工费指数调整、厦门市建设局发布了厦门市人工费指数调整；</w:t>
            </w:r>
          </w:p>
          <w:p>
            <w:pPr>
              <w:adjustRightInd w:val="0"/>
              <w:spacing w:line="360" w:lineRule="auto"/>
              <w:ind w:firstLine="420" w:firstLineChars="200"/>
              <w:jc w:val="left"/>
              <w:textAlignment w:val="baseline"/>
              <w:rPr>
                <w:rFonts w:hint="eastAsia" w:cs="宋体"/>
                <w:color w:val="auto"/>
                <w:sz w:val="21"/>
                <w:szCs w:val="21"/>
                <w:highlight w:val="yellow"/>
                <w:u w:val="single"/>
              </w:rPr>
            </w:pPr>
            <w:r>
              <w:rPr>
                <w:rFonts w:hint="eastAsia" w:cs="宋体"/>
                <w:color w:val="auto"/>
                <w:sz w:val="21"/>
                <w:szCs w:val="21"/>
                <w:highlight w:val="yellow"/>
                <w:u w:val="single"/>
              </w:rPr>
              <w:t>④可调材料价格变动在本合同约定幅度以外的。</w:t>
            </w:r>
          </w:p>
          <w:p>
            <w:pPr>
              <w:adjustRightInd w:val="0"/>
              <w:spacing w:line="360" w:lineRule="auto"/>
              <w:ind w:firstLine="420" w:firstLineChars="200"/>
              <w:jc w:val="left"/>
              <w:textAlignment w:val="baseline"/>
              <w:rPr>
                <w:rFonts w:cs="宋体"/>
                <w:color w:val="auto"/>
                <w:sz w:val="21"/>
                <w:szCs w:val="21"/>
                <w:highlight w:val="yellow"/>
                <w:u w:val="single"/>
              </w:rPr>
            </w:pPr>
            <w:r>
              <w:rPr>
                <w:rFonts w:hint="eastAsia" w:cs="宋体"/>
                <w:color w:val="auto"/>
                <w:sz w:val="21"/>
                <w:szCs w:val="21"/>
                <w:highlight w:val="yellow"/>
                <w:u w:val="single"/>
              </w:rPr>
              <w:t>⑤合同执行期间税率若发生政策性调整，税金不作调整：合同执行期间，计税方式若发生政策性调整， 政策文件明确合同价款调整原则的，按政策执行；政策文件未明确合同价款调整原则的，税金不作调整。</w:t>
            </w:r>
          </w:p>
          <w:p>
            <w:pPr>
              <w:pStyle w:val="77"/>
              <w:numPr>
                <w:ilvl w:val="-1"/>
                <w:numId w:val="0"/>
              </w:numPr>
              <w:rPr>
                <w:rFonts w:hint="eastAsia" w:eastAsia="宋体" w:cs="Times New Roman"/>
                <w:color w:val="0000FF"/>
                <w:kern w:val="1"/>
                <w:szCs w:val="24"/>
                <w:highlight w:val="yellow"/>
                <w:lang w:val="zh-CN"/>
              </w:rPr>
            </w:pPr>
          </w:p>
        </w:tc>
        <w:tc>
          <w:tcPr>
            <w:tcW w:w="5362" w:type="dxa"/>
            <w:noWrap w:val="0"/>
            <w:vAlign w:val="center"/>
          </w:tcPr>
          <w:p>
            <w:pPr>
              <w:adjustRightInd w:val="0"/>
              <w:spacing w:line="360" w:lineRule="auto"/>
              <w:ind w:firstLine="420" w:firstLineChars="200"/>
              <w:jc w:val="left"/>
              <w:textAlignment w:val="baseline"/>
              <w:rPr>
                <w:rFonts w:hint="eastAsia" w:cs="宋体"/>
                <w:color w:val="auto"/>
                <w:sz w:val="21"/>
                <w:szCs w:val="21"/>
                <w:highlight w:val="yellow"/>
                <w:u w:val="single"/>
              </w:rPr>
            </w:pPr>
            <w:r>
              <w:rPr>
                <w:rFonts w:hint="eastAsia" w:cs="宋体"/>
                <w:color w:val="auto"/>
                <w:sz w:val="21"/>
                <w:szCs w:val="21"/>
                <w:highlight w:val="yellow"/>
                <w:u w:val="single"/>
              </w:rPr>
              <w:t>（3）采用固定总价合同，出现以下几种情况合同价款可进行调整；</w:t>
            </w:r>
          </w:p>
          <w:p>
            <w:pPr>
              <w:adjustRightInd w:val="0"/>
              <w:spacing w:line="360" w:lineRule="auto"/>
              <w:ind w:firstLine="420" w:firstLineChars="200"/>
              <w:jc w:val="left"/>
              <w:textAlignment w:val="baseline"/>
              <w:rPr>
                <w:rFonts w:hint="eastAsia" w:cs="宋体"/>
                <w:color w:val="auto"/>
                <w:sz w:val="21"/>
                <w:szCs w:val="21"/>
                <w:highlight w:val="yellow"/>
                <w:u w:val="single"/>
              </w:rPr>
            </w:pPr>
            <w:r>
              <w:rPr>
                <w:rFonts w:hint="eastAsia" w:cs="宋体"/>
                <w:color w:val="auto"/>
                <w:sz w:val="21"/>
                <w:szCs w:val="21"/>
                <w:highlight w:val="yellow"/>
                <w:u w:val="single"/>
              </w:rPr>
              <w:t>①非承包人原因造成的变更，且变更程序符合相关规定的项目；</w:t>
            </w:r>
          </w:p>
          <w:p>
            <w:pPr>
              <w:adjustRightInd w:val="0"/>
              <w:spacing w:line="360" w:lineRule="auto"/>
              <w:ind w:firstLine="420" w:firstLineChars="200"/>
              <w:jc w:val="left"/>
              <w:textAlignment w:val="baseline"/>
              <w:rPr>
                <w:rFonts w:hint="eastAsia" w:cs="宋体"/>
                <w:color w:val="auto"/>
                <w:sz w:val="21"/>
                <w:szCs w:val="21"/>
                <w:highlight w:val="yellow"/>
                <w:u w:val="single"/>
              </w:rPr>
            </w:pPr>
            <w:r>
              <w:rPr>
                <w:rFonts w:hint="eastAsia" w:cs="宋体"/>
                <w:color w:val="auto"/>
                <w:sz w:val="21"/>
                <w:szCs w:val="21"/>
                <w:highlight w:val="yellow"/>
                <w:u w:val="single"/>
              </w:rPr>
              <w:t>②发包人提供的地质勘察结果与实际不符，导致基础工程发生变更的；</w:t>
            </w:r>
          </w:p>
          <w:p>
            <w:pPr>
              <w:adjustRightInd w:val="0"/>
              <w:spacing w:line="360" w:lineRule="auto"/>
              <w:ind w:firstLine="420" w:firstLineChars="200"/>
              <w:jc w:val="left"/>
              <w:textAlignment w:val="baseline"/>
              <w:rPr>
                <w:rFonts w:hint="eastAsia" w:cs="宋体"/>
                <w:color w:val="auto"/>
                <w:sz w:val="21"/>
                <w:szCs w:val="21"/>
                <w:highlight w:val="yellow"/>
                <w:u w:val="single"/>
              </w:rPr>
            </w:pPr>
            <w:r>
              <w:rPr>
                <w:rFonts w:hint="eastAsia" w:cs="宋体"/>
                <w:color w:val="auto"/>
                <w:sz w:val="21"/>
                <w:szCs w:val="21"/>
                <w:highlight w:val="yellow"/>
                <w:u w:val="single"/>
              </w:rPr>
              <w:t>③在施工期间福建省住房和城乡建设厅发布了人工费指数调整、厦门市建设局发布了厦门市人工费指数调整；</w:t>
            </w:r>
          </w:p>
          <w:p>
            <w:pPr>
              <w:adjustRightInd w:val="0"/>
              <w:spacing w:line="360" w:lineRule="auto"/>
              <w:ind w:firstLine="420" w:firstLineChars="200"/>
              <w:jc w:val="left"/>
              <w:textAlignment w:val="baseline"/>
              <w:rPr>
                <w:rFonts w:hint="eastAsia" w:cs="宋体"/>
                <w:color w:val="auto"/>
                <w:sz w:val="21"/>
                <w:szCs w:val="21"/>
                <w:highlight w:val="yellow"/>
                <w:u w:val="single"/>
              </w:rPr>
            </w:pPr>
            <w:r>
              <w:rPr>
                <w:rFonts w:hint="eastAsia" w:cs="宋体"/>
                <w:color w:val="auto"/>
                <w:sz w:val="21"/>
                <w:szCs w:val="21"/>
                <w:highlight w:val="yellow"/>
                <w:u w:val="single"/>
              </w:rPr>
              <w:t>④可调材料价格变动在本合同约定幅度以外的。</w:t>
            </w:r>
          </w:p>
          <w:p>
            <w:pPr>
              <w:pStyle w:val="9"/>
              <w:numPr>
                <w:ilvl w:val="0"/>
                <w:numId w:val="0"/>
              </w:numPr>
              <w:wordWrap w:val="0"/>
              <w:snapToGrid w:val="0"/>
              <w:spacing w:line="300" w:lineRule="auto"/>
              <w:jc w:val="left"/>
              <w:rPr>
                <w:rFonts w:hint="eastAsia" w:ascii="宋体" w:hAnsi="宋体" w:eastAsia="宋体" w:cs="宋体"/>
                <w:b w:val="0"/>
                <w:bCs w:val="0"/>
                <w:color w:val="0000FF"/>
                <w:kern w:val="1"/>
                <w:sz w:val="21"/>
                <w:szCs w:val="21"/>
                <w:highlight w:val="yellow"/>
                <w:u w:val="single"/>
                <w:lang w:val="zh-CN" w:eastAsia="zh-CN" w:bidi="ar-SA"/>
              </w:rPr>
            </w:pPr>
            <w:r>
              <w:rPr>
                <w:rFonts w:hint="eastAsia" w:cs="宋体"/>
                <w:color w:val="auto"/>
                <w:sz w:val="21"/>
                <w:szCs w:val="21"/>
                <w:highlight w:val="yellow"/>
                <w:u w:val="single"/>
              </w:rPr>
              <w:t>⑤因承包人纳税人身份类别、纳税方式、政策调整等变化导致所开具发票种类或者税率变化的，合同不含税价款不变，并根据“合同不含税价款+承包人实际提供发票的增值税进项税额”计算合同总价。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08" w:type="dxa"/>
            <w:noWrap w:val="0"/>
            <w:vAlign w:val="center"/>
          </w:tcPr>
          <w:p>
            <w:pPr>
              <w:pStyle w:val="59"/>
              <w:pageBreakBefore w:val="0"/>
              <w:kinsoku/>
              <w:wordWrap/>
              <w:overflowPunct/>
              <w:topLinePunct w:val="0"/>
              <w:bidi w:val="0"/>
              <w:snapToGrid/>
              <w:spacing w:after="0" w:line="360" w:lineRule="auto"/>
              <w:ind w:left="0" w:firstLine="0"/>
              <w:jc w:val="center"/>
              <w:textAlignment w:val="top"/>
              <w:rPr>
                <w:rFonts w:hint="default" w:ascii="宋体" w:hAnsi="宋体" w:eastAsia="宋体" w:cs="宋体"/>
                <w:b w:val="0"/>
                <w:bCs w:val="0"/>
                <w:color w:val="0000FF"/>
                <w:szCs w:val="21"/>
                <w:highlight w:val="none"/>
                <w:lang w:val="en-US" w:eastAsia="zh-CN"/>
              </w:rPr>
            </w:pPr>
            <w:r>
              <w:rPr>
                <w:rFonts w:hint="eastAsia" w:ascii="宋体" w:hAnsi="宋体" w:cs="宋体"/>
                <w:b w:val="0"/>
                <w:bCs w:val="0"/>
                <w:color w:val="0000FF"/>
                <w:szCs w:val="21"/>
                <w:highlight w:val="none"/>
                <w:lang w:val="en-US" w:eastAsia="zh-CN"/>
              </w:rPr>
              <w:t>18</w:t>
            </w:r>
          </w:p>
        </w:tc>
        <w:tc>
          <w:tcPr>
            <w:tcW w:w="857" w:type="dxa"/>
            <w:noWrap w:val="0"/>
            <w:vAlign w:val="center"/>
          </w:tcPr>
          <w:p>
            <w:pPr>
              <w:pStyle w:val="59"/>
              <w:spacing w:after="0" w:line="300" w:lineRule="auto"/>
              <w:ind w:left="0" w:leftChars="0" w:firstLine="0" w:firstLineChars="0"/>
              <w:jc w:val="center"/>
              <w:textAlignment w:val="top"/>
              <w:rPr>
                <w:rFonts w:hint="default" w:ascii="宋体" w:hAnsi="宋体" w:eastAsia="宋体" w:cs="宋体"/>
                <w:color w:val="0000FF"/>
                <w:szCs w:val="21"/>
                <w:highlight w:val="none"/>
                <w:lang w:val="en-US" w:eastAsia="zh-CN"/>
              </w:rPr>
            </w:pPr>
            <w:r>
              <w:rPr>
                <w:rFonts w:hint="eastAsia" w:ascii="宋体" w:hAnsi="宋体" w:cs="宋体"/>
                <w:color w:val="0000FF"/>
                <w:szCs w:val="21"/>
                <w:highlight w:val="none"/>
                <w:lang w:val="en-US" w:eastAsia="zh-CN"/>
              </w:rPr>
              <w:t>12.4.4</w:t>
            </w:r>
          </w:p>
        </w:tc>
        <w:tc>
          <w:tcPr>
            <w:tcW w:w="3109" w:type="dxa"/>
            <w:noWrap w:val="0"/>
            <w:vAlign w:val="center"/>
          </w:tcPr>
          <w:p>
            <w:pPr>
              <w:pStyle w:val="59"/>
              <w:spacing w:after="0" w:line="300" w:lineRule="auto"/>
              <w:ind w:left="0" w:leftChars="0" w:firstLine="1098" w:firstLineChars="523"/>
              <w:jc w:val="both"/>
              <w:textAlignment w:val="top"/>
              <w:rPr>
                <w:rFonts w:hint="eastAsia" w:ascii="宋体" w:hAnsi="宋体" w:cs="宋体"/>
                <w:b/>
                <w:bCs/>
                <w:color w:val="0000FF"/>
                <w:szCs w:val="21"/>
                <w:highlight w:val="none"/>
                <w:lang w:val="zh-CN"/>
              </w:rPr>
            </w:pPr>
            <w:r>
              <w:rPr>
                <w:rFonts w:hint="eastAsia" w:ascii="宋体" w:hAnsi="宋体" w:cs="宋体"/>
                <w:b w:val="0"/>
                <w:bCs w:val="0"/>
                <w:color w:val="0000FF"/>
                <w:szCs w:val="21"/>
                <w:highlight w:val="none"/>
                <w:lang w:val="zh-CN"/>
              </w:rPr>
              <w:t>无</w:t>
            </w:r>
          </w:p>
        </w:tc>
        <w:tc>
          <w:tcPr>
            <w:tcW w:w="5362" w:type="dxa"/>
            <w:noWrap w:val="0"/>
            <w:vAlign w:val="center"/>
          </w:tcPr>
          <w:p>
            <w:pPr>
              <w:keepNext w:val="0"/>
              <w:keepLines w:val="0"/>
              <w:widowControl/>
              <w:suppressLineNumbers w:val="0"/>
              <w:jc w:val="left"/>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新增：</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（3） 付款要求：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FF0000"/>
                <w:sz w:val="21"/>
                <w:szCs w:val="21"/>
                <w:highlight w:val="none"/>
              </w:rPr>
            </w:pPr>
            <w:r>
              <w:rPr>
                <w:rFonts w:hint="eastAsia" w:ascii="宋体" w:hAnsi="宋体" w:eastAsia="宋体" w:cs="宋体"/>
                <w:color w:val="FF0000"/>
                <w:kern w:val="0"/>
                <w:sz w:val="21"/>
                <w:szCs w:val="21"/>
                <w:highlight w:val="none"/>
                <w:lang w:val="en-US" w:eastAsia="zh-CN" w:bidi="ar"/>
              </w:rPr>
              <w:t xml:space="preserve"> ①承包人根据施工进度申请支付工程款，工程款达不到100万元不予支付。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FF0000"/>
                <w:sz w:val="21"/>
                <w:szCs w:val="21"/>
                <w:highlight w:val="none"/>
              </w:rPr>
            </w:pPr>
            <w:r>
              <w:rPr>
                <w:rFonts w:hint="eastAsia" w:ascii="宋体" w:hAnsi="宋体" w:eastAsia="宋体" w:cs="宋体"/>
                <w:color w:val="FF0000"/>
                <w:kern w:val="0"/>
                <w:sz w:val="21"/>
                <w:szCs w:val="21"/>
                <w:highlight w:val="none"/>
                <w:lang w:val="en-US" w:eastAsia="zh-CN" w:bidi="ar"/>
              </w:rPr>
              <w:t xml:space="preserve">②银行转账方式支付工程进度款，每次实际银行转账方式支付工程进度款额为当期经核准进度款的85%。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FF0000"/>
                <w:sz w:val="21"/>
                <w:szCs w:val="21"/>
                <w:highlight w:val="none"/>
              </w:rPr>
            </w:pPr>
            <w:r>
              <w:rPr>
                <w:rFonts w:hint="eastAsia" w:ascii="宋体" w:hAnsi="宋体" w:eastAsia="宋体" w:cs="宋体"/>
                <w:color w:val="FF0000"/>
                <w:kern w:val="0"/>
                <w:sz w:val="21"/>
                <w:szCs w:val="21"/>
                <w:highlight w:val="none"/>
                <w:lang w:val="en-US" w:eastAsia="zh-CN" w:bidi="ar"/>
              </w:rPr>
              <w:t>③进度款支付累计达到合同价款（扣除暂列金额</w:t>
            </w:r>
            <w:r>
              <w:rPr>
                <w:rFonts w:hint="eastAsia" w:cs="宋体"/>
                <w:color w:val="FF0000"/>
                <w:kern w:val="0"/>
                <w:sz w:val="21"/>
                <w:szCs w:val="21"/>
                <w:highlight w:val="none"/>
                <w:lang w:val="en-US" w:eastAsia="zh-CN" w:bidi="ar"/>
              </w:rPr>
              <w:t>、暂估价</w:t>
            </w:r>
            <w:r>
              <w:rPr>
                <w:rFonts w:hint="eastAsia" w:ascii="宋体" w:hAnsi="宋体" w:eastAsia="宋体" w:cs="宋体"/>
                <w:color w:val="FF0000"/>
                <w:kern w:val="0"/>
                <w:sz w:val="21"/>
                <w:szCs w:val="21"/>
                <w:highlight w:val="none"/>
                <w:lang w:val="en-US" w:eastAsia="zh-CN" w:bidi="ar"/>
              </w:rPr>
              <w:t xml:space="preserve">）的85%时，停止支付。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FF0000"/>
                <w:sz w:val="21"/>
                <w:szCs w:val="21"/>
                <w:highlight w:val="none"/>
              </w:rPr>
            </w:pPr>
            <w:r>
              <w:rPr>
                <w:rFonts w:hint="eastAsia" w:ascii="宋体" w:hAnsi="宋体" w:eastAsia="宋体" w:cs="宋体"/>
                <w:color w:val="FF0000"/>
                <w:kern w:val="0"/>
                <w:sz w:val="21"/>
                <w:szCs w:val="21"/>
                <w:highlight w:val="none"/>
                <w:lang w:val="en-US" w:eastAsia="zh-CN" w:bidi="ar"/>
              </w:rPr>
              <w:t xml:space="preserve">④本工程完工经各方共同验收合格、工程完整交付，发包人委托的第三方审核单位出具竣工结算审核结论书且承包人协助发包人完成工程档案归档并取得厦门市建设工程档案认可书后，按审核结论金额支付至结算价的97%（承包人需提交与竣工结算审核结论书金额一致的100%正规合法发票），若已支付的款项超过结算价格，承包人应无条件在15个工作日内退还发包人超付款项。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FF0000"/>
                <w:sz w:val="21"/>
                <w:szCs w:val="21"/>
                <w:highlight w:val="none"/>
              </w:rPr>
            </w:pPr>
            <w:r>
              <w:rPr>
                <w:rFonts w:hint="eastAsia" w:ascii="宋体" w:hAnsi="宋体" w:eastAsia="宋体" w:cs="宋体"/>
                <w:color w:val="FF0000"/>
                <w:kern w:val="0"/>
                <w:sz w:val="21"/>
                <w:szCs w:val="21"/>
                <w:highlight w:val="none"/>
                <w:lang w:val="en-US" w:eastAsia="zh-CN" w:bidi="ar"/>
              </w:rPr>
              <w:t xml:space="preserve">⑤剩余结算价3%作为本工程的保修金，工程保修金在工程保修期后满后返还（扣除维修金及维修不及时造成的违约金），且保修金不计利息。工程质量保修金的返还办法：工程保修金在工程竣工验收合格满二年后返还保修金的60%（须扣除当期维修不及时造成的违约金），剩余的40%保修金在工程竣工验收合格满五年后返还（须扣除当期维修不及时造成的违约金），且保修金不计利息。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FF0000"/>
                <w:sz w:val="21"/>
                <w:szCs w:val="21"/>
                <w:highlight w:val="none"/>
              </w:rPr>
            </w:pPr>
            <w:r>
              <w:rPr>
                <w:rFonts w:hint="eastAsia" w:ascii="宋体" w:hAnsi="宋体" w:eastAsia="宋体" w:cs="宋体"/>
                <w:color w:val="FF0000"/>
                <w:kern w:val="0"/>
                <w:sz w:val="21"/>
                <w:szCs w:val="21"/>
                <w:highlight w:val="none"/>
                <w:lang w:val="en-US" w:eastAsia="zh-CN" w:bidi="ar"/>
              </w:rPr>
              <w:t xml:space="preserve">⑥以上为最高付款比例，发包人有权根据建设单位及发包人质量安全文明检查结果情况，采取暂缓支付进度款或降低后续进度款支付比例，直到承包人采取有效整改措施并整改到位后为止。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FF0000"/>
                <w:sz w:val="21"/>
                <w:szCs w:val="21"/>
                <w:highlight w:val="none"/>
              </w:rPr>
            </w:pPr>
            <w:r>
              <w:rPr>
                <w:rFonts w:hint="eastAsia" w:ascii="宋体" w:hAnsi="宋体" w:eastAsia="宋体" w:cs="宋体"/>
                <w:color w:val="FF0000"/>
                <w:kern w:val="0"/>
                <w:sz w:val="21"/>
                <w:szCs w:val="21"/>
                <w:highlight w:val="none"/>
                <w:lang w:val="en-US" w:eastAsia="zh-CN" w:bidi="ar"/>
              </w:rPr>
              <w:t xml:space="preserve">⑦以上合同价为含税价，发包人支付每一笔款项前（包含预付款、进度款、结算款等），相应款项均须经建设单位和发包人审核后且收到承包人提交合规的付款申请和与应支付款项金额相符的全额正规增值税发票，且均附有发包人及监理工程师出具的验收合格意见或其他书面确认意见等，否则发包人有权拒付当期或后期各项款项且无须承担责任。施工过程的工程经济签证支付以建设单位核定金额为准，并按相关约定执行。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FF0000"/>
                <w:sz w:val="21"/>
                <w:szCs w:val="21"/>
                <w:highlight w:val="none"/>
              </w:rPr>
            </w:pPr>
            <w:r>
              <w:rPr>
                <w:rFonts w:hint="eastAsia" w:ascii="宋体" w:hAnsi="宋体" w:eastAsia="宋体" w:cs="宋体"/>
                <w:color w:val="FF0000"/>
                <w:kern w:val="0"/>
                <w:sz w:val="21"/>
                <w:szCs w:val="21"/>
                <w:highlight w:val="none"/>
                <w:lang w:val="en-US" w:eastAsia="zh-CN" w:bidi="ar"/>
              </w:rPr>
              <w:t xml:space="preserve">⑧代扣代支付、违约罚金的扣除时间：发包人不垫付资金（含水电费、违约罚金等），承包人在本合同项下应承担的违约金、赔偿金、罚款、损失赔偿等由发包人直接自当期应付工程进度款中扣除。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FF0000"/>
                <w:kern w:val="0"/>
                <w:sz w:val="21"/>
                <w:szCs w:val="21"/>
                <w:highlight w:val="none"/>
                <w:lang w:val="en-US" w:eastAsia="zh-CN" w:bidi="ar"/>
              </w:rPr>
            </w:pPr>
            <w:r>
              <w:rPr>
                <w:rFonts w:hint="eastAsia" w:ascii="宋体" w:hAnsi="宋体" w:eastAsia="宋体" w:cs="宋体"/>
                <w:color w:val="FF0000"/>
                <w:kern w:val="0"/>
                <w:sz w:val="21"/>
                <w:szCs w:val="21"/>
                <w:highlight w:val="none"/>
                <w:lang w:val="en-US" w:eastAsia="zh-CN" w:bidi="ar"/>
              </w:rPr>
              <w:t>⑨若承包人发生一般以上质量、安全事故（按有关安全质量事故规定进行界定），或本工程工期因承包人原因延误的，发包人均有权暂停付款且无须承担责任。”</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cs="宋体"/>
                <w:color w:val="FF0000"/>
                <w:sz w:val="21"/>
                <w:szCs w:val="21"/>
                <w:highlight w:val="none"/>
                <w:lang w:bidi="ar"/>
              </w:rPr>
            </w:pPr>
            <w:r>
              <w:rPr>
                <w:rFonts w:hint="eastAsia" w:ascii="宋体" w:hAnsi="宋体" w:eastAsia="宋体" w:cs="宋体"/>
                <w:color w:val="FF0000"/>
                <w:kern w:val="0"/>
                <w:sz w:val="21"/>
                <w:szCs w:val="21"/>
                <w:highlight w:val="none"/>
                <w:lang w:val="en-US" w:eastAsia="zh-CN" w:bidi="ar"/>
              </w:rPr>
              <w:t xml:space="preserve"> </w:t>
            </w:r>
            <w:r>
              <w:rPr>
                <w:rFonts w:hint="eastAsia" w:cs="宋体"/>
                <w:color w:val="FF0000"/>
                <w:sz w:val="21"/>
                <w:szCs w:val="21"/>
                <w:highlight w:val="none"/>
                <w:lang w:bidi="ar"/>
              </w:rPr>
              <w:t>⑩本项目每月人工费按照月进度款的20%的比例拨付，建设单位或发包人应将人工费直接拨付至本项目的农民工工资专用账户。因赶工期、更换劳务队伍等原因造成当期人工费数额临时增加情形，由承包人作出书面申请及具体说明，发包人报建设单位同意申请后将增加的人工费数额拨付至本项目的农民工工资专用账户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cs="宋体"/>
                <w:color w:val="FF0000"/>
                <w:sz w:val="21"/>
                <w:szCs w:val="21"/>
                <w:highlight w:val="none"/>
                <w:lang w:bidi="ar"/>
              </w:rPr>
            </w:pPr>
            <w:r>
              <w:rPr>
                <w:rFonts w:hint="eastAsia" w:cs="宋体"/>
                <w:color w:val="FF0000"/>
                <w:sz w:val="21"/>
                <w:szCs w:val="21"/>
                <w:highlight w:val="none"/>
                <w:lang w:bidi="ar"/>
              </w:rPr>
              <w:t>⑪本项目建设单位为</w:t>
            </w:r>
            <w:r>
              <w:rPr>
                <w:rFonts w:hint="eastAsia" w:ascii="宋体" w:hAnsi="宋体" w:eastAsia="宋体" w:cs="宋体"/>
                <w:color w:val="FF0000"/>
                <w:sz w:val="21"/>
                <w:szCs w:val="21"/>
                <w:highlight w:val="none"/>
                <w:lang w:val="en-US" w:eastAsia="zh-CN" w:bidi="ar"/>
              </w:rPr>
              <w:t>厦门信达物联科技有限公司</w:t>
            </w:r>
            <w:r>
              <w:rPr>
                <w:rFonts w:hint="eastAsia" w:cs="宋体"/>
                <w:color w:val="FF0000"/>
                <w:sz w:val="21"/>
                <w:szCs w:val="21"/>
                <w:highlight w:val="none"/>
                <w:lang w:bidi="ar"/>
              </w:rPr>
              <w:t>，代建单位为</w:t>
            </w:r>
            <w:r>
              <w:rPr>
                <w:rFonts w:hint="eastAsia" w:ascii="宋体" w:hAnsi="宋体" w:eastAsia="宋体" w:cs="宋体"/>
                <w:color w:val="FF0000"/>
                <w:sz w:val="21"/>
                <w:szCs w:val="21"/>
                <w:highlight w:val="none"/>
                <w:lang w:val="en-US" w:eastAsia="zh-CN" w:bidi="ar"/>
              </w:rPr>
              <w:t>厦门国贸建设开发有限公司</w:t>
            </w:r>
            <w:r>
              <w:rPr>
                <w:rFonts w:hint="eastAsia" w:cs="宋体"/>
                <w:color w:val="FF0000"/>
                <w:sz w:val="21"/>
                <w:szCs w:val="21"/>
                <w:highlight w:val="none"/>
                <w:lang w:bidi="ar"/>
              </w:rPr>
              <w:t>，本合同项下的相关款项由项目建设单位直接支付，</w:t>
            </w:r>
            <w:r>
              <w:rPr>
                <w:rFonts w:hint="eastAsia" w:ascii="宋体" w:hAnsi="宋体" w:eastAsia="宋体" w:cs="宋体"/>
                <w:color w:val="FF0000"/>
                <w:sz w:val="21"/>
                <w:szCs w:val="21"/>
                <w:highlight w:val="none"/>
                <w:lang w:val="en-US" w:eastAsia="zh-CN" w:bidi="ar"/>
              </w:rPr>
              <w:t>承包人</w:t>
            </w:r>
            <w:r>
              <w:rPr>
                <w:rFonts w:hint="eastAsia" w:cs="宋体"/>
                <w:color w:val="FF0000"/>
                <w:sz w:val="21"/>
                <w:szCs w:val="21"/>
                <w:highlight w:val="none"/>
                <w:lang w:bidi="ar"/>
              </w:rPr>
              <w:t>开具的发票应</w:t>
            </w:r>
            <w:r>
              <w:rPr>
                <w:rFonts w:hint="eastAsia" w:ascii="宋体" w:hAnsi="宋体" w:eastAsia="宋体" w:cs="宋体"/>
                <w:color w:val="FF0000"/>
                <w:sz w:val="21"/>
                <w:szCs w:val="21"/>
                <w:highlight w:val="none"/>
                <w:lang w:val="en-US" w:eastAsia="zh-CN" w:bidi="ar"/>
              </w:rPr>
              <w:t>以</w:t>
            </w:r>
            <w:r>
              <w:rPr>
                <w:rFonts w:hint="eastAsia" w:cs="宋体"/>
                <w:color w:val="FF0000"/>
                <w:sz w:val="21"/>
                <w:szCs w:val="21"/>
                <w:highlight w:val="none"/>
                <w:lang w:bidi="ar"/>
              </w:rPr>
              <w:t>建设单位</w:t>
            </w:r>
            <w:r>
              <w:rPr>
                <w:rFonts w:hint="eastAsia" w:ascii="宋体" w:hAnsi="宋体" w:eastAsia="宋体" w:cs="宋体"/>
                <w:color w:val="FF0000"/>
                <w:sz w:val="21"/>
                <w:szCs w:val="21"/>
                <w:highlight w:val="none"/>
                <w:lang w:val="en-US" w:eastAsia="zh-CN" w:bidi="ar"/>
              </w:rPr>
              <w:t>为抬头</w:t>
            </w:r>
            <w:r>
              <w:rPr>
                <w:rFonts w:hint="eastAsia" w:cs="宋体"/>
                <w:color w:val="FF0000"/>
                <w:sz w:val="21"/>
                <w:szCs w:val="21"/>
                <w:highlight w:val="none"/>
                <w:lang w:bidi="ar"/>
              </w:rPr>
              <w:t>。建设单位收到承包人合法有效的增值税专用发票后为支付的前提，并按相关规定给予拨付。承包人未向建设单位提交合法且符合本合同约定的合格发票前，建设单位有权暂不支付对应款项，且建设单位无需就此承担任何违约责任。</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FF0000"/>
                <w:sz w:val="21"/>
                <w:szCs w:val="21"/>
                <w:highlight w:val="none"/>
                <w:lang w:val="en-US" w:eastAsia="zh-CN" w:bidi="ar"/>
              </w:rPr>
              <w:fldChar w:fldCharType="begin"/>
            </w:r>
            <w:r>
              <w:rPr>
                <w:rFonts w:hint="eastAsia" w:ascii="宋体" w:hAnsi="宋体" w:eastAsia="宋体" w:cs="宋体"/>
                <w:color w:val="FF0000"/>
                <w:sz w:val="21"/>
                <w:szCs w:val="21"/>
                <w:highlight w:val="none"/>
                <w:lang w:val="en-US" w:eastAsia="zh-CN" w:bidi="ar"/>
              </w:rPr>
              <w:instrText xml:space="preserve"> EQ \o\ac(○,</w:instrText>
            </w:r>
            <w:r>
              <w:rPr>
                <w:rFonts w:hint="eastAsia" w:ascii="宋体" w:hAnsi="宋体" w:eastAsia="宋体" w:cs="宋体"/>
                <w:color w:val="FF0000"/>
                <w:position w:val="2"/>
                <w:sz w:val="14"/>
                <w:szCs w:val="21"/>
                <w:highlight w:val="none"/>
                <w:lang w:val="en-US" w:eastAsia="zh-CN" w:bidi="ar"/>
              </w:rPr>
              <w:instrText xml:space="preserve">12</w:instrText>
            </w:r>
            <w:r>
              <w:rPr>
                <w:rFonts w:hint="eastAsia" w:ascii="宋体" w:hAnsi="宋体" w:eastAsia="宋体" w:cs="宋体"/>
                <w:color w:val="FF0000"/>
                <w:sz w:val="21"/>
                <w:szCs w:val="21"/>
                <w:highlight w:val="none"/>
                <w:lang w:val="en-US" w:eastAsia="zh-CN" w:bidi="ar"/>
              </w:rPr>
              <w:instrText xml:space="preserve">)</w:instrText>
            </w:r>
            <w:r>
              <w:rPr>
                <w:rFonts w:hint="eastAsia" w:ascii="宋体" w:hAnsi="宋体" w:eastAsia="宋体" w:cs="宋体"/>
                <w:color w:val="FF0000"/>
                <w:sz w:val="21"/>
                <w:szCs w:val="21"/>
                <w:highlight w:val="none"/>
                <w:lang w:val="en-US" w:eastAsia="zh-CN" w:bidi="ar"/>
              </w:rPr>
              <w:fldChar w:fldCharType="end"/>
            </w:r>
            <w:r>
              <w:rPr>
                <w:rFonts w:hint="eastAsia" w:cs="宋体"/>
                <w:color w:val="FF0000"/>
                <w:sz w:val="21"/>
                <w:szCs w:val="21"/>
                <w:highlight w:val="none"/>
                <w:lang w:bidi="ar"/>
              </w:rPr>
              <w:t>工程款支付时，应与发包人的第三方工程质量过程评估考核结果挂钩，并按附件 “第三方工程质量过程评估考核办法”的规定进行奖惩。奖励金及处罚金发放与扣除，均在评估结果公布后的一个月进度款支付时间同步发放或扣除。奖励金全额发放，处罚金全额扣除。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708" w:type="dxa"/>
            <w:noWrap w:val="0"/>
            <w:vAlign w:val="center"/>
          </w:tcPr>
          <w:p>
            <w:pPr>
              <w:pStyle w:val="59"/>
              <w:pageBreakBefore w:val="0"/>
              <w:kinsoku/>
              <w:wordWrap/>
              <w:overflowPunct/>
              <w:topLinePunct w:val="0"/>
              <w:bidi w:val="0"/>
              <w:snapToGrid/>
              <w:spacing w:after="0" w:line="360" w:lineRule="auto"/>
              <w:ind w:left="0" w:firstLine="0"/>
              <w:jc w:val="center"/>
              <w:textAlignment w:val="top"/>
              <w:rPr>
                <w:rFonts w:hint="default" w:ascii="宋体" w:hAnsi="宋体" w:eastAsia="宋体" w:cs="宋体"/>
                <w:b w:val="0"/>
                <w:bCs w:val="0"/>
                <w:color w:val="0000FF"/>
                <w:szCs w:val="21"/>
                <w:highlight w:val="none"/>
                <w:lang w:val="en-US" w:eastAsia="zh-CN"/>
              </w:rPr>
            </w:pPr>
            <w:r>
              <w:rPr>
                <w:rFonts w:hint="eastAsia" w:ascii="宋体" w:hAnsi="宋体" w:cs="宋体"/>
                <w:b w:val="0"/>
                <w:bCs w:val="0"/>
                <w:color w:val="0000FF"/>
                <w:szCs w:val="21"/>
                <w:highlight w:val="none"/>
                <w:lang w:val="en-US" w:eastAsia="zh-CN"/>
              </w:rPr>
              <w:t>19</w:t>
            </w:r>
          </w:p>
        </w:tc>
        <w:tc>
          <w:tcPr>
            <w:tcW w:w="857" w:type="dxa"/>
            <w:noWrap w:val="0"/>
            <w:vAlign w:val="center"/>
          </w:tcPr>
          <w:p>
            <w:pPr>
              <w:pStyle w:val="59"/>
              <w:spacing w:after="0" w:line="300" w:lineRule="auto"/>
              <w:ind w:left="0" w:leftChars="0" w:firstLine="0" w:firstLineChars="0"/>
              <w:jc w:val="center"/>
              <w:textAlignment w:val="top"/>
              <w:rPr>
                <w:rFonts w:hint="default" w:ascii="宋体" w:hAnsi="宋体" w:eastAsia="宋体" w:cs="宋体"/>
                <w:b w:val="0"/>
                <w:bCs w:val="0"/>
                <w:color w:val="0000FF"/>
                <w:sz w:val="21"/>
                <w:szCs w:val="21"/>
                <w:highlight w:val="none"/>
                <w:lang w:val="en-US" w:eastAsia="zh-CN"/>
              </w:rPr>
            </w:pPr>
            <w:r>
              <w:rPr>
                <w:rFonts w:hint="eastAsia" w:ascii="宋体" w:hAnsi="宋体" w:cs="宋体"/>
                <w:b w:val="0"/>
                <w:bCs w:val="0"/>
                <w:color w:val="0000FF"/>
                <w:sz w:val="21"/>
                <w:szCs w:val="21"/>
                <w:highlight w:val="none"/>
                <w:lang w:val="en-US" w:eastAsia="zh-CN"/>
              </w:rPr>
              <w:t>21</w:t>
            </w:r>
          </w:p>
        </w:tc>
        <w:tc>
          <w:tcPr>
            <w:tcW w:w="3109" w:type="dxa"/>
            <w:noWrap w:val="0"/>
            <w:vAlign w:val="center"/>
          </w:tcPr>
          <w:p>
            <w:pPr>
              <w:pStyle w:val="59"/>
              <w:spacing w:after="0" w:line="300" w:lineRule="auto"/>
              <w:ind w:left="0" w:leftChars="0" w:firstLine="420" w:firstLineChars="0"/>
              <w:jc w:val="center"/>
              <w:textAlignment w:val="top"/>
              <w:rPr>
                <w:rFonts w:hint="eastAsia" w:ascii="宋体" w:hAnsi="宋体" w:eastAsia="宋体" w:cs="宋体"/>
                <w:b w:val="0"/>
                <w:bCs w:val="0"/>
                <w:color w:val="0000FF"/>
                <w:szCs w:val="21"/>
                <w:highlight w:val="none"/>
                <w:lang w:val="zh-CN"/>
              </w:rPr>
            </w:pPr>
            <w:r>
              <w:rPr>
                <w:rFonts w:hint="eastAsia" w:ascii="宋体" w:hAnsi="宋体" w:cs="宋体"/>
                <w:b w:val="0"/>
                <w:bCs w:val="0"/>
                <w:color w:val="0000FF"/>
                <w:szCs w:val="21"/>
                <w:highlight w:val="none"/>
                <w:lang w:val="zh-CN"/>
              </w:rPr>
              <w:t>无</w:t>
            </w:r>
          </w:p>
        </w:tc>
        <w:tc>
          <w:tcPr>
            <w:tcW w:w="5362" w:type="dxa"/>
            <w:noWrap w:val="0"/>
            <w:vAlign w:val="center"/>
          </w:tcPr>
          <w:p>
            <w:pPr>
              <w:pStyle w:val="59"/>
              <w:keepNext w:val="0"/>
              <w:keepLines w:val="0"/>
              <w:pageBreakBefore w:val="0"/>
              <w:widowControl w:val="0"/>
              <w:kinsoku/>
              <w:wordWrap/>
              <w:overflowPunct/>
              <w:topLinePunct w:val="0"/>
              <w:bidi w:val="0"/>
              <w:snapToGrid/>
              <w:spacing w:after="0" w:line="360" w:lineRule="auto"/>
              <w:ind w:left="0" w:leftChars="0" w:firstLine="0" w:firstLineChars="0"/>
              <w:jc w:val="both"/>
              <w:textAlignment w:val="auto"/>
              <w:rPr>
                <w:rFonts w:hint="eastAsia" w:ascii="宋体" w:hAnsi="宋体" w:eastAsia="宋体" w:cs="宋体"/>
                <w:b w:val="0"/>
                <w:bCs w:val="0"/>
                <w:color w:val="0000FF"/>
                <w:sz w:val="21"/>
                <w:szCs w:val="21"/>
                <w:highlight w:val="none"/>
                <w:u w:val="none"/>
                <w:lang w:val="en-US" w:eastAsia="zh-CN"/>
              </w:rPr>
            </w:pPr>
            <w:r>
              <w:rPr>
                <w:rFonts w:hint="eastAsia" w:ascii="宋体" w:hAnsi="宋体" w:eastAsia="宋体" w:cs="宋体"/>
                <w:b w:val="0"/>
                <w:bCs w:val="0"/>
                <w:color w:val="0000FF"/>
                <w:sz w:val="21"/>
                <w:szCs w:val="21"/>
                <w:highlight w:val="none"/>
                <w:u w:val="none"/>
                <w:lang w:val="zh-CN"/>
              </w:rPr>
              <w:t>新增：</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b w:val="0"/>
                <w:bCs w:val="0"/>
                <w:color w:val="0000FF"/>
                <w:sz w:val="21"/>
                <w:szCs w:val="21"/>
                <w:highlight w:val="none"/>
                <w:u w:val="none"/>
              </w:rPr>
            </w:pPr>
            <w:r>
              <w:rPr>
                <w:rFonts w:hint="eastAsia" w:ascii="宋体" w:hAnsi="宋体" w:eastAsia="宋体" w:cs="宋体"/>
                <w:b w:val="0"/>
                <w:bCs w:val="0"/>
                <w:color w:val="0000FF"/>
                <w:kern w:val="0"/>
                <w:sz w:val="21"/>
                <w:szCs w:val="21"/>
                <w:highlight w:val="none"/>
                <w:u w:val="none"/>
                <w:lang w:val="en-US" w:eastAsia="zh-CN" w:bidi="ar"/>
              </w:rPr>
              <w:t xml:space="preserve">21.其他条款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b/>
                <w:bCs/>
                <w:color w:val="0000FF"/>
                <w:sz w:val="21"/>
                <w:szCs w:val="21"/>
                <w:highlight w:val="none"/>
                <w:u w:val="none"/>
              </w:rPr>
            </w:pPr>
            <w:r>
              <w:rPr>
                <w:rFonts w:hint="eastAsia" w:ascii="宋体" w:hAnsi="宋体" w:eastAsia="宋体" w:cs="宋体"/>
                <w:b/>
                <w:bCs/>
                <w:color w:val="0000FF"/>
                <w:kern w:val="0"/>
                <w:sz w:val="21"/>
                <w:szCs w:val="21"/>
                <w:highlight w:val="none"/>
                <w:u w:val="none"/>
                <w:lang w:val="en-US" w:eastAsia="zh-CN" w:bidi="ar"/>
              </w:rPr>
              <w:t xml:space="preserve">1、承包人现场项目管理班子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1）承包人在收到监理工程师签发的开工令之前，投标书内承诺配备的项目管理班子必须在监理工程师指定的日期进场，以保证项目管理机构有效运转。承包人在投标书中承诺配置的项目负责人必须常驻现场，工程施工项目负责人和项目管理班子其他成员必须是该工程投标时所承诺的项目管理班子成员，且在本工程施工期间（包括准备和收尾阶段）均须专职在岗、坚守施工现场，不得兼任其他项目任何职务。各项具体工作应落实到人，专职质检员、安全员必须根据项目要求配置到位。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2）在约定时间内人员不能到位或脱岗的，属承包人违约：其中项目负责人、技术负责人每拖延进场或脱岗1日历天从工程款扣除人民币10000元/人，其它人员每拖延进场或脱岗1日历天从工程款扣除人民币5000元/人；所有隐蔽报验的部分，发包人和监理工程师验收时，承包人项目负责人、质检员及施工员必须到场，如未到场的从工程款中扣除人民币2000元/人•次；以上人员累计被处罚超过三次的，发包人有权要求承包人更换人员。若本项目承包人的项目负责人、生产负责人或技术负责人被处罚超过三次的，自第4次起，承包人应向发包人支付违约金人民币50000元/次•人，同时发包人有权解除合同，并要求承包人赔偿由此带来的损失。在工程施工期间，未经监理工程师和发包人批准，承包人的施工管理人员缺员30%（含）以上，在监理工程师发出3次（含）书面警告后5日内，发包人有权终止本合同，承包人对此不持异议。承包人项目经理必须参加由监理单位主持的每周工程例会，因故不能参加的应提前4小时向监理单位总监理工程师、发包人提出申请并在获得批准后方可缺席，否则承包人须向发包人支付违约金2000元/人次。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3）承包人在投标书中承诺配备的项目管理班子人员不得随意更换。若项目管理成员因刑事犯罪、伤病丧失工作能力等确属不能履行职责需要变更的，所变更人员的资格、业绩和信誉不得低于中标时的条件，并经监理单位审核后报发包人同意，同时报招投标监管机构备案，接任人需无条件全面履行承包人应承担的义务和责任。且除因人员退休、死亡、伤残外，更换项目负责人、技术负责人的按人民币</w:t>
            </w:r>
            <w:r>
              <w:rPr>
                <w:rFonts w:hint="eastAsia" w:cs="宋体"/>
                <w:color w:val="0000FF"/>
                <w:kern w:val="0"/>
                <w:sz w:val="21"/>
                <w:szCs w:val="21"/>
                <w:highlight w:val="none"/>
                <w:u w:val="none"/>
                <w:lang w:val="en-US" w:eastAsia="zh-CN" w:bidi="ar"/>
              </w:rPr>
              <w:t>50</w:t>
            </w:r>
            <w:r>
              <w:rPr>
                <w:rFonts w:hint="eastAsia" w:ascii="宋体" w:hAnsi="宋体" w:eastAsia="宋体" w:cs="宋体"/>
                <w:color w:val="0000FF"/>
                <w:kern w:val="0"/>
                <w:sz w:val="21"/>
                <w:szCs w:val="21"/>
                <w:highlight w:val="none"/>
                <w:u w:val="none"/>
                <w:lang w:val="en-US" w:eastAsia="zh-CN" w:bidi="ar"/>
              </w:rPr>
              <w:t>万元/人•次，更换生产负责人按人民币</w:t>
            </w:r>
            <w:r>
              <w:rPr>
                <w:rFonts w:hint="eastAsia" w:cs="宋体"/>
                <w:color w:val="0000FF"/>
                <w:kern w:val="0"/>
                <w:sz w:val="21"/>
                <w:szCs w:val="21"/>
                <w:highlight w:val="none"/>
                <w:u w:val="none"/>
                <w:lang w:val="en-US" w:eastAsia="zh-CN" w:bidi="ar"/>
              </w:rPr>
              <w:t>20</w:t>
            </w:r>
            <w:r>
              <w:rPr>
                <w:rFonts w:hint="eastAsia" w:ascii="宋体" w:hAnsi="宋体" w:eastAsia="宋体" w:cs="宋体"/>
                <w:color w:val="0000FF"/>
                <w:kern w:val="0"/>
                <w:sz w:val="21"/>
                <w:szCs w:val="21"/>
                <w:highlight w:val="none"/>
                <w:u w:val="none"/>
                <w:lang w:val="en-US" w:eastAsia="zh-CN" w:bidi="ar"/>
              </w:rPr>
              <w:t>万元/人•次，更换施工员、安全员、质检员、试验员按人民币</w:t>
            </w:r>
            <w:r>
              <w:rPr>
                <w:rFonts w:hint="eastAsia" w:cs="宋体"/>
                <w:color w:val="0000FF"/>
                <w:kern w:val="0"/>
                <w:sz w:val="21"/>
                <w:szCs w:val="21"/>
                <w:highlight w:val="none"/>
                <w:u w:val="none"/>
                <w:lang w:val="en-US" w:eastAsia="zh-CN" w:bidi="ar"/>
              </w:rPr>
              <w:t>5</w:t>
            </w:r>
            <w:r>
              <w:rPr>
                <w:rFonts w:hint="eastAsia" w:ascii="宋体" w:hAnsi="宋体" w:eastAsia="宋体" w:cs="宋体"/>
                <w:color w:val="0000FF"/>
                <w:kern w:val="0"/>
                <w:sz w:val="21"/>
                <w:szCs w:val="21"/>
                <w:highlight w:val="none"/>
                <w:u w:val="none"/>
                <w:lang w:val="en-US" w:eastAsia="zh-CN" w:bidi="ar"/>
              </w:rPr>
              <w:t>万元/人•次。当发包人有合理理由认为承包人的人员在执行合同中玩忽职守、不能胜任、无证上岗、与投标书不符、不能配合发包人正常工作、对施工质量/进度不负责任、工作责任心不强或做出了严重违反现场管理规定的行为，发包人有权要求承包人更换他人接替工作，并按上述更换人员的有关约定对承包人进行处罚。上述违约金从工程款中扣除，且工期不予顺延。承包人未按本合同约定，擅自更换项目管理成员的，应承担如下违约责任：更换项目负责人、技术负责人的按人民币</w:t>
            </w:r>
            <w:r>
              <w:rPr>
                <w:rFonts w:hint="eastAsia" w:cs="宋体"/>
                <w:color w:val="0000FF"/>
                <w:kern w:val="0"/>
                <w:sz w:val="21"/>
                <w:szCs w:val="21"/>
                <w:highlight w:val="none"/>
                <w:u w:val="none"/>
                <w:lang w:val="en-US" w:eastAsia="zh-CN" w:bidi="ar"/>
              </w:rPr>
              <w:t>50</w:t>
            </w:r>
            <w:r>
              <w:rPr>
                <w:rFonts w:hint="eastAsia" w:ascii="宋体" w:hAnsi="宋体" w:eastAsia="宋体" w:cs="宋体"/>
                <w:color w:val="0000FF"/>
                <w:kern w:val="0"/>
                <w:sz w:val="21"/>
                <w:szCs w:val="21"/>
                <w:highlight w:val="none"/>
                <w:u w:val="none"/>
                <w:lang w:val="en-US" w:eastAsia="zh-CN" w:bidi="ar"/>
              </w:rPr>
              <w:t>万元/人•次从当期工程款中扣除违约金，更换生产负责人按人民币</w:t>
            </w:r>
            <w:r>
              <w:rPr>
                <w:rFonts w:hint="eastAsia" w:cs="宋体"/>
                <w:color w:val="0000FF"/>
                <w:kern w:val="0"/>
                <w:sz w:val="21"/>
                <w:szCs w:val="21"/>
                <w:highlight w:val="none"/>
                <w:u w:val="none"/>
                <w:lang w:val="en-US" w:eastAsia="zh-CN" w:bidi="ar"/>
              </w:rPr>
              <w:t>20</w:t>
            </w:r>
            <w:r>
              <w:rPr>
                <w:rFonts w:hint="eastAsia" w:ascii="宋体" w:hAnsi="宋体" w:eastAsia="宋体" w:cs="宋体"/>
                <w:color w:val="0000FF"/>
                <w:kern w:val="0"/>
                <w:sz w:val="21"/>
                <w:szCs w:val="21"/>
                <w:highlight w:val="none"/>
                <w:u w:val="none"/>
                <w:lang w:val="en-US" w:eastAsia="zh-CN" w:bidi="ar"/>
              </w:rPr>
              <w:t>万元/人•次从当期工程款中扣除违约金，更换施工员、安全员、质检员、试验员按人民币</w:t>
            </w:r>
            <w:r>
              <w:rPr>
                <w:rFonts w:hint="eastAsia" w:cs="宋体"/>
                <w:color w:val="0000FF"/>
                <w:kern w:val="0"/>
                <w:sz w:val="21"/>
                <w:szCs w:val="21"/>
                <w:highlight w:val="none"/>
                <w:u w:val="none"/>
                <w:lang w:val="en-US" w:eastAsia="zh-CN" w:bidi="ar"/>
              </w:rPr>
              <w:t>5</w:t>
            </w:r>
            <w:r>
              <w:rPr>
                <w:rFonts w:hint="eastAsia" w:ascii="宋体" w:hAnsi="宋体" w:eastAsia="宋体" w:cs="宋体"/>
                <w:color w:val="0000FF"/>
                <w:kern w:val="0"/>
                <w:sz w:val="21"/>
                <w:szCs w:val="21"/>
                <w:highlight w:val="none"/>
                <w:u w:val="none"/>
                <w:lang w:val="en-US" w:eastAsia="zh-CN" w:bidi="ar"/>
              </w:rPr>
              <w:t xml:space="preserve">万元/人•次从工程款中扣除违约金。承包人擅自更换项目管理班子成员的，发包人还有权单方面解除合同，并且承包人就发包人因此遭受的损失应承担赔偿责任。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（4）承包人应满足发包人关于项目主要管理人员考勤管理要求，采用人脸识别考勤，并在申请进度款前提供符合发包人要求的考勤资料。具体细则如下：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a、承包人负责考勤设备配置、考勤对象录入、考勤数据提取、考勤结果统计和上报。考勤对象录入、数据提取及考勤结果应经监理单位签字确认。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b、承包人负责人脸识别设备的购买与日常维护。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c、考勤时间计算：打卡两次间隔在3小时以上，计为出勤0.5天。当天有四次打卡、且每打卡两次间隔在 3小时以上的，计为出勤1天。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d、考勤对象：项目负责人、技术负责人、施工员、质检员、安全员等备案人员均列入考勤管理，每月出勤 25天为满勤。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e、考核奖惩措施：缺勤按每人每半天扣合同款1000元。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f、承包人现场管理、技术人员配备需满足现场生产需求，各考勤对象超过一天未出勤需向发包人报备，承包人应同时遵守建设行业主管部门关于人员考勤的相关管理规定要求。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b/>
                <w:bCs/>
                <w:color w:val="0000FF"/>
                <w:kern w:val="0"/>
                <w:sz w:val="21"/>
                <w:szCs w:val="21"/>
                <w:highlight w:val="none"/>
                <w:u w:val="none"/>
                <w:lang w:val="en-US" w:eastAsia="zh-CN" w:bidi="ar"/>
              </w:rPr>
              <w:t xml:space="preserve">2、工程预付款、进度款使用的监管：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(1)承包人应为本合同的履行设立由发包人和承包人双控的帐户，实行专款专用，所有与工程有关的支出均通过该专户进行，并取得总监理工程师和发包人代表的批准。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(2)监理工程师及发包人对该专户进行监管，监管内容及要求包括：①承包人依约向本工程供应商、分包商支付货款或工程款；②承包人依约支付本工程工人工资；③承包人按照法律规定及时缴纳税；④承包人的用款符合用款计划且不得将工程款挪作他用或用于其他工程。⑤安全文明措施费要求专款专用，并在每期进度款中单项列支。⑥监理工程师及发包人认为有必要进行的其他内容。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（3）承包人应向监理工程师提交所有合同金额超过50万元的供应合同。必要时监理工程师有权要求承包人提供金额50万元以下的合同，承包人必须提供。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4）监理工程师应于审核当期应付工程进度款的同时，就上期工程进度款（或预付款）支付后，专户的使用情况是否符合监管要求出具书面意见并报发包人代表审批，承包人应予以配合并提供必要资料。如不符合监管要求，监理工程师应立即报告发包人，同时保留签发付款意见的权限，此时发包人有权停止支付承包人要求支付的工程进度款，直到承包人整改符合监管要求。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5）发包人有权向专户开户银行查询专户使用情况，承包人不得就此向开户银行提出异议或通知开户银行不得提供查询，必要时，承包人应向开户银行出具同意查询的说明。如果政府审计部门要求对承包人收取的工程款资金流向进行延伸审计的，承包人应当承诺接受延伸审计。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6）监管专户的银行预留印签分为承包人单位财务专用章和发包人指定项目总私章。两章实行分开管理：合同约定承包人的单位财务专用章由承包人负责管理，发包人指定项目总私章由发包人指定负责人保管。承包人若开通网上支付功能，则需增加发包人的网上支付复核功能，否则发包人有权暂停支付工程款。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kern w:val="0"/>
                <w:sz w:val="21"/>
                <w:szCs w:val="21"/>
                <w:highlight w:val="none"/>
                <w:u w:val="none"/>
                <w:lang w:val="en-US" w:eastAsia="zh-CN" w:bidi="ar"/>
              </w:rPr>
            </w:pPr>
            <w:r>
              <w:rPr>
                <w:rFonts w:hint="eastAsia" w:ascii="宋体" w:hAnsi="宋体" w:eastAsia="宋体" w:cs="宋体"/>
                <w:color w:val="0000FF"/>
                <w:kern w:val="0"/>
                <w:sz w:val="21"/>
                <w:szCs w:val="21"/>
                <w:highlight w:val="none"/>
                <w:u w:val="none"/>
                <w:lang w:val="en-US" w:eastAsia="zh-CN" w:bidi="ar"/>
              </w:rPr>
              <w:t>（7）承包人应分次提供正式发票，但发票不作为工程结算的依据。</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cs="宋体"/>
                <w:color w:val="0000FF"/>
                <w:sz w:val="21"/>
                <w:szCs w:val="21"/>
                <w:highlight w:val="none"/>
                <w:u w:val="none"/>
                <w:lang w:bidi="ar"/>
              </w:rPr>
              <w:t>（8）根据闽人社发〔2018〕8号文《关于印发【福建】省工程建设领域农民工工资专用账户管理暂行办法的通知》的有关规定，承包人应建立农民工工资专户管理制度，实行人工费（工资款）与其他工程款分帐管理；发包人将工程款中的人工费（工资款）单独拨付到工资专户，工资专户资金专项用于支付农民工工资，具体内容以相关通知为准。承包人已充分考虑引起的潜在利润变化，相关费用包含在中标总价中。承包人应与发包人、开户银行签订《【福建】省工程建设领域农民工工资专用账户资金管理协议》。工程有专业分包、劳务分包的，分包企业应委托承包人代发工资，在签订分包协议时，与承包人一并签订《【福建】省工程建设领域农民工工资委托支付协议》。</w:t>
            </w:r>
            <w:r>
              <w:rPr>
                <w:rFonts w:hint="eastAsia" w:ascii="宋体" w:hAnsi="宋体" w:eastAsia="宋体" w:cs="宋体"/>
                <w:color w:val="0000FF"/>
                <w:kern w:val="0"/>
                <w:sz w:val="21"/>
                <w:szCs w:val="21"/>
                <w:highlight w:val="none"/>
                <w:u w:val="none"/>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b/>
                <w:bCs/>
                <w:color w:val="0000FF"/>
                <w:kern w:val="0"/>
                <w:sz w:val="21"/>
                <w:szCs w:val="21"/>
                <w:highlight w:val="none"/>
                <w:u w:val="none"/>
                <w:lang w:val="en-US" w:eastAsia="zh-CN" w:bidi="ar"/>
              </w:rPr>
              <w:t xml:space="preserve">3、施工要求：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（1）施工前，承包人应认真研究设计图纸内容，考察施工现场，调查收集有关资料，对施工区域内各监测断面的基层表面高程进行测量，并将结果报送监理工程师核查。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2）承包人在测量前应对平面控制点，水准点进行检查复核。测量的方法、精度以及所用的仪器应符合现行标准、规范的规定。测量时监理工程师应在场，测量结果应经过承包人与监理工程师双方确认并报发包人备案，相关费用已含在合同总价中。</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（3）承包人应对整个现场的施工组织和施工方案的适用性、稳定性和安全性负全面责任。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4）承包人为本合同雇用的特殊工种的工人和操作人员应受过专门的培训并已取得有关管理机构规定的上岗证书，这些特殊工种包括：电工、焊工、塔吊司机、信号工、架子工、爆破作业人员，施工机械操作人员等；承包人应确保该等人员持有效上岗证书。承包人声明并保证承包人及承包人人员（指与承包人存在劳动关系或劳务关系等的承包人员工、其他人员等）均具有合法的资格/资质可以承揽本工程，否则应自行承担与此相关的全部责任、风险及费用，发包人并有权解除本合同。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（5）本工程严禁使用海砂，承包人违反此项规定的，除须无条件返工改正外，并按50000元/次向发包人支付违约金，工期不予顺延。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6）承包人在收到监理工程师签发的开工令之前，必须保证投标书内承诺配备的主要施工机械设备、质检仪器在监理工程师指定的日期到场，以保证工程顺利开工。若投标书内的施工机械设备不能按时进场，每逾期一日发包人将按人民币1000元/台•天从工程款中扣除违约金，直到符合约定的设备全部进场为止。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（7）在工程实施期间，未经监理工程师和发包人批准，承包人进场必用的施工机械和质检仪器不得撤离现场，否则发包人将按人民币1000元/台•天从合同价中扣除违约金，直到符合约定的设备全部重新进场为止。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b/>
                <w:bCs/>
                <w:color w:val="0000FF"/>
                <w:kern w:val="0"/>
                <w:sz w:val="21"/>
                <w:szCs w:val="21"/>
                <w:highlight w:val="none"/>
                <w:u w:val="none"/>
                <w:lang w:val="en-US" w:eastAsia="zh-CN" w:bidi="ar"/>
              </w:rPr>
              <w:t xml:space="preserve">4、出入现场要求：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（1）承包人应在工程师认为适当时间内持作业人员及现场管理人员的名单及相应照片提交给现场保卫部，由其统一制作入场证。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（2）承包人作业人员及管理人员进入现场或任何部分要求出示入场证而未能出示时，将被拒绝进入现场，因此产生的责任及后果概由承包人自行承担，且工期不顺延。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（3）在任何时候，因持证人停止雇用时，上述颁发的任何入场证应被视为即时停止使用。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（4）承包人应负责场内卫生（含厕所、浴间等）并承担发生费用。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5）工程师或任何被其授权的人员应在任何时候有权进入工程现场以及存放或储备材料和成品的一切车间和场所，或者承包人或任何分包商供应材料或成品的场所，并且当需要时，承包人应使工程师或其授权人员有权进入取得工程材料或成品的其他车间或来源地，同时有权要求承包人立即将其在工程所在地存放的不合格品或与工程无关的材料、设备、构配件等清退出场。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b/>
                <w:bCs/>
                <w:color w:val="0000FF"/>
                <w:kern w:val="0"/>
                <w:sz w:val="21"/>
                <w:szCs w:val="21"/>
                <w:highlight w:val="none"/>
                <w:u w:val="none"/>
                <w:lang w:val="en-US" w:eastAsia="zh-CN" w:bidi="ar"/>
              </w:rPr>
              <w:t xml:space="preserve">5、承包人劳务管理：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1）承包人应自行安排一切劳务雇用，并自行安排及负责这些人员的交通、居住、膳食、劳务费、安全文明施工教育工作及提供全部安全保护措施等；承包人应提供本项目参与人员的工伤保险参保证明及建筑意外伤害保险投保证明，并对承包人人员的安全承担全部责任。如因承包人和/或承包人人员原因给发包人、发包人人员或第三方造成人身伤害或财产损失的，因此产生的责任和后果等概由承包人承担。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（2）在合同期间，承包人应负责工人的安全和劳动保护，其费用应由承包人负担（包括保险费等）。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3）承包人应在每月申请工程进度款拨付前，提交表明承包人在现场雇用的各类工人人数和工资总额的详细报告。承包人对其在本合同项下提交的报告、文件、资料等的真实性、有效性、合法性及完整性负责；如有任何错、漏、弄虚作假等导致的责任及后果概由承包人自行承担。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b/>
                <w:bCs/>
                <w:color w:val="0000FF"/>
                <w:kern w:val="0"/>
                <w:sz w:val="21"/>
                <w:szCs w:val="21"/>
                <w:highlight w:val="none"/>
                <w:u w:val="none"/>
                <w:lang w:val="en-US" w:eastAsia="zh-CN" w:bidi="ar"/>
              </w:rPr>
              <w:t xml:space="preserve">6、工作联系：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（1）对于发包人和监理工程师送达的文件，承包人无权拒绝接收，如对接收的文件有异议的须及时反馈协商。如承包人拒绝接收或接收后7日历天内未提出异议的，视为承包人认同文件的内容并同意遵照执行。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（2）承包人对发包人的工作联系单未在7日历天内给予答复的，或对发包人的指令不予以采纳，拒不整改的，将按人民币5000元/次处罚。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3）承包人在收到工程师指令后7个日历天内仍未按指令执行，工程师经发包人同意后有权另行委托具备相应资质的其它人员执行指令内容的工程，所有由此引起的费用由承包人承担，发包人有权从应付给承包人的当期工程进度款中扣除。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b/>
                <w:bCs/>
                <w:color w:val="0000FF"/>
                <w:kern w:val="0"/>
                <w:sz w:val="21"/>
                <w:szCs w:val="21"/>
                <w:highlight w:val="none"/>
                <w:u w:val="none"/>
                <w:lang w:val="en-US" w:eastAsia="zh-CN" w:bidi="ar"/>
              </w:rPr>
              <w:t xml:space="preserve">7、合同变更和解除：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（1）如有以下情况之一发生，发包人有权书面通知解除合同，承包人应支付合同总价10%的违约金，且无条件退出工程现场，并承担由此给发包人造成的一切损失。通知送达承包人或现场项目部后生效：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①承包人在施工过程中擅自停工、窝工、施工缓慢或因承包人其他原因致使合同约定的工期延误20%及以上的。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②承包人在施工过程中的主要分部施工质量明显无法达到合同约定质量要求，经监理工程师要求整改却无正当理由拒绝整改的。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③承包人因其他法律纠纷或行政违法被查封本工程专户或有关司法部门要求发包人停止向其支付工程款或协助执行工程款，致使合同无法继续履行的。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④承包人擅自更换本工程项目负责人，或项目管理班子中的人员不能及时到位或擅自更换，经发包人提出异议后10天内不纠正的。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⑤承包人对专户的使用无法达到本合同约定的要求，且一个月内仍未整改的。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⑥承包人因欠缴税款致使工程所在地税务主管部门拒绝为其提供税务发票的。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⑦承包人破产或宣告停业清理，且此清理不是出于重组、重建或合并之目的。任何一方依法或依约解除本合同的，另一方应按合同总价款的10%向该方支付违约金，并承担该方的所有损失；有权解除合同的一方选择不解除本合同的，另一方除应按合同总价款的5%向该方支付违约金外，还应继续按本合同约定履行义务。任何一方违约责任的承担不免除其应承担的赔偿责任。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（2）合同解除后，已完成的工程量由双方进行结算，承包人不配合结算的，以</w:t>
            </w:r>
            <w:r>
              <w:rPr>
                <w:rFonts w:hint="eastAsia" w:ascii="宋体" w:hAnsi="宋体" w:eastAsia="宋体" w:cs="宋体"/>
                <w:color w:val="FF0000"/>
                <w:kern w:val="0"/>
                <w:sz w:val="21"/>
                <w:szCs w:val="21"/>
                <w:highlight w:val="none"/>
                <w:u w:val="none"/>
                <w:lang w:val="en-US" w:eastAsia="zh-CN" w:bidi="ar"/>
              </w:rPr>
              <w:t>发包人或发包人委托的第三方机构</w:t>
            </w:r>
            <w:r>
              <w:rPr>
                <w:rFonts w:hint="eastAsia" w:ascii="宋体" w:hAnsi="宋体" w:eastAsia="宋体" w:cs="宋体"/>
                <w:color w:val="0000FF"/>
                <w:kern w:val="0"/>
                <w:sz w:val="21"/>
                <w:szCs w:val="21"/>
                <w:highlight w:val="none"/>
                <w:u w:val="none"/>
                <w:lang w:val="en-US" w:eastAsia="zh-CN" w:bidi="ar"/>
              </w:rPr>
              <w:t xml:space="preserve">出具的结算审核结论书为准，该审核结论对双方均具有约束力。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（3）本合同解除或终止的，承包人应在合同解除或终止后的15日历天内无条件退场，否则发包人有权强行清退，并由承包人承担全部责任和费用。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（4）合同解除并不解除承包人对已施工部分的工程质量责任、保修责任及合同履行过程中的违约责任。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cs="宋体"/>
                <w:color w:val="0000FF"/>
                <w:kern w:val="0"/>
                <w:sz w:val="21"/>
                <w:szCs w:val="21"/>
                <w:highlight w:val="none"/>
                <w:u w:val="none"/>
                <w:lang w:val="en-US" w:eastAsia="zh-CN" w:bidi="ar"/>
              </w:rPr>
              <w:t>（5）</w:t>
            </w:r>
            <w:r>
              <w:rPr>
                <w:rFonts w:hint="eastAsia" w:ascii="宋体" w:hAnsi="宋体" w:eastAsia="宋体" w:cs="宋体"/>
                <w:color w:val="0000FF"/>
                <w:kern w:val="0"/>
                <w:sz w:val="21"/>
                <w:szCs w:val="21"/>
                <w:highlight w:val="none"/>
                <w:u w:val="none"/>
                <w:lang w:val="en-US" w:eastAsia="zh-CN" w:bidi="ar"/>
              </w:rPr>
              <w:t xml:space="preserve">已经订货的材料/设备由承包人负责退货或解除订货合同，因此产生的费用和损失由导致合同被解除的责任方承担。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b/>
                <w:bCs/>
                <w:color w:val="0000FF"/>
                <w:kern w:val="0"/>
                <w:sz w:val="21"/>
                <w:szCs w:val="21"/>
                <w:highlight w:val="none"/>
                <w:u w:val="none"/>
                <w:lang w:val="en-US" w:eastAsia="zh-CN" w:bidi="ar"/>
              </w:rPr>
              <w:t>8、其他管理要求：</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1、承包人已经对以下方面的所有资料并进行了必要的分析和考虑：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（1）现场地形、地貌和特征。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（2）实施和完成本合同工程及其缺陷的修复的工作范围、性质和所需要的材料采购和加工，进场道路和水、电、食宿供应条件。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（3）当地乡规民约和风俗习惯。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（4）取得对工程施工有影响或起作用的风险、意外等必要的资料。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（5）建筑废土的处置。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若由上述情况产生的工期延误以及给发包人造成损失的，发包人将按违约处理，违约金从工程款中直接扣除。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2、承包人取得发包人的批准进行分包并不解除或减免本合同约定的承包人的任何责任或义务，承包人应对分包人加强监督和管理，并对分包人的工程质量、进度及其职工的行为、违约和疏忽等负有总包管理责任及连带责任。承包人与分包人之间的法律和经济纠纷等概由承包人与分包人自行解决，发包人不承担任何责任和义务。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3、承包人对设备工程的中标价应包含（但不限于）：一切设备费、材料费(包括必配的零部件和易损件)、辅材费、专用工具费、运输、仓储、保管、保险、装卸、短途搬运、关税、税收以及市场风险等全部费用。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4、设备安装报价应含（但不限于）：拆箱清点、装卸及近距离搬运和施工现场搬运费、现场设备材料、工具的保管费、专业安装工程师食宿费用及交通费用、安装使用全焊等辅助设备及人工费、施工人员的劳动保险和人身保险、安装调试试运行费用、安装调试用临时电缆费、井道脚手架费用、水电费、排污费、各项保险费、人员培训费、起吊分层就位、井道永久照明、井道爬梯、机房承重钢梁、设备搬运吊装、重块租运、成品保护费(指设备到达指定地点并安装、调试完毕直至整体工程综合验收移交使用单位的所需费用)、竣工资料费，及质量保证期内的设备维护费用、当地主管部门的设备验收检验费（包括质保期内的年检费、电气元器件及其他配件到期后的检验费等）、利润、税收以及市场风险等为履行安装工作并准时、满意的完成整项工程所需的一切事务及物品的费用。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5、承包人未在规定的时间内签订合同及进场施工的，发包人有权将取消其中标资格。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kern w:val="0"/>
                <w:sz w:val="21"/>
                <w:szCs w:val="21"/>
                <w:highlight w:val="none"/>
                <w:u w:val="none"/>
                <w:lang w:val="en-US" w:eastAsia="zh-CN" w:bidi="ar"/>
              </w:rPr>
            </w:pPr>
            <w:r>
              <w:rPr>
                <w:rFonts w:hint="eastAsia" w:ascii="宋体" w:hAnsi="宋体" w:eastAsia="宋体" w:cs="宋体"/>
                <w:color w:val="0000FF"/>
                <w:kern w:val="0"/>
                <w:sz w:val="21"/>
                <w:szCs w:val="21"/>
                <w:highlight w:val="none"/>
                <w:u w:val="none"/>
                <w:lang w:val="en-US" w:eastAsia="zh-CN" w:bidi="ar"/>
              </w:rPr>
              <w:t>6、超出用地红线范围的临建设施、道路开口、临时排污等，施承包人须自行协调申办，并承担相关费用。</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cs="宋体"/>
                <w:color w:val="0000FF"/>
                <w:kern w:val="0"/>
                <w:sz w:val="21"/>
                <w:szCs w:val="21"/>
                <w:highlight w:val="none"/>
                <w:u w:val="none"/>
                <w:lang w:val="en-US" w:eastAsia="zh-CN" w:bidi="ar"/>
              </w:rPr>
              <w:t>7、</w:t>
            </w:r>
            <w:r>
              <w:rPr>
                <w:rFonts w:hint="eastAsia" w:ascii="宋体" w:hAnsi="宋体" w:eastAsia="宋体" w:cs="宋体"/>
                <w:color w:val="0000FF"/>
                <w:kern w:val="0"/>
                <w:sz w:val="21"/>
                <w:szCs w:val="21"/>
                <w:highlight w:val="none"/>
                <w:u w:val="none"/>
                <w:lang w:val="en-US" w:eastAsia="zh-CN" w:bidi="ar"/>
              </w:rPr>
              <w:t>因项目办理用地手续阶段，土地征收部门、建设单位与发包人签订的土地交接确认书中，发包人作为项目建设用地接收方，为确保自接收之日至项目开工之日期间被其他单位随意倾倒土方及建筑垃圾</w:t>
            </w:r>
            <w:r>
              <w:rPr>
                <w:rFonts w:hint="eastAsia" w:cs="宋体"/>
                <w:color w:val="0000FF"/>
                <w:kern w:val="0"/>
                <w:sz w:val="21"/>
                <w:szCs w:val="21"/>
                <w:highlight w:val="none"/>
                <w:u w:val="none"/>
                <w:lang w:val="en-US" w:eastAsia="zh-CN" w:bidi="ar"/>
              </w:rPr>
              <w:t>和项目顺利开工，项目围挡、施工用电（含箱变采购）等已由发包人委托相关单位先行施工完成，待承包人进场后，由相关单位移交承包人，交接事宜及费用由双方自行协商，费用由承包人支付给相关单位，若承包人不支付该费用给相关单位，则发包人有权将该费用从工程款中扣除。</w:t>
            </w:r>
            <w:r>
              <w:rPr>
                <w:rFonts w:hint="eastAsia" w:ascii="宋体" w:hAnsi="宋体" w:eastAsia="宋体" w:cs="宋体"/>
                <w:color w:val="0000FF"/>
                <w:kern w:val="0"/>
                <w:sz w:val="21"/>
                <w:szCs w:val="21"/>
                <w:highlight w:val="none"/>
                <w:u w:val="none"/>
                <w:lang w:val="en-US" w:eastAsia="zh-CN" w:bidi="ar"/>
              </w:rPr>
              <w:t>本项目后期若因周边环境、施工条件改变等因素，引起施工围挡、材料加工场等安全文明设施需要多次进行拆除、恢复，此费用承包人应含入投标报价当中，中标后不予增补。</w:t>
            </w:r>
            <w:r>
              <w:rPr>
                <w:rFonts w:hint="eastAsia" w:cs="宋体"/>
                <w:color w:val="0000FF"/>
                <w:kern w:val="0"/>
                <w:sz w:val="21"/>
                <w:szCs w:val="21"/>
                <w:highlight w:val="none"/>
                <w:u w:val="none"/>
                <w:lang w:val="en-US" w:eastAsia="zh-CN" w:bidi="ar"/>
              </w:rPr>
              <w:t>在具备</w:t>
            </w:r>
            <w:r>
              <w:rPr>
                <w:rFonts w:hint="eastAsia" w:cs="宋体"/>
                <w:color w:val="0000FF"/>
                <w:sz w:val="21"/>
                <w:szCs w:val="21"/>
                <w:highlight w:val="none"/>
                <w:u w:val="none"/>
                <w:lang w:val="en-US" w:eastAsia="zh-CN" w:bidi="ar"/>
              </w:rPr>
              <w:t>临时施工用电箱变拆除条件后，由承包人负责拆运箱变至发包人指定地点，并负责拆除箱变基础至满足室外工程施工需求，涉及的相关费用已</w:t>
            </w:r>
            <w:r>
              <w:rPr>
                <w:rFonts w:hint="eastAsia" w:ascii="宋体" w:hAnsi="宋体" w:eastAsia="宋体" w:cs="宋体"/>
                <w:color w:val="0000FF"/>
                <w:kern w:val="0"/>
                <w:sz w:val="21"/>
                <w:szCs w:val="21"/>
                <w:highlight w:val="none"/>
                <w:u w:val="none"/>
                <w:lang w:val="en-US" w:eastAsia="zh-CN" w:bidi="ar"/>
              </w:rPr>
              <w:t>含入投标报价当中，中标后不予增补</w:t>
            </w:r>
            <w:r>
              <w:rPr>
                <w:rFonts w:hint="eastAsia" w:cs="宋体"/>
                <w:color w:val="0000FF"/>
                <w:sz w:val="21"/>
                <w:szCs w:val="21"/>
                <w:highlight w:val="none"/>
                <w:u w:val="none"/>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kern w:val="0"/>
                <w:sz w:val="21"/>
                <w:szCs w:val="21"/>
                <w:highlight w:val="none"/>
                <w:u w:val="none"/>
                <w:lang w:val="en-US" w:eastAsia="zh-CN" w:bidi="ar"/>
              </w:rPr>
            </w:pPr>
            <w:r>
              <w:rPr>
                <w:rFonts w:hint="eastAsia" w:cs="宋体"/>
                <w:color w:val="0000FF"/>
                <w:kern w:val="0"/>
                <w:sz w:val="21"/>
                <w:szCs w:val="21"/>
                <w:highlight w:val="none"/>
                <w:u w:val="none"/>
                <w:lang w:val="en-US" w:eastAsia="zh-CN" w:bidi="ar"/>
              </w:rPr>
              <w:t>8</w:t>
            </w:r>
            <w:r>
              <w:rPr>
                <w:rFonts w:hint="eastAsia" w:ascii="宋体" w:hAnsi="宋体" w:eastAsia="宋体" w:cs="宋体"/>
                <w:color w:val="0000FF"/>
                <w:kern w:val="0"/>
                <w:sz w:val="21"/>
                <w:szCs w:val="21"/>
                <w:highlight w:val="none"/>
                <w:u w:val="none"/>
                <w:lang w:val="en-US" w:eastAsia="zh-CN" w:bidi="ar"/>
              </w:rPr>
              <w:t>、本工程总平面布置，塔吊/施工电梯/材料堆场/加工场地等布置须报发包人同意后方能实施。如未经发包人同意私自施工，发包人有权要求承包人立即整改。如承包人拒绝整改或故意拖延，承包人应向发包人支付人民币5万元/次的违约金,发包人有权从工程费中直接扣除，直至整改完成为止。</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cs="宋体"/>
                <w:color w:val="0000FF"/>
                <w:kern w:val="0"/>
                <w:sz w:val="21"/>
                <w:szCs w:val="21"/>
                <w:highlight w:val="none"/>
                <w:u w:val="none"/>
                <w:lang w:val="en-US" w:eastAsia="zh-CN" w:bidi="ar"/>
              </w:rPr>
              <w:t>9、本工程土方</w:t>
            </w:r>
            <w:r>
              <w:rPr>
                <w:rFonts w:hint="eastAsia" w:cs="宋体"/>
                <w:color w:val="0000FF"/>
                <w:sz w:val="21"/>
                <w:szCs w:val="21"/>
                <w:highlight w:val="none"/>
                <w:u w:val="none"/>
                <w:lang w:bidi="ar"/>
              </w:rPr>
              <w:t>优先考虑场内平衡，剩余余方再外弃</w:t>
            </w:r>
            <w:r>
              <w:rPr>
                <w:rFonts w:hint="eastAsia" w:cs="宋体"/>
                <w:color w:val="0000FF"/>
                <w:sz w:val="21"/>
                <w:szCs w:val="21"/>
                <w:highlight w:val="none"/>
                <w:u w:val="none"/>
                <w:lang w:eastAsia="zh-CN" w:bidi="ar"/>
              </w:rPr>
              <w:t>，</w:t>
            </w:r>
            <w:r>
              <w:rPr>
                <w:rFonts w:hint="eastAsia" w:cs="宋体"/>
                <w:color w:val="0000FF"/>
                <w:sz w:val="21"/>
                <w:szCs w:val="21"/>
                <w:highlight w:val="none"/>
                <w:u w:val="none"/>
                <w:lang w:val="en-US" w:eastAsia="zh-CN" w:bidi="ar"/>
              </w:rPr>
              <w:t>投标人需自行考虑堆土点</w:t>
            </w:r>
            <w:r>
              <w:rPr>
                <w:rFonts w:hint="eastAsia" w:cs="宋体"/>
                <w:color w:val="0000FF"/>
                <w:sz w:val="21"/>
                <w:szCs w:val="21"/>
                <w:highlight w:val="none"/>
                <w:u w:val="none"/>
                <w:lang w:eastAsia="zh-CN" w:bidi="ar"/>
              </w:rPr>
              <w:t>。</w:t>
            </w:r>
            <w:r>
              <w:rPr>
                <w:rFonts w:hint="eastAsia" w:cs="宋体"/>
                <w:color w:val="0000FF"/>
                <w:sz w:val="21"/>
                <w:szCs w:val="21"/>
                <w:highlight w:val="none"/>
                <w:u w:val="none"/>
                <w:lang w:val="en-US" w:eastAsia="zh-CN" w:bidi="ar"/>
              </w:rPr>
              <w:t>弃土</w:t>
            </w:r>
            <w:r>
              <w:rPr>
                <w:rFonts w:hint="eastAsia" w:cs="宋体"/>
                <w:color w:val="0000FF"/>
                <w:sz w:val="21"/>
                <w:szCs w:val="21"/>
                <w:highlight w:val="none"/>
                <w:u w:val="none"/>
                <w:lang w:bidi="ar"/>
              </w:rPr>
              <w:t>运距按7km计取,实际低于7km按实调整，若实际高于7km则包干计取，弃土点</w:t>
            </w:r>
            <w:r>
              <w:rPr>
                <w:rFonts w:hint="eastAsia" w:cs="宋体"/>
                <w:color w:val="0000FF"/>
                <w:sz w:val="21"/>
                <w:szCs w:val="21"/>
                <w:highlight w:val="none"/>
                <w:u w:val="none"/>
                <w:lang w:val="en-US" w:eastAsia="zh-CN" w:bidi="ar"/>
              </w:rPr>
              <w:t>由</w:t>
            </w:r>
            <w:r>
              <w:rPr>
                <w:rFonts w:hint="eastAsia" w:cs="宋体"/>
                <w:color w:val="0000FF"/>
                <w:sz w:val="21"/>
                <w:szCs w:val="21"/>
                <w:highlight w:val="none"/>
                <w:u w:val="none"/>
                <w:lang w:bidi="ar"/>
              </w:rPr>
              <w:t>投标人自行解决</w:t>
            </w:r>
            <w:r>
              <w:rPr>
                <w:rFonts w:hint="eastAsia" w:cs="宋体"/>
                <w:color w:val="0000FF"/>
                <w:sz w:val="21"/>
                <w:szCs w:val="21"/>
                <w:highlight w:val="none"/>
                <w:u w:val="none"/>
                <w:lang w:eastAsia="zh-CN" w:bidi="ar"/>
              </w:rPr>
              <w:t>，</w:t>
            </w:r>
            <w:r>
              <w:rPr>
                <w:rFonts w:hint="eastAsia" w:cs="宋体"/>
                <w:color w:val="0000FF"/>
                <w:sz w:val="21"/>
                <w:szCs w:val="21"/>
                <w:highlight w:val="none"/>
                <w:u w:val="none"/>
                <w:lang w:bidi="ar"/>
              </w:rPr>
              <w:t>且应符合政府主管部门对土方弃置的相关规定和要求。</w:t>
            </w:r>
            <w:r>
              <w:rPr>
                <w:rFonts w:hint="eastAsia" w:ascii="宋体" w:hAnsi="宋体" w:eastAsia="宋体" w:cs="宋体"/>
                <w:color w:val="0000FF"/>
                <w:kern w:val="0"/>
                <w:sz w:val="21"/>
                <w:szCs w:val="21"/>
                <w:highlight w:val="none"/>
                <w:u w:val="none"/>
                <w:lang w:val="en-US" w:eastAsia="zh-CN" w:bidi="ar"/>
              </w:rPr>
              <w:t xml:space="preserve"> </w:t>
            </w:r>
          </w:p>
          <w:p/>
          <w:p/>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1</w:t>
            </w:r>
            <w:r>
              <w:rPr>
                <w:rFonts w:hint="eastAsia" w:cs="宋体"/>
                <w:color w:val="0000FF"/>
                <w:kern w:val="0"/>
                <w:sz w:val="21"/>
                <w:szCs w:val="21"/>
                <w:highlight w:val="none"/>
                <w:u w:val="none"/>
                <w:lang w:val="en-US" w:eastAsia="zh-CN" w:bidi="ar"/>
              </w:rPr>
              <w:t>0</w:t>
            </w:r>
            <w:r>
              <w:rPr>
                <w:rFonts w:hint="eastAsia" w:ascii="宋体" w:hAnsi="宋体" w:eastAsia="宋体" w:cs="宋体"/>
                <w:color w:val="0000FF"/>
                <w:kern w:val="0"/>
                <w:sz w:val="21"/>
                <w:szCs w:val="21"/>
                <w:highlight w:val="none"/>
                <w:u w:val="none"/>
                <w:lang w:val="en-US" w:eastAsia="zh-CN" w:bidi="ar"/>
              </w:rPr>
              <w:t xml:space="preserve">、承包人必须按照厦门市有关规定制定切实可行的安全、文明施工措施，并应遵守如下规定：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a、承包人必须根据工程大小，在施工工地设若干环保流动厕所，同时定期将生活垃圾清理外运并清理流动厕所；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 xml:space="preserve">b、承包人应自费采取应有的卫生防护措施，保持施工现场、办公区和生活区的整洁和卫生，以保护项目管理人员和工人的健康，并应与当地卫生部门合作，防止传染病和准备常用的急救药物，在炎热的高温条件下施工时，承包人应注意采取防暑降温措施。承包人还应负责为其雇佣的员工供应清洁的饮用水和合格的施工用水，应自备施工用水加压系统或其他储水设备。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1</w:t>
            </w:r>
            <w:r>
              <w:rPr>
                <w:rFonts w:hint="eastAsia" w:cs="宋体"/>
                <w:color w:val="0000FF"/>
                <w:kern w:val="0"/>
                <w:sz w:val="21"/>
                <w:szCs w:val="21"/>
                <w:highlight w:val="none"/>
                <w:u w:val="none"/>
                <w:lang w:val="en-US" w:eastAsia="zh-CN" w:bidi="ar"/>
              </w:rPr>
              <w:t>1</w:t>
            </w:r>
            <w:r>
              <w:rPr>
                <w:rFonts w:hint="eastAsia" w:ascii="宋体" w:hAnsi="宋体" w:eastAsia="宋体" w:cs="宋体"/>
                <w:color w:val="0000FF"/>
                <w:kern w:val="0"/>
                <w:sz w:val="21"/>
                <w:szCs w:val="21"/>
                <w:highlight w:val="none"/>
                <w:u w:val="none"/>
                <w:lang w:val="en-US" w:eastAsia="zh-CN" w:bidi="ar"/>
              </w:rPr>
              <w:t xml:space="preserve">、承包人进场后应按发包人指定的位置负责样板间（含工艺工法样板、交付样板等）施工，发包人对样板间提出的修改意见，承包人应及时做出修改、完善，直至符合要求；样板施工所需的费用(含修改费用）承包人已充分考虑在合同总价中，不再调整。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1</w:t>
            </w:r>
            <w:r>
              <w:rPr>
                <w:rFonts w:hint="eastAsia" w:cs="宋体"/>
                <w:color w:val="0000FF"/>
                <w:kern w:val="0"/>
                <w:sz w:val="21"/>
                <w:szCs w:val="21"/>
                <w:highlight w:val="none"/>
                <w:u w:val="none"/>
                <w:lang w:val="en-US" w:eastAsia="zh-CN" w:bidi="ar"/>
              </w:rPr>
              <w:t>2</w:t>
            </w:r>
            <w:r>
              <w:rPr>
                <w:rFonts w:hint="eastAsia" w:ascii="宋体" w:hAnsi="宋体" w:eastAsia="宋体" w:cs="宋体"/>
                <w:color w:val="0000FF"/>
                <w:kern w:val="0"/>
                <w:sz w:val="21"/>
                <w:szCs w:val="21"/>
                <w:highlight w:val="none"/>
                <w:u w:val="none"/>
                <w:lang w:val="en-US" w:eastAsia="zh-CN" w:bidi="ar"/>
              </w:rPr>
              <w:t xml:space="preserve">、工程施工技术管理要求：凡未提及但在施工过程中涉及到的施工及验收规范、标准，将在施工过程中由承包人及监理单位予以明确，凡与所列技术管理要求有不一致之处，以较高的标准要求为准，同一类型的标准以最新颁布标准为依据。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1</w:t>
            </w:r>
            <w:r>
              <w:rPr>
                <w:rFonts w:hint="eastAsia" w:cs="宋体"/>
                <w:color w:val="0000FF"/>
                <w:kern w:val="0"/>
                <w:sz w:val="21"/>
                <w:szCs w:val="21"/>
                <w:highlight w:val="none"/>
                <w:u w:val="none"/>
                <w:lang w:val="en-US" w:eastAsia="zh-CN" w:bidi="ar"/>
              </w:rPr>
              <w:t>3</w:t>
            </w:r>
            <w:r>
              <w:rPr>
                <w:rFonts w:hint="eastAsia" w:ascii="宋体" w:hAnsi="宋体" w:eastAsia="宋体" w:cs="宋体"/>
                <w:color w:val="0000FF"/>
                <w:kern w:val="0"/>
                <w:sz w:val="21"/>
                <w:szCs w:val="21"/>
                <w:highlight w:val="none"/>
                <w:u w:val="none"/>
                <w:lang w:val="en-US" w:eastAsia="zh-CN" w:bidi="ar"/>
              </w:rPr>
              <w:t>、交</w:t>
            </w:r>
            <w:r>
              <w:rPr>
                <w:rFonts w:hint="eastAsia" w:cs="宋体"/>
                <w:color w:val="0000FF"/>
                <w:kern w:val="0"/>
                <w:sz w:val="21"/>
                <w:szCs w:val="21"/>
                <w:highlight w:val="none"/>
                <w:u w:val="none"/>
                <w:lang w:val="en-US" w:eastAsia="zh-CN" w:bidi="ar"/>
              </w:rPr>
              <w:t>付</w:t>
            </w:r>
            <w:r>
              <w:rPr>
                <w:rFonts w:hint="eastAsia" w:ascii="宋体" w:hAnsi="宋体" w:eastAsia="宋体" w:cs="宋体"/>
                <w:color w:val="0000FF"/>
                <w:kern w:val="0"/>
                <w:sz w:val="21"/>
                <w:szCs w:val="21"/>
                <w:highlight w:val="none"/>
                <w:u w:val="none"/>
                <w:lang w:val="en-US" w:eastAsia="zh-CN" w:bidi="ar"/>
              </w:rPr>
              <w:t>前，发包人组织的交</w:t>
            </w:r>
            <w:r>
              <w:rPr>
                <w:rFonts w:hint="eastAsia" w:cs="宋体"/>
                <w:color w:val="0000FF"/>
                <w:kern w:val="0"/>
                <w:sz w:val="21"/>
                <w:szCs w:val="21"/>
                <w:highlight w:val="none"/>
                <w:u w:val="none"/>
                <w:lang w:val="en-US" w:eastAsia="zh-CN" w:bidi="ar"/>
              </w:rPr>
              <w:t>付</w:t>
            </w:r>
            <w:r>
              <w:rPr>
                <w:rFonts w:hint="eastAsia" w:ascii="宋体" w:hAnsi="宋体" w:eastAsia="宋体" w:cs="宋体"/>
                <w:color w:val="0000FF"/>
                <w:kern w:val="0"/>
                <w:sz w:val="21"/>
                <w:szCs w:val="21"/>
                <w:highlight w:val="none"/>
                <w:u w:val="none"/>
                <w:lang w:val="en-US" w:eastAsia="zh-CN" w:bidi="ar"/>
              </w:rPr>
              <w:t>预验收及</w:t>
            </w:r>
            <w:r>
              <w:rPr>
                <w:rFonts w:hint="eastAsia" w:cs="宋体"/>
                <w:color w:val="0000FF"/>
                <w:kern w:val="0"/>
                <w:sz w:val="21"/>
                <w:szCs w:val="21"/>
                <w:highlight w:val="none"/>
                <w:u w:val="none"/>
                <w:lang w:val="en-US" w:eastAsia="zh-CN" w:bidi="ar"/>
              </w:rPr>
              <w:t>建设单位</w:t>
            </w:r>
            <w:r>
              <w:rPr>
                <w:rFonts w:hint="eastAsia" w:ascii="宋体" w:hAnsi="宋体" w:eastAsia="宋体" w:cs="宋体"/>
                <w:color w:val="0000FF"/>
                <w:kern w:val="0"/>
                <w:sz w:val="21"/>
                <w:szCs w:val="21"/>
                <w:highlight w:val="none"/>
                <w:u w:val="none"/>
                <w:lang w:val="en-US" w:eastAsia="zh-CN" w:bidi="ar"/>
              </w:rPr>
              <w:t xml:space="preserve">承接查验所发现的问题，承包人应按发包人要求完成维修整改，否则发包人有权另聘其他施工单位进行维修，相关费用由发包人自行核定，并从承包人的结算款中直接扣除。发包人委托他人维修不免除承包人的任何责任，若发包人委托他人维修后又出现质量缺陷，仍由承包人继续承担保修责任。交房时承包人应无偿做好配合工作，并根据交房进度安排，配备人员相适应数量的质检员或施工员（每栋楼不少于2人）全程陪同，对交房期间业主提出的问题进行记录核查。因承包人施工质量问题造成业主拒绝交房或要求赔偿的，承包人应承担相应的赔偿及其他相关责任。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1</w:t>
            </w:r>
            <w:r>
              <w:rPr>
                <w:rFonts w:hint="eastAsia" w:cs="宋体"/>
                <w:color w:val="0000FF"/>
                <w:kern w:val="0"/>
                <w:sz w:val="21"/>
                <w:szCs w:val="21"/>
                <w:highlight w:val="none"/>
                <w:u w:val="none"/>
                <w:lang w:val="en-US" w:eastAsia="zh-CN" w:bidi="ar"/>
              </w:rPr>
              <w:t>4</w:t>
            </w:r>
            <w:r>
              <w:rPr>
                <w:rFonts w:hint="eastAsia" w:ascii="宋体" w:hAnsi="宋体" w:eastAsia="宋体" w:cs="宋体"/>
                <w:color w:val="0000FF"/>
                <w:kern w:val="0"/>
                <w:sz w:val="21"/>
                <w:szCs w:val="21"/>
                <w:highlight w:val="none"/>
                <w:u w:val="none"/>
                <w:lang w:val="en-US" w:eastAsia="zh-CN" w:bidi="ar"/>
              </w:rPr>
              <w:t xml:space="preserve">、电梯验收合格后须做好成品保护，对轿厢采用整体模板全面封闭保护，如业主需要模板保留不予拆除，相关费用承包人已考虑在合同总价中，不予增补费用。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kern w:val="0"/>
                <w:sz w:val="21"/>
                <w:szCs w:val="21"/>
                <w:highlight w:val="none"/>
                <w:u w:val="none"/>
                <w:lang w:val="en-US" w:eastAsia="zh-CN" w:bidi="ar"/>
              </w:rPr>
            </w:pPr>
            <w:r>
              <w:rPr>
                <w:rFonts w:hint="eastAsia" w:ascii="宋体" w:hAnsi="宋体" w:eastAsia="宋体" w:cs="宋体"/>
                <w:color w:val="0000FF"/>
                <w:kern w:val="0"/>
                <w:sz w:val="21"/>
                <w:szCs w:val="21"/>
                <w:highlight w:val="none"/>
                <w:lang w:val="en-US" w:eastAsia="zh-CN" w:bidi="ar"/>
              </w:rPr>
              <w:t>1</w:t>
            </w:r>
            <w:r>
              <w:rPr>
                <w:rFonts w:hint="eastAsia" w:cs="宋体"/>
                <w:color w:val="0000FF"/>
                <w:kern w:val="0"/>
                <w:sz w:val="21"/>
                <w:szCs w:val="21"/>
                <w:highlight w:val="none"/>
                <w:lang w:val="en-US" w:eastAsia="zh-CN" w:bidi="ar"/>
              </w:rPr>
              <w:t>5</w:t>
            </w:r>
            <w:r>
              <w:rPr>
                <w:rFonts w:hint="eastAsia" w:ascii="宋体" w:hAnsi="宋体" w:eastAsia="宋体" w:cs="宋体"/>
                <w:color w:val="0000FF"/>
                <w:kern w:val="0"/>
                <w:sz w:val="21"/>
                <w:szCs w:val="21"/>
                <w:highlight w:val="none"/>
                <w:lang w:val="en-US" w:eastAsia="zh-CN" w:bidi="ar"/>
              </w:rPr>
              <w:t>、</w:t>
            </w:r>
            <w:r>
              <w:rPr>
                <w:rFonts w:hint="eastAsia" w:ascii="宋体" w:hAnsi="宋体" w:eastAsia="宋体" w:cs="宋体"/>
                <w:color w:val="0000FF"/>
                <w:kern w:val="0"/>
                <w:sz w:val="21"/>
                <w:szCs w:val="21"/>
                <w:highlight w:val="none"/>
                <w:u w:val="none"/>
                <w:lang w:val="en-US" w:eastAsia="zh-CN" w:bidi="ar"/>
              </w:rPr>
              <w:t>承包人承包范围内的入户门等工厂成品设施，生产安装前需根据现场尺寸提供相应工厂生产加工图给发包人、监理及设计方确认；相关图纸深化的费用以及深化经确认的方案与原招标图有调整而产生的费用，承包人均已综合考虑在合同总价中，发包人不再另行支付。</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kern w:val="0"/>
                <w:sz w:val="21"/>
                <w:szCs w:val="21"/>
                <w:highlight w:val="none"/>
                <w:u w:val="none"/>
                <w:lang w:val="en-US" w:eastAsia="zh-CN" w:bidi="ar"/>
              </w:rPr>
            </w:pPr>
            <w:r>
              <w:rPr>
                <w:rFonts w:hint="eastAsia" w:ascii="宋体" w:hAnsi="宋体" w:eastAsia="宋体" w:cs="宋体"/>
                <w:color w:val="0000FF"/>
                <w:sz w:val="21"/>
                <w:szCs w:val="21"/>
                <w:highlight w:val="none"/>
                <w:lang w:val="en-US" w:eastAsia="zh-CN" w:bidi="ar-SA"/>
              </w:rPr>
              <w:t>1</w:t>
            </w:r>
            <w:r>
              <w:rPr>
                <w:rFonts w:hint="eastAsia" w:cs="宋体"/>
                <w:color w:val="0000FF"/>
                <w:sz w:val="21"/>
                <w:szCs w:val="21"/>
                <w:highlight w:val="none"/>
                <w:lang w:val="en-US" w:eastAsia="zh-CN" w:bidi="ar-SA"/>
              </w:rPr>
              <w:t>6</w:t>
            </w:r>
            <w:r>
              <w:rPr>
                <w:rFonts w:hint="eastAsia" w:ascii="宋体" w:hAnsi="宋体" w:eastAsia="宋体" w:cs="宋体"/>
                <w:color w:val="0000FF"/>
                <w:sz w:val="21"/>
                <w:szCs w:val="21"/>
                <w:highlight w:val="none"/>
                <w:lang w:val="en-US" w:eastAsia="zh-CN" w:bidi="ar-SA"/>
              </w:rPr>
              <w:t>、</w:t>
            </w:r>
            <w:r>
              <w:rPr>
                <w:rFonts w:hint="eastAsia" w:ascii="宋体" w:hAnsi="宋体" w:eastAsia="宋体" w:cs="宋体"/>
                <w:color w:val="0000FF"/>
                <w:kern w:val="0"/>
                <w:sz w:val="21"/>
                <w:szCs w:val="21"/>
                <w:highlight w:val="none"/>
                <w:u w:val="none"/>
                <w:lang w:val="en-US" w:eastAsia="zh-CN" w:bidi="ar"/>
              </w:rPr>
              <w:t>承包人在本工程施工中必须投入不少于下列机械设备及采取相应的施工措施：①塔吊和施工电梯数量不得低于中标清单中所列数量；②使用泵送商品砼；③上部主体施工时应保证满足工期需要的模板周转同时满足地下室模板及支撑一次到位），使用过程中应根据损坏情况及时补充；④ 配备发电机组、应急水源—现场砌筑蓄水池、消防水池等应急措施，防止停电、停水影响施工；⑤做好防台风预案。承包人应充分结合自身实力及各自的施工组织设计综合考虑，中标后包干使用不再调整。若为满足现场实际施工需求，承包人须增加相应的材料设备投入，由此产生的相关费用由承包人承担。</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cs="宋体"/>
                <w:color w:val="0000FF"/>
                <w:kern w:val="0"/>
                <w:sz w:val="21"/>
                <w:szCs w:val="21"/>
                <w:highlight w:val="none"/>
                <w:u w:val="none"/>
                <w:lang w:val="en-US" w:eastAsia="zh-CN" w:bidi="ar"/>
              </w:rPr>
              <w:t>17、本项目化粪池施工埋置所需的支护</w:t>
            </w:r>
            <w:r>
              <w:rPr>
                <w:rFonts w:hint="eastAsia" w:ascii="宋体" w:hAnsi="宋体" w:eastAsia="宋体" w:cs="宋体"/>
                <w:color w:val="0000FF"/>
                <w:kern w:val="0"/>
                <w:sz w:val="21"/>
                <w:szCs w:val="21"/>
                <w:highlight w:val="none"/>
                <w:u w:val="none"/>
                <w:lang w:val="en-US" w:eastAsia="zh-CN" w:bidi="ar"/>
              </w:rPr>
              <w:t>结构承包人均已综合考虑在合同总价中，</w:t>
            </w:r>
            <w:r>
              <w:rPr>
                <w:rFonts w:hint="eastAsia" w:cs="宋体"/>
                <w:color w:val="0000FF"/>
                <w:kern w:val="0"/>
                <w:sz w:val="21"/>
                <w:szCs w:val="21"/>
                <w:highlight w:val="none"/>
                <w:u w:val="none"/>
                <w:lang w:val="en-US" w:eastAsia="zh-CN" w:bidi="ar"/>
              </w:rPr>
              <w:t>包含因开挖埋置化粪池所需采取的临时支护措施等费用，</w:t>
            </w:r>
            <w:r>
              <w:rPr>
                <w:rFonts w:hint="eastAsia" w:ascii="宋体" w:hAnsi="宋体" w:eastAsia="宋体" w:cs="宋体"/>
                <w:color w:val="0000FF"/>
                <w:kern w:val="0"/>
                <w:sz w:val="21"/>
                <w:szCs w:val="21"/>
                <w:highlight w:val="none"/>
                <w:u w:val="none"/>
                <w:lang w:val="en-US" w:eastAsia="zh-CN" w:bidi="ar"/>
              </w:rPr>
              <w:t>发包人不再另行支付</w:t>
            </w:r>
            <w:r>
              <w:rPr>
                <w:rFonts w:hint="eastAsia" w:cs="宋体"/>
                <w:color w:val="0000FF"/>
                <w:kern w:val="0"/>
                <w:sz w:val="21"/>
                <w:szCs w:val="21"/>
                <w:highlight w:val="none"/>
                <w:u w:val="none"/>
                <w:lang w:val="en-US" w:eastAsia="zh-CN" w:bidi="ar"/>
              </w:rPr>
              <w:t>。相应化粪池坑洞开挖方案由承包人编制专项施工方案（应满足相关规范、安全要求），并报送监理、设计、建设（代建）单位确认后实施。如流程上需进行论证、报审，相应论证、审查费用亦包含在改单项报价范围内。</w:t>
            </w:r>
            <w:r>
              <w:rPr>
                <w:rFonts w:hint="eastAsia" w:ascii="宋体" w:hAnsi="宋体" w:eastAsia="宋体" w:cs="宋体"/>
                <w:color w:val="0000FF"/>
                <w:kern w:val="0"/>
                <w:sz w:val="21"/>
                <w:szCs w:val="21"/>
                <w:highlight w:val="none"/>
                <w:u w:val="none"/>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cs="宋体"/>
                <w:color w:val="0000FF"/>
                <w:kern w:val="0"/>
                <w:sz w:val="21"/>
                <w:szCs w:val="21"/>
                <w:highlight w:val="none"/>
                <w:u w:val="none"/>
                <w:lang w:val="en-US" w:eastAsia="zh-CN" w:bidi="ar"/>
              </w:rPr>
              <w:t>18</w:t>
            </w:r>
            <w:r>
              <w:rPr>
                <w:rFonts w:hint="eastAsia" w:ascii="宋体" w:hAnsi="宋体" w:eastAsia="宋体" w:cs="宋体"/>
                <w:color w:val="0000FF"/>
                <w:kern w:val="0"/>
                <w:sz w:val="21"/>
                <w:szCs w:val="21"/>
                <w:highlight w:val="none"/>
                <w:u w:val="none"/>
                <w:lang w:val="en-US" w:eastAsia="zh-CN" w:bidi="ar"/>
              </w:rPr>
              <w:t xml:space="preserve">、（1）合同签订后90天内须完成电梯品牌选定，且由最终选定的电梯单位提前配合发包人制定井道相关数据。（2）电梯保修期内每年年度定检（年检）费均由承包人承担。（3）承包人已考虑电梯价格中包括但不限于：采购一切设备费、材料费（包括必备的零部件和易损件）、辅材费、专用工具费、运输费（含垂直运输费）、保险费、装卸费、二次搬运费、保管费、税金（含关税）及市场风险费等全部费用，以及安装过程中所涉及到包括拆箱清点、装卸及近距离搬运和施工现场二次搬运费、设备垂直运输费、设备材料及工具的保管费、电梯安装施工人员食宿费用及交通费用、电梯安装使用全焊等辅助设备及人工费、施工人员的劳动保险和人身保险、安装调试临时电缆、安装调试费、井道脚手架搭拆费用、安全防护设施费用、水电费、排污费、各项保险费、人员培训费、起吊分层就位、井道整改、井道永久照明、井道爬梯、曳引机承重钢梁、设备搬运吊装、重块租运、电梯安装期间的管理与配合费、成品保护费（指电梯到达指定地点并安装、调试完毕直至整体工程综合验收移交物业公司的所需费用）、竣工资料费、质量保证期内的电梯定期检验费、维护费用、当地主管部门的电梯验收检验费、安装过程监督检验费、移交前设备保管及电梯维护费用、移交给物业前电梯维护费用及年检费、整改费用、提前使用配合费、利润、税收以及市场风险等为履行合同条件并准时、满意的完成合同所支出的整项工程所需的一切事务及物品的费用。（4）设备价和安装费应分开报价，其中设备价含：设备费、运至发包人指定地点的运输费、运输保险费、专用工具费、税费等，其它列入安装费。（5）电梯提前使用相关费用：在施工电梯拆除后，作为建筑物唯一的垂直运输工具，必须提前使用室内电梯（每个梯位需提供1台电梯），提前使用周期至物业交房前为止；承包人应在合同价文件中承诺：一旦成交，将积极配合，保证电梯使用安全且免费使用，在提前使用阶段，派驻2名以上技术人员常驻工地现场，保证电梯正常使用，提前使用配合费包含但不限于提前使用引起的损伤（人为配件损坏除外）修复及竣工交付前重新调试维护等费用，电梯提前使用配合费已计入总价中。（6）电梯实际采购数量及配置，发包人有权根据实际情况调整，结算时以合同签订、补充协议及变更签证的金额数为依据进行调整。（7）本工程设计电梯采购项目要求承包人应对电梯的成品进行保护、看管，直至整体工程综合验收合格移交物业公司为止。在电梯安装调试完成后，为配合项目的主体后期施工、验收等需要，发包人有权要求承包人配合使用电梯。（8）承包人应充分考虑现场场地条件、工期要求，特别是电梯调试后至移交物业公司期间（此期间如果发包人需要使用部分电梯，承包人必须无条件配合）所产生的电梯使用（含开机人员工资等所有费用）、保养费用，以及电梯移交物业前，电梯所进行的调整、维护、校正等工作的相关费用，此费用均包含在合同价中。（9）合同价中已包括电梯机房空调设备费、首批住户交房前年检费、首批住户交房前维修保养费。（10）电梯安装调试（包括整机性能试验）过程，承包人应作详细检验记录，检验记录需提供给发包人，安装调试检验结果应符合制造厂产品标准和招标文件 “技术规格及要求”的规定。整个安装过程发包人视现场情况可委托有资质的监检单位进行监检或委托专业安装人员（组）监检，此费用由承包人负责，已包含在合同价中。（11）电梯各楼层层门的门坎下部与井道侧壁间的间隙要求承包人必须采用同等大小的2.0MM厚钢板满设，采用焊接安装，电梯各楼层层门的门框(每个门含上部、左右侧共三处)等与井道侧壁间的间隙要求承包人必须采用同等大小的1.0MM厚镀锌板满设，此部分的所有费用（含材料、安装费）由承包人负责并含在合同价中。承包人需考虑现场各楼层电梯层门的门框镀锌板焊接后与门套间形成的空间的堵塞费用。电梯轿厢侧壁距电梯开启门下部的梁侧距离不能大于150MM，若有超过不能满足相关验收要求，由承包人负责处理（要求采用角铁框架外安装1.0MM 厚镀锌板的方案）。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cs="宋体"/>
                <w:color w:val="0000FF"/>
                <w:kern w:val="0"/>
                <w:sz w:val="21"/>
                <w:szCs w:val="21"/>
                <w:highlight w:val="none"/>
                <w:u w:val="none"/>
                <w:lang w:val="en-US" w:eastAsia="zh-CN" w:bidi="ar"/>
              </w:rPr>
              <w:t>19</w:t>
            </w:r>
            <w:r>
              <w:rPr>
                <w:rFonts w:hint="eastAsia" w:ascii="宋体" w:hAnsi="宋体" w:eastAsia="宋体" w:cs="宋体"/>
                <w:color w:val="0000FF"/>
                <w:kern w:val="0"/>
                <w:sz w:val="21"/>
                <w:szCs w:val="21"/>
                <w:highlight w:val="none"/>
                <w:u w:val="none"/>
                <w:lang w:val="en-US" w:eastAsia="zh-CN" w:bidi="ar"/>
              </w:rPr>
              <w:t xml:space="preserve">、本项目在施工过程中组织的考察点评会、观摩会、工地开放日，承包人必须予以配合，且应根据现场规模建设工艺展示区、安全体验馆、工人吸烟亭、全自动洗车池、观摩指挥台等安全文明设施，具体方案需经监理及发包人审批，相关费用从安全文明措施费中计取，超出部分承包人应自行考虑。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2</w:t>
            </w:r>
            <w:r>
              <w:rPr>
                <w:rFonts w:hint="eastAsia" w:cs="宋体"/>
                <w:color w:val="0000FF"/>
                <w:kern w:val="0"/>
                <w:sz w:val="21"/>
                <w:szCs w:val="21"/>
                <w:highlight w:val="none"/>
                <w:u w:val="none"/>
                <w:lang w:val="en-US" w:eastAsia="zh-CN" w:bidi="ar"/>
              </w:rPr>
              <w:t>0</w:t>
            </w:r>
            <w:r>
              <w:rPr>
                <w:rFonts w:hint="eastAsia" w:ascii="宋体" w:hAnsi="宋体" w:eastAsia="宋体" w:cs="宋体"/>
                <w:color w:val="0000FF"/>
                <w:kern w:val="0"/>
                <w:sz w:val="21"/>
                <w:szCs w:val="21"/>
                <w:highlight w:val="none"/>
                <w:u w:val="none"/>
                <w:lang w:val="en-US" w:eastAsia="zh-CN" w:bidi="ar"/>
              </w:rPr>
              <w:t xml:space="preserve">、承包人在工程施工期间应（间隔不多于七天）向发包人提供标明时间和工程进度记录的航拍测绘图及工程形象照片及视频录像（无人机航拍范围为项目用地红线范围），并附有详细的文字说明，以表明工程的确切位置和进度，并根据发包人需要进行影印。关键性的施工部位，承包人应拍摄录像并制成光盘。承包人提供的航拍测绘图、工程彩照和录像光盘应是发包人的财产，由此发生的费用已包含在承包人的合同总价中，由承包人支付，发包人不再另行支付。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2</w:t>
            </w:r>
            <w:r>
              <w:rPr>
                <w:rFonts w:hint="eastAsia" w:cs="宋体"/>
                <w:color w:val="0000FF"/>
                <w:kern w:val="0"/>
                <w:sz w:val="21"/>
                <w:szCs w:val="21"/>
                <w:highlight w:val="none"/>
                <w:u w:val="none"/>
                <w:lang w:val="en-US" w:eastAsia="zh-CN" w:bidi="ar"/>
              </w:rPr>
              <w:t>1</w:t>
            </w:r>
            <w:r>
              <w:rPr>
                <w:rFonts w:hint="eastAsia" w:ascii="宋体" w:hAnsi="宋体" w:eastAsia="宋体" w:cs="宋体"/>
                <w:color w:val="0000FF"/>
                <w:kern w:val="0"/>
                <w:sz w:val="21"/>
                <w:szCs w:val="21"/>
                <w:highlight w:val="none"/>
                <w:u w:val="none"/>
                <w:lang w:val="en-US" w:eastAsia="zh-CN" w:bidi="ar"/>
              </w:rPr>
              <w:t xml:space="preserve">、本工程所使用的玻璃原片（包括：LOW-E镀膜玻璃、无色透明玻璃等本工程所有使用的玻璃）须向发包人材料设备参考品牌表内的玻璃厂家采购。玻璃深加工须在发包人材料设备参考品牌表内的厂家加工。对玻璃深加工厂产品的要求:①所有出厂玻璃成品上需打上玻璃深加工厂的LOGO标识，并统一印致玻璃的左下角；②承包人向招标人提供本项目的“玻璃原片”厂家的供货证明(包含供货合同、项目名称、供货时间、供货数量等)；③招标人可随机抽取到货的玻璃进行检测，若检测出玻璃非指定的“玻璃原片”厂所供货，发包人有权要求对不符合要求的玻璃进行全部退场更换，中标人需承担违约责任,并承担相应的经济处罚。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2</w:t>
            </w:r>
            <w:r>
              <w:rPr>
                <w:rFonts w:hint="eastAsia" w:cs="宋体"/>
                <w:color w:val="0000FF"/>
                <w:kern w:val="0"/>
                <w:sz w:val="21"/>
                <w:szCs w:val="21"/>
                <w:highlight w:val="none"/>
                <w:u w:val="none"/>
                <w:lang w:val="en-US" w:eastAsia="zh-CN" w:bidi="ar"/>
              </w:rPr>
              <w:t>2</w:t>
            </w:r>
            <w:r>
              <w:rPr>
                <w:rFonts w:hint="eastAsia" w:ascii="宋体" w:hAnsi="宋体" w:eastAsia="宋体" w:cs="宋体"/>
                <w:color w:val="0000FF"/>
                <w:kern w:val="0"/>
                <w:sz w:val="21"/>
                <w:szCs w:val="21"/>
                <w:highlight w:val="none"/>
                <w:u w:val="none"/>
                <w:lang w:val="en-US" w:eastAsia="zh-CN" w:bidi="ar"/>
              </w:rPr>
              <w:t>、工程变更实施及审批按</w:t>
            </w:r>
            <w:r>
              <w:rPr>
                <w:rFonts w:hint="eastAsia" w:cs="宋体"/>
                <w:color w:val="0000FF"/>
                <w:kern w:val="0"/>
                <w:sz w:val="21"/>
                <w:szCs w:val="21"/>
                <w:highlight w:val="none"/>
                <w:u w:val="none"/>
                <w:lang w:val="en-US" w:eastAsia="zh-CN" w:bidi="ar"/>
              </w:rPr>
              <w:t>建设单位</w:t>
            </w:r>
            <w:r>
              <w:rPr>
                <w:rFonts w:hint="eastAsia" w:ascii="宋体" w:hAnsi="宋体" w:eastAsia="宋体" w:cs="宋体"/>
                <w:color w:val="0000FF"/>
                <w:kern w:val="0"/>
                <w:sz w:val="21"/>
                <w:szCs w:val="21"/>
                <w:highlight w:val="none"/>
                <w:u w:val="none"/>
                <w:lang w:val="en-US" w:eastAsia="zh-CN" w:bidi="ar"/>
              </w:rPr>
              <w:t xml:space="preserve">的相关规定执行，并以最新规定为准。承包人应积极配合发包人及其上级部门对工程变更或现场签证的审核。承包人应秉承实事求是的原则，不得虚报，若单份变更（现场签证或设计变更）最终审减额超过报审价款20%以外的部分按（审减额－报审价款×20%)×5.0%计算审计费由承包人支付，发包人在支付工程变更款项时扣除。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2</w:t>
            </w:r>
            <w:r>
              <w:rPr>
                <w:rFonts w:hint="eastAsia" w:cs="宋体"/>
                <w:color w:val="0000FF"/>
                <w:kern w:val="0"/>
                <w:sz w:val="21"/>
                <w:szCs w:val="21"/>
                <w:highlight w:val="none"/>
                <w:u w:val="none"/>
                <w:lang w:val="en-US" w:eastAsia="zh-CN" w:bidi="ar"/>
              </w:rPr>
              <w:t>3</w:t>
            </w:r>
            <w:r>
              <w:rPr>
                <w:rFonts w:hint="eastAsia" w:ascii="宋体" w:hAnsi="宋体" w:eastAsia="宋体" w:cs="宋体"/>
                <w:color w:val="0000FF"/>
                <w:kern w:val="0"/>
                <w:sz w:val="21"/>
                <w:szCs w:val="21"/>
                <w:highlight w:val="none"/>
                <w:u w:val="none"/>
                <w:lang w:val="en-US" w:eastAsia="zh-CN" w:bidi="ar"/>
              </w:rPr>
              <w:t xml:space="preserve">、本工程引入第三方评估考核管理制度，本合同项下所有承包范围必须满足发包人委托的第三方评估考核的要求，对承包人的奖罚根据发包人《第三方评估检查管理办法》执行。承包人同意接受和配合发包人（包括发包人所属集团、公司，下同）组织的第三方工程评估工作（包括第三方实测实量考核评估等，下同），根据发包人关于第三方工程评估的有关规定和要求，开展安全文明、施工质量的自查自纠行动，按要求进行整改，并应服从发包人第三方工程评估考核管理办法的奖惩措施。承包人应根据第三方工程评估要求自行制定管理制度并配备相应工具、设备。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ascii="宋体" w:hAnsi="宋体" w:eastAsia="宋体" w:cs="宋体"/>
                <w:color w:val="0000FF"/>
                <w:kern w:val="0"/>
                <w:sz w:val="21"/>
                <w:szCs w:val="21"/>
                <w:highlight w:val="none"/>
                <w:u w:val="none"/>
                <w:lang w:val="en-US" w:eastAsia="zh-CN" w:bidi="ar"/>
              </w:rPr>
              <w:t>2</w:t>
            </w:r>
            <w:r>
              <w:rPr>
                <w:rFonts w:hint="eastAsia" w:cs="宋体"/>
                <w:color w:val="0000FF"/>
                <w:kern w:val="0"/>
                <w:sz w:val="21"/>
                <w:szCs w:val="21"/>
                <w:highlight w:val="none"/>
                <w:u w:val="none"/>
                <w:lang w:val="en-US" w:eastAsia="zh-CN" w:bidi="ar"/>
              </w:rPr>
              <w:t>4</w:t>
            </w:r>
            <w:r>
              <w:rPr>
                <w:rFonts w:hint="eastAsia" w:ascii="宋体" w:hAnsi="宋体" w:eastAsia="宋体" w:cs="宋体"/>
                <w:color w:val="0000FF"/>
                <w:kern w:val="0"/>
                <w:sz w:val="21"/>
                <w:szCs w:val="21"/>
                <w:highlight w:val="none"/>
                <w:u w:val="none"/>
                <w:lang w:val="en-US" w:eastAsia="zh-CN" w:bidi="ar"/>
              </w:rPr>
              <w:t xml:space="preserve">、发包人及其上级集团公司制定的有关工程管理文件、企业标准、制度等相关规定，作为合同不可分割的组成部分且具有同等法律效力，承办人若有违反，发包人根据相关规定给予处罚。承包人应结合发包人实际制定的管理规定，严格履行相关规定，并在报价时综合考虑，不得以此要求费用和工期索赔。 </w:t>
            </w:r>
          </w:p>
          <w:p>
            <w:pPr>
              <w:keepNext w:val="0"/>
              <w:keepLines w:val="0"/>
              <w:pageBreakBefore w:val="0"/>
              <w:widowControl/>
              <w:numPr>
                <w:ilvl w:val="-1"/>
                <w:numId w:val="0"/>
              </w:numPr>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kern w:val="0"/>
                <w:sz w:val="21"/>
                <w:szCs w:val="21"/>
                <w:highlight w:val="none"/>
                <w:u w:val="none"/>
                <w:lang w:val="en-US" w:eastAsia="zh-CN" w:bidi="ar"/>
              </w:rPr>
            </w:pPr>
            <w:r>
              <w:rPr>
                <w:rFonts w:hint="eastAsia" w:cs="宋体"/>
                <w:color w:val="0000FF"/>
                <w:kern w:val="0"/>
                <w:sz w:val="21"/>
                <w:szCs w:val="21"/>
                <w:highlight w:val="none"/>
                <w:u w:val="none"/>
                <w:lang w:val="en-US" w:eastAsia="zh-CN" w:bidi="ar"/>
              </w:rPr>
              <w:t>25、</w:t>
            </w:r>
            <w:r>
              <w:rPr>
                <w:rFonts w:hint="eastAsia" w:ascii="宋体" w:hAnsi="宋体" w:eastAsia="宋体" w:cs="宋体"/>
                <w:color w:val="0000FF"/>
                <w:kern w:val="0"/>
                <w:sz w:val="21"/>
                <w:szCs w:val="21"/>
                <w:highlight w:val="none"/>
                <w:u w:val="none"/>
                <w:lang w:val="en-US" w:eastAsia="zh-CN" w:bidi="ar"/>
              </w:rPr>
              <w:t>承包人作为工程的总承包人已综合考虑发包人及</w:t>
            </w:r>
            <w:r>
              <w:rPr>
                <w:rFonts w:hint="eastAsia" w:cs="宋体"/>
                <w:color w:val="0000FF"/>
                <w:kern w:val="0"/>
                <w:sz w:val="21"/>
                <w:szCs w:val="21"/>
                <w:highlight w:val="none"/>
                <w:u w:val="none"/>
                <w:lang w:val="en-US" w:eastAsia="zh-CN" w:bidi="ar"/>
              </w:rPr>
              <w:t>建设单位</w:t>
            </w:r>
            <w:r>
              <w:rPr>
                <w:rFonts w:hint="eastAsia" w:ascii="宋体" w:hAnsi="宋体" w:eastAsia="宋体" w:cs="宋体"/>
                <w:color w:val="0000FF"/>
                <w:kern w:val="0"/>
                <w:sz w:val="21"/>
                <w:szCs w:val="21"/>
                <w:highlight w:val="none"/>
                <w:u w:val="none"/>
                <w:lang w:val="en-US" w:eastAsia="zh-CN" w:bidi="ar"/>
              </w:rPr>
              <w:t>后期独立发包的所有采购的材料、设备</w:t>
            </w:r>
            <w:r>
              <w:rPr>
                <w:rFonts w:hint="eastAsia" w:cs="宋体"/>
                <w:color w:val="0000FF"/>
                <w:kern w:val="0"/>
                <w:sz w:val="21"/>
                <w:szCs w:val="21"/>
                <w:highlight w:val="none"/>
                <w:u w:val="none"/>
                <w:lang w:val="en-US" w:eastAsia="zh-CN" w:bidi="ar"/>
              </w:rPr>
              <w:t>及专业分包</w:t>
            </w:r>
            <w:r>
              <w:rPr>
                <w:rFonts w:hint="eastAsia" w:ascii="宋体" w:hAnsi="宋体" w:eastAsia="宋体" w:cs="宋体"/>
                <w:color w:val="0000FF"/>
                <w:kern w:val="0"/>
                <w:sz w:val="21"/>
                <w:szCs w:val="21"/>
                <w:highlight w:val="none"/>
                <w:u w:val="none"/>
                <w:lang w:val="en-US" w:eastAsia="zh-CN" w:bidi="ar"/>
              </w:rPr>
              <w:t>等项目，总包管理服务费与施工配合费等所需的任何费用均已将费用计入在相关项目的单价和合同总价之中，</w:t>
            </w:r>
            <w:r>
              <w:rPr>
                <w:rFonts w:hint="eastAsia" w:cs="宋体"/>
                <w:color w:val="0000FF"/>
                <w:kern w:val="0"/>
                <w:sz w:val="21"/>
                <w:szCs w:val="21"/>
                <w:highlight w:val="none"/>
                <w:u w:val="none"/>
                <w:lang w:val="en-US" w:eastAsia="zh-CN" w:bidi="ar"/>
              </w:rPr>
              <w:t>发包人不再另行支付</w:t>
            </w:r>
            <w:r>
              <w:rPr>
                <w:rFonts w:hint="eastAsia" w:ascii="宋体" w:hAnsi="宋体" w:eastAsia="宋体" w:cs="宋体"/>
                <w:color w:val="0000FF"/>
                <w:kern w:val="0"/>
                <w:sz w:val="21"/>
                <w:szCs w:val="21"/>
                <w:highlight w:val="none"/>
                <w:u w:val="none"/>
                <w:lang w:val="en-US" w:eastAsia="zh-CN" w:bidi="ar"/>
              </w:rPr>
              <w:t>任何费用。。</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kern w:val="0"/>
                <w:sz w:val="21"/>
                <w:szCs w:val="21"/>
                <w:highlight w:val="none"/>
                <w:u w:val="none"/>
                <w:lang w:val="en-US" w:eastAsia="zh-CN" w:bidi="ar"/>
              </w:rPr>
            </w:pPr>
            <w:r>
              <w:rPr>
                <w:rFonts w:hint="eastAsia" w:ascii="宋体" w:hAnsi="宋体" w:eastAsia="宋体" w:cs="宋体"/>
                <w:color w:val="0000FF"/>
                <w:kern w:val="0"/>
                <w:sz w:val="21"/>
                <w:szCs w:val="21"/>
                <w:highlight w:val="none"/>
                <w:u w:val="none"/>
                <w:lang w:val="en-US" w:eastAsia="zh-CN" w:bidi="ar"/>
              </w:rPr>
              <w:t>2</w:t>
            </w:r>
            <w:r>
              <w:rPr>
                <w:rFonts w:hint="eastAsia" w:cs="宋体"/>
                <w:color w:val="0000FF"/>
                <w:kern w:val="0"/>
                <w:sz w:val="21"/>
                <w:szCs w:val="21"/>
                <w:highlight w:val="none"/>
                <w:u w:val="none"/>
                <w:lang w:val="en-US" w:eastAsia="zh-CN" w:bidi="ar"/>
              </w:rPr>
              <w:t>6</w:t>
            </w:r>
            <w:r>
              <w:rPr>
                <w:rFonts w:hint="eastAsia" w:ascii="宋体" w:hAnsi="宋体" w:eastAsia="宋体" w:cs="宋体"/>
                <w:color w:val="0000FF"/>
                <w:kern w:val="0"/>
                <w:sz w:val="21"/>
                <w:szCs w:val="21"/>
                <w:highlight w:val="none"/>
                <w:u w:val="none"/>
                <w:lang w:val="en-US" w:eastAsia="zh-CN" w:bidi="ar"/>
              </w:rPr>
              <w:t>、承包人智能化工程预埋的管道应保持畅通，若后续其他承</w:t>
            </w:r>
            <w:r>
              <w:rPr>
                <w:rFonts w:hint="eastAsia" w:cs="宋体"/>
                <w:color w:val="0000FF"/>
                <w:kern w:val="0"/>
                <w:sz w:val="21"/>
                <w:szCs w:val="21"/>
                <w:highlight w:val="none"/>
                <w:u w:val="none"/>
                <w:lang w:val="en-US" w:eastAsia="zh-CN" w:bidi="ar"/>
              </w:rPr>
              <w:t>包</w:t>
            </w:r>
            <w:r>
              <w:rPr>
                <w:rFonts w:hint="eastAsia" w:ascii="宋体" w:hAnsi="宋体" w:eastAsia="宋体" w:cs="宋体"/>
                <w:color w:val="0000FF"/>
                <w:kern w:val="0"/>
                <w:sz w:val="21"/>
                <w:szCs w:val="21"/>
                <w:highlight w:val="none"/>
                <w:u w:val="none"/>
                <w:lang w:val="en-US" w:eastAsia="zh-CN" w:bidi="ar"/>
              </w:rPr>
              <w:t>人在实施过程中发现项目管道堵塞时，承包人应无条件配合完成项目的施工，相关费用均已将费用计入在相关项目的单价和合同总价之中，</w:t>
            </w:r>
            <w:r>
              <w:rPr>
                <w:rFonts w:hint="eastAsia" w:cs="宋体"/>
                <w:color w:val="0000FF"/>
                <w:kern w:val="0"/>
                <w:sz w:val="21"/>
                <w:szCs w:val="21"/>
                <w:highlight w:val="none"/>
                <w:u w:val="none"/>
                <w:lang w:val="en-US" w:eastAsia="zh-CN" w:bidi="ar"/>
              </w:rPr>
              <w:t>发包人不再另行支付</w:t>
            </w:r>
            <w:r>
              <w:rPr>
                <w:rFonts w:hint="eastAsia" w:ascii="宋体" w:hAnsi="宋体" w:eastAsia="宋体" w:cs="宋体"/>
                <w:color w:val="0000FF"/>
                <w:kern w:val="0"/>
                <w:sz w:val="21"/>
                <w:szCs w:val="21"/>
                <w:highlight w:val="none"/>
                <w:u w:val="none"/>
                <w:lang w:val="en-US" w:eastAsia="zh-CN" w:bidi="ar"/>
              </w:rPr>
              <w:t xml:space="preserve">任何费用。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kern w:val="0"/>
                <w:sz w:val="21"/>
                <w:szCs w:val="21"/>
                <w:highlight w:val="none"/>
                <w:u w:val="none"/>
                <w:lang w:val="en-US" w:eastAsia="zh-CN" w:bidi="ar"/>
              </w:rPr>
            </w:pPr>
            <w:r>
              <w:rPr>
                <w:rFonts w:hint="eastAsia" w:cs="宋体"/>
                <w:color w:val="0000FF"/>
                <w:kern w:val="0"/>
                <w:sz w:val="21"/>
                <w:szCs w:val="21"/>
                <w:highlight w:val="none"/>
                <w:u w:val="none"/>
                <w:lang w:val="en-US" w:eastAsia="zh-CN" w:bidi="ar"/>
              </w:rPr>
              <w:t>27</w:t>
            </w:r>
            <w:r>
              <w:rPr>
                <w:rFonts w:hint="eastAsia" w:ascii="宋体" w:hAnsi="宋体" w:eastAsia="宋体" w:cs="宋体"/>
                <w:color w:val="0000FF"/>
                <w:kern w:val="0"/>
                <w:sz w:val="21"/>
                <w:szCs w:val="21"/>
                <w:highlight w:val="none"/>
                <w:u w:val="none"/>
                <w:lang w:val="en-US" w:eastAsia="zh-CN" w:bidi="ar"/>
              </w:rPr>
              <w:t>、无条件配合</w:t>
            </w:r>
            <w:r>
              <w:rPr>
                <w:rFonts w:hint="eastAsia" w:cs="宋体"/>
                <w:color w:val="0000FF"/>
                <w:kern w:val="0"/>
                <w:sz w:val="21"/>
                <w:szCs w:val="21"/>
                <w:highlight w:val="none"/>
                <w:u w:val="none"/>
                <w:lang w:val="en-US" w:eastAsia="zh-CN" w:bidi="ar"/>
              </w:rPr>
              <w:t>建设单位</w:t>
            </w:r>
            <w:r>
              <w:rPr>
                <w:rFonts w:hint="eastAsia" w:ascii="宋体" w:hAnsi="宋体" w:eastAsia="宋体" w:cs="宋体"/>
                <w:color w:val="0000FF"/>
                <w:kern w:val="0"/>
                <w:sz w:val="21"/>
                <w:szCs w:val="21"/>
                <w:highlight w:val="none"/>
                <w:u w:val="none"/>
                <w:lang w:val="en-US" w:eastAsia="zh-CN" w:bidi="ar"/>
              </w:rPr>
              <w:t>后续招标的</w:t>
            </w:r>
            <w:r>
              <w:rPr>
                <w:rFonts w:hint="eastAsia" w:cs="宋体"/>
                <w:color w:val="0000FF"/>
                <w:kern w:val="0"/>
                <w:sz w:val="21"/>
                <w:szCs w:val="21"/>
                <w:highlight w:val="none"/>
                <w:u w:val="none"/>
                <w:lang w:val="en-US" w:eastAsia="zh-CN" w:bidi="ar"/>
              </w:rPr>
              <w:t>生产工艺设备、</w:t>
            </w:r>
            <w:r>
              <w:rPr>
                <w:rFonts w:hint="eastAsia" w:ascii="宋体" w:hAnsi="宋体" w:eastAsia="宋体" w:cs="宋体"/>
                <w:color w:val="0000FF"/>
                <w:kern w:val="0"/>
                <w:sz w:val="21"/>
                <w:szCs w:val="21"/>
                <w:highlight w:val="none"/>
                <w:u w:val="none"/>
                <w:lang w:val="en-US" w:eastAsia="zh-CN" w:bidi="ar"/>
              </w:rPr>
              <w:t xml:space="preserve">智能化设备及其他相关涉及承包单位进行系统调试，直至各系统的调试成功，确保系统正常稳定运行并通过相关部门的验收。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kern w:val="0"/>
                <w:sz w:val="21"/>
                <w:szCs w:val="21"/>
                <w:highlight w:val="none"/>
                <w:u w:val="none"/>
                <w:lang w:val="en-US" w:eastAsia="zh-CN" w:bidi="ar"/>
              </w:rPr>
            </w:pPr>
            <w:r>
              <w:rPr>
                <w:rFonts w:hint="eastAsia" w:cs="宋体"/>
                <w:color w:val="0000FF"/>
                <w:kern w:val="0"/>
                <w:sz w:val="21"/>
                <w:szCs w:val="21"/>
                <w:highlight w:val="none"/>
                <w:lang w:val="en-US" w:eastAsia="zh-CN" w:bidi="ar"/>
              </w:rPr>
              <w:t>28</w:t>
            </w:r>
            <w:r>
              <w:rPr>
                <w:rFonts w:hint="eastAsia" w:ascii="宋体" w:hAnsi="宋体" w:eastAsia="宋体" w:cs="宋体"/>
                <w:color w:val="0000FF"/>
                <w:kern w:val="0"/>
                <w:sz w:val="21"/>
                <w:szCs w:val="21"/>
                <w:highlight w:val="none"/>
                <w:lang w:val="en-US" w:eastAsia="zh-CN" w:bidi="ar"/>
              </w:rPr>
              <w:t>、</w:t>
            </w:r>
            <w:r>
              <w:rPr>
                <w:rFonts w:hint="eastAsia" w:ascii="宋体" w:hAnsi="宋体" w:eastAsia="宋体" w:cs="宋体"/>
                <w:color w:val="0000FF"/>
                <w:kern w:val="0"/>
                <w:sz w:val="21"/>
                <w:szCs w:val="21"/>
                <w:highlight w:val="none"/>
                <w:u w:val="none"/>
                <w:lang w:val="en-US" w:eastAsia="zh-CN" w:bidi="ar"/>
              </w:rPr>
              <w:t>关于项目内实施的景观绿化工程：承包人应按施工图设计的苗木规格、数量进行种植，苗木规格质量应符合设计要求和规格标准，木生长良好，无病虫害，苗木应为实生苗，不准采用高压苗和扦插苗等。除经发包人同意设计变更外，承包人不得擅自改变苗木的规格和数量，违者将按比例核减中标价格，没收履约保证金。对于确实难以采购的苗木，承包人可以在答疑时提出，以便综合考虑。承包人要求对苗木规格、品种的设计变更，应事先征得设计单位和主管部门同意的前提下进行。双方对工程绿化施工质量有争议时，双方同意由厦门市园林绿化工程质量监督站裁定。</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kern w:val="0"/>
                <w:sz w:val="21"/>
                <w:szCs w:val="21"/>
                <w:highlight w:val="none"/>
                <w:u w:val="none"/>
                <w:lang w:val="en-US" w:eastAsia="zh-CN" w:bidi="ar"/>
              </w:rPr>
            </w:pPr>
            <w:r>
              <w:rPr>
                <w:rFonts w:hint="eastAsia" w:ascii="宋体" w:hAnsi="宋体" w:eastAsia="宋体" w:cs="宋体"/>
                <w:color w:val="0000FF"/>
                <w:kern w:val="0"/>
                <w:sz w:val="21"/>
                <w:szCs w:val="21"/>
                <w:highlight w:val="none"/>
                <w:u w:val="none"/>
                <w:lang w:val="en-US" w:eastAsia="zh-CN" w:bidi="ar"/>
              </w:rPr>
              <w:t xml:space="preserve">本工程绿化范围内的填土，必须符合园林绿化相关规定，满足绿化种植条件。苗木成活率符合《福建省城市绿化工程质量验收规程》（DBJ13-90-2007）规定要求。当承包人完成施工图文件和合同约定的工程内容，经有关部门验收合格后，开始计算养护期。养护期满后，质量合格、通过竣工验收后，承包人应负责与接收单位办理工程移交手续（如有）。苗木成活率为100%，竣工并移交给接收单位时未满足要求，承包人应当自行补齐，投标人在投标报价中应综合考虑以上因素，中标后不再调整。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kern w:val="0"/>
                <w:sz w:val="21"/>
                <w:szCs w:val="21"/>
                <w:highlight w:val="none"/>
                <w:u w:val="none"/>
                <w:lang w:val="en-US" w:eastAsia="zh-CN" w:bidi="ar"/>
              </w:rPr>
            </w:pPr>
            <w:r>
              <w:rPr>
                <w:rFonts w:hint="eastAsia" w:ascii="宋体" w:hAnsi="宋体" w:eastAsia="宋体" w:cs="宋体"/>
                <w:color w:val="0000FF"/>
                <w:kern w:val="0"/>
                <w:sz w:val="21"/>
                <w:szCs w:val="21"/>
                <w:highlight w:val="none"/>
                <w:u w:val="none"/>
                <w:lang w:val="en-US" w:eastAsia="zh-CN" w:bidi="ar"/>
              </w:rPr>
              <w:t>本项目所有种植的苗木承包人均需组织监理、设计、发包人等各方确定后方能使用，如苗木进场时出现与号苗挑选的苗木不一致时，认定为不合格产品，由此造成的一切损失由承包人承担。</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u w:val="none"/>
              </w:rPr>
            </w:pPr>
            <w:r>
              <w:rPr>
                <w:rFonts w:hint="eastAsia" w:cs="宋体"/>
                <w:color w:val="0000FF"/>
                <w:kern w:val="0"/>
                <w:sz w:val="21"/>
                <w:szCs w:val="21"/>
                <w:highlight w:val="none"/>
                <w:u w:val="none"/>
                <w:lang w:val="en-US" w:eastAsia="zh-CN" w:bidi="ar"/>
              </w:rPr>
              <w:t>29</w:t>
            </w:r>
            <w:r>
              <w:rPr>
                <w:rFonts w:hint="eastAsia" w:ascii="宋体" w:hAnsi="宋体" w:eastAsia="宋体" w:cs="宋体"/>
                <w:color w:val="0000FF"/>
                <w:kern w:val="0"/>
                <w:sz w:val="21"/>
                <w:szCs w:val="21"/>
                <w:highlight w:val="none"/>
                <w:u w:val="none"/>
                <w:lang w:val="en-US" w:eastAsia="zh-CN" w:bidi="ar"/>
              </w:rPr>
              <w:t>、根据《建设工程质量检测管理办法》（住建部令第57号）、《厦门市建设局关于开展全市建设工程质量检测机构专项整治的通知》（厦建工[2023]36号）和《关于进一步规范建设工程检测质量管理工作的通知》（厦建质安[2022]49号）等现行文件要求，建设（代建）单位应严格落实质量管理首要责任，与具备相应资质的工程质量检测机构签订工程质量检测合同，且建设（代建）单位应按时足额支付检测费用。因工程材料检测费用已含在本项目施工合同中无法分离，为保证项目的顺利推进，本项目所涉及的工程材料检测费全部由承包人承担，且承包人应在项目实施过程中及时向发包人支付工程材料检测费。若未及时支付工程材料检测费影响现场工作的，</w:t>
            </w:r>
            <w:r>
              <w:rPr>
                <w:rFonts w:hint="eastAsia" w:cs="宋体"/>
                <w:color w:val="0000FF"/>
                <w:kern w:val="0"/>
                <w:sz w:val="21"/>
                <w:szCs w:val="21"/>
                <w:highlight w:val="none"/>
                <w:u w:val="none"/>
                <w:lang w:val="en-US" w:eastAsia="zh-CN" w:bidi="ar"/>
              </w:rPr>
              <w:t>发包人</w:t>
            </w:r>
            <w:r>
              <w:rPr>
                <w:rFonts w:hint="eastAsia" w:ascii="宋体" w:hAnsi="宋体" w:eastAsia="宋体" w:cs="宋体"/>
                <w:color w:val="0000FF"/>
                <w:kern w:val="0"/>
                <w:sz w:val="21"/>
                <w:szCs w:val="21"/>
                <w:highlight w:val="none"/>
                <w:u w:val="none"/>
                <w:lang w:val="en-US" w:eastAsia="zh-CN" w:bidi="ar"/>
              </w:rPr>
              <w:t xml:space="preserve">有权在支付进度款时扣除对应工程材料检测费，且由承包人承担所有损失同时按2000元/次进行处罚。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kern w:val="0"/>
                <w:sz w:val="21"/>
                <w:szCs w:val="21"/>
                <w:highlight w:val="none"/>
                <w:u w:val="none"/>
                <w:lang w:val="en-US" w:eastAsia="zh-CN" w:bidi="ar"/>
              </w:rPr>
            </w:pPr>
            <w:r>
              <w:rPr>
                <w:rFonts w:hint="eastAsia" w:ascii="宋体" w:hAnsi="宋体" w:eastAsia="宋体" w:cs="宋体"/>
                <w:color w:val="0000FF"/>
                <w:kern w:val="0"/>
                <w:sz w:val="21"/>
                <w:szCs w:val="21"/>
                <w:highlight w:val="none"/>
                <w:u w:val="none"/>
                <w:lang w:val="en-US" w:eastAsia="zh-CN" w:bidi="ar"/>
              </w:rPr>
              <w:t>3</w:t>
            </w:r>
            <w:r>
              <w:rPr>
                <w:rFonts w:hint="eastAsia" w:cs="宋体"/>
                <w:color w:val="0000FF"/>
                <w:kern w:val="0"/>
                <w:sz w:val="21"/>
                <w:szCs w:val="21"/>
                <w:highlight w:val="none"/>
                <w:u w:val="none"/>
                <w:lang w:val="en-US" w:eastAsia="zh-CN" w:bidi="ar"/>
              </w:rPr>
              <w:t>0</w:t>
            </w:r>
            <w:r>
              <w:rPr>
                <w:rFonts w:hint="eastAsia" w:ascii="宋体" w:hAnsi="宋体" w:eastAsia="宋体" w:cs="宋体"/>
                <w:color w:val="0000FF"/>
                <w:kern w:val="0"/>
                <w:sz w:val="21"/>
                <w:szCs w:val="21"/>
                <w:highlight w:val="none"/>
                <w:u w:val="none"/>
                <w:lang w:val="en-US" w:eastAsia="zh-CN" w:bidi="ar"/>
              </w:rPr>
              <w:t>、承包人负责智慧工地—远程视频监控系统的设备采购及安装、维护、维修及拆卸（系统须接入国贸地产“智能物联综合管理平台”进行统一管理），对塔吊高位球机的设备采购、安装和拆卸、使用过程设备维护（包含但不限于保障网络不掉线、设备用电不断电、设备本身不被破坏等）、以及智慧工地设备安装的现场工作等负责到位，费用已含在总包合同中由承包人全部承担，不再单独计取费用，且承包人不得向智慧工地实施单位收取总包管理费、水电费等配合费用。</w:t>
            </w:r>
          </w:p>
          <w:p>
            <w:pPr>
              <w:widowControl/>
              <w:spacing w:line="360" w:lineRule="auto"/>
              <w:ind w:firstLine="420" w:firstLineChars="200"/>
              <w:jc w:val="left"/>
              <w:rPr>
                <w:rFonts w:hint="eastAsia" w:ascii="宋体" w:hAnsi="宋体" w:cs="宋体"/>
                <w:color w:val="0000FF"/>
                <w:kern w:val="0"/>
                <w:sz w:val="21"/>
                <w:szCs w:val="21"/>
                <w:highlight w:val="none"/>
                <w:u w:val="none"/>
                <w:lang w:val="en-US" w:eastAsia="zh-CN" w:bidi="ar"/>
              </w:rPr>
            </w:pPr>
            <w:r>
              <w:rPr>
                <w:rFonts w:hint="eastAsia" w:ascii="宋体" w:hAnsi="宋体" w:cs="宋体"/>
                <w:color w:val="0000FF"/>
                <w:kern w:val="0"/>
                <w:sz w:val="21"/>
                <w:szCs w:val="21"/>
                <w:highlight w:val="none"/>
                <w:u w:val="none"/>
                <w:lang w:val="en-US" w:eastAsia="zh-CN" w:bidi="ar"/>
              </w:rPr>
              <w:t>31、承包人负责项目开工（或奠基）仪式的活动布置及活动组织，活动方案需</w:t>
            </w:r>
            <w:r>
              <w:rPr>
                <w:rFonts w:hint="eastAsia" w:cs="宋体"/>
                <w:color w:val="0000FF"/>
                <w:kern w:val="0"/>
                <w:sz w:val="21"/>
                <w:szCs w:val="21"/>
                <w:highlight w:val="none"/>
                <w:u w:val="none"/>
                <w:lang w:val="en-US" w:eastAsia="zh-CN" w:bidi="ar"/>
              </w:rPr>
              <w:t>经</w:t>
            </w:r>
            <w:r>
              <w:rPr>
                <w:rFonts w:hint="eastAsia" w:ascii="宋体" w:hAnsi="宋体" w:cs="宋体"/>
                <w:color w:val="0000FF"/>
                <w:kern w:val="0"/>
                <w:sz w:val="21"/>
                <w:szCs w:val="21"/>
                <w:highlight w:val="none"/>
                <w:u w:val="none"/>
                <w:lang w:val="en-US" w:eastAsia="zh-CN" w:bidi="ar"/>
              </w:rPr>
              <w:t>发包人审核，</w:t>
            </w:r>
            <w:r>
              <w:rPr>
                <w:rFonts w:hint="eastAsia" w:cs="宋体"/>
                <w:color w:val="0000FF"/>
                <w:kern w:val="0"/>
                <w:sz w:val="21"/>
                <w:szCs w:val="21"/>
                <w:highlight w:val="none"/>
                <w:u w:val="none"/>
                <w:lang w:val="en-US" w:eastAsia="zh-CN" w:bidi="ar"/>
              </w:rPr>
              <w:t>并</w:t>
            </w:r>
            <w:r>
              <w:rPr>
                <w:rFonts w:hint="eastAsia" w:ascii="宋体" w:hAnsi="宋体" w:cs="宋体"/>
                <w:color w:val="0000FF"/>
                <w:kern w:val="0"/>
                <w:sz w:val="21"/>
                <w:szCs w:val="21"/>
                <w:highlight w:val="none"/>
                <w:u w:val="none"/>
                <w:lang w:val="en-US" w:eastAsia="zh-CN" w:bidi="ar"/>
              </w:rPr>
              <w:t>按照发包人确认的方案实施，开工（或奠基）仪式所需的所有相关费用由承包人在投标报价时自行考虑，发包人不再另行支付费用。</w:t>
            </w:r>
          </w:p>
          <w:p>
            <w:pPr>
              <w:widowControl/>
              <w:spacing w:line="360" w:lineRule="auto"/>
              <w:ind w:firstLine="420" w:firstLineChars="200"/>
              <w:jc w:val="left"/>
            </w:pPr>
            <w:r>
              <w:rPr>
                <w:rFonts w:hint="eastAsia" w:ascii="宋体" w:hAnsi="宋体" w:cs="宋体"/>
                <w:color w:val="0000FF"/>
                <w:kern w:val="0"/>
                <w:sz w:val="21"/>
                <w:szCs w:val="21"/>
                <w:highlight w:val="none"/>
                <w:u w:val="none"/>
                <w:lang w:val="en-US" w:eastAsia="zh-CN" w:bidi="ar"/>
              </w:rPr>
              <w:t>32、</w:t>
            </w:r>
            <w:r>
              <w:rPr>
                <w:rFonts w:hint="eastAsia" w:cs="宋体"/>
                <w:color w:val="0000FF"/>
                <w:kern w:val="0"/>
                <w:sz w:val="21"/>
                <w:szCs w:val="21"/>
                <w:highlight w:val="none"/>
                <w:u w:val="none"/>
                <w:lang w:val="en-US" w:eastAsia="zh-CN" w:bidi="ar"/>
              </w:rPr>
              <w:t>承包人在永久围墙施工前，应提前报发包人确认围墙的具体定位，与周边紧邻项目共建围墙的部分，承包人应无条件按发包人的要求施工，并配合周边紧邻项目进行围墙的衔接调整，负责与周边项目进行协调沟通，确保围墙工程顺利实施，不得因此影响项目工期，涉及上述可能发生的调整、配合费用，</w:t>
            </w:r>
            <w:r>
              <w:rPr>
                <w:rFonts w:hint="eastAsia" w:ascii="宋体" w:hAnsi="宋体" w:cs="宋体"/>
                <w:color w:val="0000FF"/>
                <w:kern w:val="0"/>
                <w:sz w:val="21"/>
                <w:szCs w:val="21"/>
                <w:highlight w:val="none"/>
                <w:u w:val="none"/>
                <w:lang w:val="en-US" w:eastAsia="zh-CN" w:bidi="ar"/>
              </w:rPr>
              <w:t>由承包人在投标报价时自行考虑，发包人不再另行支付费用。</w:t>
            </w:r>
          </w:p>
          <w:p>
            <w:pPr>
              <w:pStyle w:val="24"/>
              <w:ind w:firstLine="420" w:firstLineChars="200"/>
              <w:rPr>
                <w:rFonts w:hint="eastAsia"/>
                <w:lang w:val="en-US" w:eastAsia="zh-CN"/>
              </w:rPr>
            </w:pPr>
            <w:r>
              <w:rPr>
                <w:rFonts w:hint="eastAsia" w:cs="宋体"/>
                <w:color w:val="0000FF"/>
                <w:kern w:val="0"/>
                <w:sz w:val="21"/>
                <w:szCs w:val="21"/>
                <w:highlight w:val="none"/>
                <w:u w:val="none"/>
                <w:lang w:val="en-US" w:eastAsia="zh-CN" w:bidi="ar"/>
              </w:rPr>
              <w:t>33、若因项目紧邻的开闭所建设需要，承包人应积极配合。</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kern w:val="0"/>
                <w:sz w:val="21"/>
                <w:szCs w:val="21"/>
                <w:highlight w:val="none"/>
                <w:u w:val="none"/>
                <w:lang w:val="en-US" w:eastAsia="zh-CN" w:bidi="ar"/>
              </w:rPr>
            </w:pPr>
          </w:p>
        </w:tc>
      </w:tr>
    </w:tbl>
    <w:p>
      <w:pPr>
        <w:rPr>
          <w:highlight w:val="none"/>
        </w:rPr>
      </w:pPr>
      <w:r>
        <w:rPr>
          <w:rFonts w:hint="eastAsia" w:ascii="宋体" w:hAnsi="宋体" w:eastAsia="宋体" w:cs="宋体"/>
          <w:b/>
          <w:bCs/>
          <w:color w:val="0000FF"/>
          <w:kern w:val="0"/>
          <w:sz w:val="21"/>
          <w:szCs w:val="21"/>
          <w:highlight w:val="none"/>
          <w:u w:val="none"/>
          <w:lang w:val="en-US" w:eastAsia="zh-CN" w:bidi="ar"/>
        </w:rPr>
        <w:br w:type="page"/>
      </w:r>
    </w:p>
    <w:p>
      <w:pPr>
        <w:jc w:val="center"/>
        <w:rPr>
          <w:color w:val="auto"/>
          <w:highlight w:val="none"/>
          <w:lang w:val="en-US"/>
        </w:rPr>
      </w:pPr>
      <w:r>
        <w:rPr>
          <w:rFonts w:hint="eastAsia"/>
          <w:color w:val="auto"/>
          <w:highlight w:val="none"/>
        </w:rPr>
        <w:t>合同附件</w:t>
      </w:r>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p>
    <w:p>
      <w:pPr>
        <w:adjustRightInd w:val="0"/>
        <w:spacing w:line="360" w:lineRule="atLeast"/>
        <w:textAlignment w:val="baseline"/>
        <w:rPr>
          <w:rFonts w:ascii="Calibri" w:hAnsi="Calibri"/>
          <w:color w:val="auto"/>
          <w:sz w:val="20"/>
          <w:highlight w:val="none"/>
        </w:rPr>
      </w:pPr>
    </w:p>
    <w:p>
      <w:pPr>
        <w:adjustRightInd w:val="0"/>
        <w:spacing w:line="360" w:lineRule="auto"/>
        <w:ind w:firstLine="420" w:firstLineChars="200"/>
        <w:jc w:val="left"/>
        <w:textAlignment w:val="baseline"/>
        <w:rPr>
          <w:rFonts w:hAnsi="Calibri"/>
          <w:color w:val="auto"/>
          <w:sz w:val="21"/>
          <w:szCs w:val="21"/>
          <w:highlight w:val="none"/>
        </w:rPr>
      </w:pPr>
      <w:r>
        <w:rPr>
          <w:rFonts w:hint="eastAsia" w:hAnsi="Calibri"/>
          <w:color w:val="auto"/>
          <w:sz w:val="21"/>
          <w:szCs w:val="21"/>
          <w:highlight w:val="none"/>
        </w:rPr>
        <w:t>协议书附件：</w:t>
      </w:r>
    </w:p>
    <w:p>
      <w:pPr>
        <w:adjustRightInd w:val="0"/>
        <w:spacing w:line="360" w:lineRule="auto"/>
        <w:ind w:firstLine="420" w:firstLineChars="200"/>
        <w:jc w:val="left"/>
        <w:textAlignment w:val="baseline"/>
        <w:rPr>
          <w:rFonts w:hAnsi="Calibri"/>
          <w:color w:val="auto"/>
          <w:sz w:val="21"/>
          <w:szCs w:val="21"/>
          <w:highlight w:val="none"/>
        </w:rPr>
      </w:pPr>
      <w:r>
        <w:rPr>
          <w:rFonts w:hint="eastAsia" w:hAnsi="Calibri"/>
          <w:color w:val="auto"/>
          <w:sz w:val="21"/>
          <w:szCs w:val="21"/>
          <w:highlight w:val="none"/>
        </w:rPr>
        <w:t>附件1：承包人承揽工程项目一览表</w:t>
      </w:r>
    </w:p>
    <w:p>
      <w:pPr>
        <w:adjustRightInd w:val="0"/>
        <w:spacing w:line="360" w:lineRule="auto"/>
        <w:ind w:firstLine="420" w:firstLineChars="200"/>
        <w:jc w:val="left"/>
        <w:textAlignment w:val="baseline"/>
        <w:rPr>
          <w:rFonts w:hAnsi="Calibri"/>
          <w:color w:val="auto"/>
          <w:sz w:val="21"/>
          <w:szCs w:val="21"/>
          <w:highlight w:val="none"/>
        </w:rPr>
      </w:pPr>
      <w:r>
        <w:rPr>
          <w:rFonts w:hint="eastAsia" w:hAnsi="Calibri"/>
          <w:color w:val="auto"/>
          <w:sz w:val="21"/>
          <w:szCs w:val="21"/>
          <w:highlight w:val="none"/>
        </w:rPr>
        <w:t>专用合同条款附件：</w:t>
      </w:r>
    </w:p>
    <w:p>
      <w:pPr>
        <w:adjustRightInd w:val="0"/>
        <w:spacing w:line="360" w:lineRule="auto"/>
        <w:ind w:firstLine="420" w:firstLineChars="200"/>
        <w:jc w:val="left"/>
        <w:textAlignment w:val="baseline"/>
        <w:rPr>
          <w:rFonts w:hAnsi="Calibri"/>
          <w:color w:val="auto"/>
          <w:sz w:val="21"/>
          <w:szCs w:val="21"/>
          <w:highlight w:val="none"/>
        </w:rPr>
      </w:pPr>
      <w:r>
        <w:rPr>
          <w:rFonts w:hint="eastAsia" w:hAnsi="Calibri"/>
          <w:color w:val="auto"/>
          <w:sz w:val="21"/>
          <w:szCs w:val="21"/>
          <w:highlight w:val="none"/>
        </w:rPr>
        <w:t>附件2：发包人供应材料设备一览表</w:t>
      </w:r>
    </w:p>
    <w:p>
      <w:pPr>
        <w:adjustRightInd w:val="0"/>
        <w:spacing w:line="360" w:lineRule="auto"/>
        <w:ind w:firstLine="420" w:firstLineChars="200"/>
        <w:jc w:val="left"/>
        <w:textAlignment w:val="baseline"/>
        <w:rPr>
          <w:rFonts w:hAnsi="Calibri"/>
          <w:color w:val="auto"/>
          <w:sz w:val="21"/>
          <w:szCs w:val="21"/>
          <w:highlight w:val="none"/>
        </w:rPr>
      </w:pPr>
      <w:r>
        <w:rPr>
          <w:rFonts w:hint="eastAsia" w:hAnsi="Calibri"/>
          <w:color w:val="auto"/>
          <w:sz w:val="21"/>
          <w:szCs w:val="21"/>
          <w:highlight w:val="none"/>
        </w:rPr>
        <w:t>附件3：工程质量保修书</w:t>
      </w:r>
    </w:p>
    <w:p>
      <w:pPr>
        <w:adjustRightInd w:val="0"/>
        <w:spacing w:line="360" w:lineRule="auto"/>
        <w:ind w:firstLine="420" w:firstLineChars="200"/>
        <w:jc w:val="left"/>
        <w:textAlignment w:val="baseline"/>
        <w:rPr>
          <w:rFonts w:hAnsi="Calibri"/>
          <w:color w:val="auto"/>
          <w:sz w:val="21"/>
          <w:szCs w:val="21"/>
          <w:highlight w:val="none"/>
        </w:rPr>
      </w:pPr>
      <w:r>
        <w:rPr>
          <w:rFonts w:hint="eastAsia" w:hAnsi="Calibri"/>
          <w:color w:val="auto"/>
          <w:sz w:val="21"/>
          <w:szCs w:val="21"/>
          <w:highlight w:val="none"/>
        </w:rPr>
        <w:t>附件4：主要建设工程文件目录</w:t>
      </w:r>
    </w:p>
    <w:p>
      <w:pPr>
        <w:adjustRightInd w:val="0"/>
        <w:spacing w:line="360" w:lineRule="auto"/>
        <w:ind w:firstLine="420" w:firstLineChars="200"/>
        <w:jc w:val="left"/>
        <w:textAlignment w:val="baseline"/>
        <w:rPr>
          <w:rFonts w:hAnsi="Calibri"/>
          <w:color w:val="auto"/>
          <w:sz w:val="21"/>
          <w:szCs w:val="21"/>
          <w:highlight w:val="none"/>
        </w:rPr>
      </w:pPr>
      <w:r>
        <w:rPr>
          <w:rFonts w:hint="eastAsia" w:hAnsi="Calibri"/>
          <w:color w:val="auto"/>
          <w:sz w:val="21"/>
          <w:szCs w:val="21"/>
          <w:highlight w:val="none"/>
        </w:rPr>
        <w:t>附件5：承包人用于本工程施工的机械设备表</w:t>
      </w:r>
    </w:p>
    <w:p>
      <w:pPr>
        <w:adjustRightInd w:val="0"/>
        <w:spacing w:line="360" w:lineRule="auto"/>
        <w:ind w:firstLine="420" w:firstLineChars="200"/>
        <w:jc w:val="left"/>
        <w:textAlignment w:val="baseline"/>
        <w:rPr>
          <w:rFonts w:hAnsi="Calibri"/>
          <w:color w:val="auto"/>
          <w:sz w:val="21"/>
          <w:szCs w:val="21"/>
          <w:highlight w:val="none"/>
        </w:rPr>
      </w:pPr>
      <w:r>
        <w:rPr>
          <w:rFonts w:hint="eastAsia" w:hAnsi="Calibri"/>
          <w:color w:val="auto"/>
          <w:sz w:val="21"/>
          <w:szCs w:val="21"/>
          <w:highlight w:val="none"/>
        </w:rPr>
        <w:t>附件6：承包人主要施工管理人员表</w:t>
      </w:r>
    </w:p>
    <w:p>
      <w:pPr>
        <w:adjustRightInd w:val="0"/>
        <w:spacing w:line="360" w:lineRule="auto"/>
        <w:ind w:firstLine="420" w:firstLineChars="200"/>
        <w:jc w:val="left"/>
        <w:textAlignment w:val="baseline"/>
        <w:rPr>
          <w:rFonts w:hAnsi="Calibri"/>
          <w:color w:val="auto"/>
          <w:sz w:val="21"/>
          <w:szCs w:val="21"/>
          <w:highlight w:val="none"/>
        </w:rPr>
      </w:pPr>
      <w:r>
        <w:rPr>
          <w:rFonts w:hint="eastAsia" w:hAnsi="Calibri"/>
          <w:color w:val="auto"/>
          <w:sz w:val="21"/>
          <w:szCs w:val="21"/>
          <w:highlight w:val="none"/>
        </w:rPr>
        <w:t>附件7：分包人主要施工管理人员表</w:t>
      </w:r>
    </w:p>
    <w:p>
      <w:pPr>
        <w:adjustRightInd w:val="0"/>
        <w:spacing w:line="360" w:lineRule="auto"/>
        <w:ind w:firstLine="420" w:firstLineChars="200"/>
        <w:jc w:val="left"/>
        <w:textAlignment w:val="baseline"/>
        <w:rPr>
          <w:rFonts w:hAnsi="Calibri"/>
          <w:color w:val="auto"/>
          <w:sz w:val="21"/>
          <w:szCs w:val="21"/>
          <w:highlight w:val="none"/>
        </w:rPr>
      </w:pPr>
      <w:r>
        <w:rPr>
          <w:rFonts w:hint="eastAsia" w:hAnsi="Calibri"/>
          <w:color w:val="auto"/>
          <w:sz w:val="21"/>
          <w:szCs w:val="21"/>
          <w:highlight w:val="none"/>
        </w:rPr>
        <w:t>附件8：履约保函示范文本</w:t>
      </w:r>
    </w:p>
    <w:p>
      <w:pPr>
        <w:adjustRightInd w:val="0"/>
        <w:spacing w:line="360" w:lineRule="auto"/>
        <w:ind w:firstLine="420" w:firstLineChars="200"/>
        <w:jc w:val="left"/>
        <w:textAlignment w:val="baseline"/>
        <w:rPr>
          <w:rFonts w:hAnsi="Calibri"/>
          <w:color w:val="auto"/>
          <w:sz w:val="21"/>
          <w:szCs w:val="21"/>
          <w:highlight w:val="none"/>
        </w:rPr>
      </w:pPr>
      <w:r>
        <w:rPr>
          <w:rFonts w:hint="eastAsia" w:hAnsi="Calibri"/>
          <w:color w:val="auto"/>
          <w:sz w:val="21"/>
          <w:szCs w:val="21"/>
          <w:highlight w:val="none"/>
        </w:rPr>
        <w:t>附件9：支付保函示范文本</w:t>
      </w:r>
    </w:p>
    <w:p>
      <w:pPr>
        <w:adjustRightInd w:val="0"/>
        <w:spacing w:line="360" w:lineRule="auto"/>
        <w:ind w:firstLine="420" w:firstLineChars="200"/>
        <w:jc w:val="left"/>
        <w:textAlignment w:val="baseline"/>
        <w:rPr>
          <w:rFonts w:hAnsi="Calibri" w:cs="黑体"/>
          <w:color w:val="auto"/>
          <w:sz w:val="21"/>
          <w:szCs w:val="21"/>
          <w:highlight w:val="none"/>
        </w:rPr>
      </w:pPr>
      <w:r>
        <w:rPr>
          <w:rFonts w:hint="eastAsia" w:hAnsi="Calibri"/>
          <w:color w:val="auto"/>
          <w:sz w:val="21"/>
          <w:szCs w:val="21"/>
          <w:highlight w:val="none"/>
        </w:rPr>
        <w:t>附件10：专业</w:t>
      </w:r>
      <w:r>
        <w:rPr>
          <w:rFonts w:hint="eastAsia" w:hAnsi="Calibri" w:cs="黑体"/>
          <w:color w:val="auto"/>
          <w:sz w:val="21"/>
          <w:szCs w:val="21"/>
          <w:highlight w:val="none"/>
        </w:rPr>
        <w:t>工程暂估价表</w:t>
      </w:r>
    </w:p>
    <w:p>
      <w:pPr>
        <w:adjustRightInd w:val="0"/>
        <w:spacing w:line="360" w:lineRule="auto"/>
        <w:ind w:firstLine="420" w:firstLineChars="200"/>
        <w:jc w:val="left"/>
        <w:textAlignment w:val="baseline"/>
        <w:rPr>
          <w:rFonts w:hint="eastAsia" w:hAnsi="Calibri" w:cs="黑体"/>
          <w:color w:val="auto"/>
          <w:sz w:val="21"/>
          <w:szCs w:val="21"/>
          <w:highlight w:val="none"/>
        </w:rPr>
      </w:pPr>
      <w:r>
        <w:rPr>
          <w:rFonts w:hint="eastAsia" w:hAnsi="Calibri" w:cs="黑体"/>
          <w:color w:val="auto"/>
          <w:sz w:val="21"/>
          <w:szCs w:val="21"/>
          <w:highlight w:val="none"/>
        </w:rPr>
        <w:t>附件11：质量保证金保函格式</w:t>
      </w:r>
    </w:p>
    <w:p>
      <w:pPr>
        <w:adjustRightInd w:val="0"/>
        <w:spacing w:line="360" w:lineRule="auto"/>
        <w:ind w:firstLine="420" w:firstLineChars="200"/>
        <w:jc w:val="left"/>
        <w:textAlignment w:val="baseline"/>
        <w:rPr>
          <w:rFonts w:hint="default" w:hAnsi="Calibri" w:eastAsia="宋体" w:cs="黑体"/>
          <w:color w:val="1552D1"/>
          <w:sz w:val="21"/>
          <w:szCs w:val="21"/>
          <w:highlight w:val="none"/>
          <w:lang w:val="en-US" w:eastAsia="zh-CN"/>
        </w:rPr>
      </w:pPr>
      <w:r>
        <w:rPr>
          <w:rFonts w:hint="eastAsia" w:hAnsi="Calibri" w:cs="黑体"/>
          <w:color w:val="1552D1"/>
          <w:sz w:val="21"/>
          <w:szCs w:val="21"/>
          <w:highlight w:val="none"/>
          <w:lang w:eastAsia="zh-CN"/>
        </w:rPr>
        <w:t>附件</w:t>
      </w:r>
      <w:r>
        <w:rPr>
          <w:rFonts w:hint="eastAsia" w:hAnsi="Calibri" w:cs="黑体"/>
          <w:color w:val="1552D1"/>
          <w:sz w:val="21"/>
          <w:szCs w:val="21"/>
          <w:highlight w:val="none"/>
          <w:lang w:val="en-US" w:eastAsia="zh-CN"/>
        </w:rPr>
        <w:t>12：《安全生产文明施工管理协议》</w:t>
      </w:r>
    </w:p>
    <w:bookmarkEnd w:id="261"/>
    <w:p>
      <w:pPr>
        <w:adjustRightInd w:val="0"/>
        <w:spacing w:line="360" w:lineRule="auto"/>
        <w:ind w:firstLine="420" w:firstLineChars="200"/>
        <w:jc w:val="left"/>
        <w:textAlignment w:val="baseline"/>
        <w:rPr>
          <w:rFonts w:hint="eastAsia" w:ascii="宋体" w:hAnsi="Calibri" w:eastAsia="宋体" w:cs="黑体"/>
          <w:color w:val="1552D1"/>
          <w:sz w:val="21"/>
          <w:szCs w:val="21"/>
          <w:highlight w:val="none"/>
        </w:rPr>
      </w:pPr>
      <w:bookmarkStart w:id="1403" w:name="_Toc63471488"/>
      <w:bookmarkEnd w:id="1403"/>
      <w:r>
        <w:rPr>
          <w:rFonts w:hint="eastAsia" w:ascii="宋体" w:hAnsi="Calibri" w:eastAsia="宋体" w:cs="黑体"/>
          <w:color w:val="1552D1"/>
          <w:sz w:val="21"/>
          <w:szCs w:val="21"/>
          <w:highlight w:val="none"/>
        </w:rPr>
        <w:t>附件 13：《工程建设项目廉洁责任合同》</w:t>
      </w:r>
    </w:p>
    <w:p>
      <w:pPr>
        <w:adjustRightInd w:val="0"/>
        <w:spacing w:line="360" w:lineRule="auto"/>
        <w:ind w:firstLine="420" w:firstLineChars="200"/>
        <w:jc w:val="left"/>
        <w:textAlignment w:val="baseline"/>
        <w:rPr>
          <w:rFonts w:hint="eastAsia" w:ascii="宋体" w:hAnsi="Calibri" w:eastAsia="宋体" w:cs="黑体"/>
          <w:color w:val="1552D1"/>
          <w:sz w:val="21"/>
          <w:szCs w:val="21"/>
          <w:highlight w:val="none"/>
        </w:rPr>
      </w:pPr>
      <w:r>
        <w:rPr>
          <w:rFonts w:hint="eastAsia" w:ascii="宋体" w:hAnsi="Calibri" w:eastAsia="宋体" w:cs="黑体"/>
          <w:color w:val="1552D1"/>
          <w:sz w:val="21"/>
          <w:szCs w:val="21"/>
          <w:highlight w:val="none"/>
        </w:rPr>
        <w:t>附件 14：《</w:t>
      </w:r>
      <w:r>
        <w:rPr>
          <w:rFonts w:hint="eastAsia" w:hAnsi="Calibri" w:cs="黑体"/>
          <w:color w:val="1552D1"/>
          <w:sz w:val="21"/>
          <w:szCs w:val="21"/>
          <w:highlight w:val="none"/>
        </w:rPr>
        <w:t>工程管理考核实施细则</w:t>
      </w:r>
      <w:r>
        <w:rPr>
          <w:rFonts w:hint="eastAsia" w:ascii="宋体" w:hAnsi="Calibri" w:eastAsia="宋体" w:cs="黑体"/>
          <w:color w:val="1552D1"/>
          <w:sz w:val="21"/>
          <w:szCs w:val="21"/>
          <w:highlight w:val="none"/>
        </w:rPr>
        <w:t>》</w:t>
      </w:r>
    </w:p>
    <w:p>
      <w:pPr>
        <w:adjustRightInd w:val="0"/>
        <w:spacing w:line="360" w:lineRule="auto"/>
        <w:ind w:firstLine="420" w:firstLineChars="200"/>
        <w:jc w:val="left"/>
        <w:textAlignment w:val="baseline"/>
        <w:rPr>
          <w:rFonts w:hint="eastAsia" w:ascii="宋体" w:hAnsi="Calibri" w:eastAsia="宋体" w:cs="黑体"/>
          <w:color w:val="1552D1"/>
          <w:sz w:val="21"/>
          <w:szCs w:val="21"/>
          <w:highlight w:val="none"/>
        </w:rPr>
      </w:pPr>
      <w:r>
        <w:rPr>
          <w:rFonts w:hint="eastAsia" w:ascii="宋体" w:hAnsi="Calibri" w:eastAsia="宋体" w:cs="黑体"/>
          <w:color w:val="1552D1"/>
          <w:sz w:val="21"/>
          <w:szCs w:val="21"/>
          <w:highlight w:val="none"/>
        </w:rPr>
        <w:t>附件 15：《保证在建工程农民工工资及时足额发放协议书》</w:t>
      </w:r>
    </w:p>
    <w:p>
      <w:pPr>
        <w:adjustRightInd w:val="0"/>
        <w:spacing w:line="360" w:lineRule="auto"/>
        <w:ind w:firstLine="420" w:firstLineChars="200"/>
        <w:jc w:val="left"/>
        <w:textAlignment w:val="baseline"/>
        <w:rPr>
          <w:rFonts w:hint="eastAsia" w:ascii="宋体" w:hAnsi="Calibri" w:eastAsia="宋体" w:cs="黑体"/>
          <w:color w:val="1552D1"/>
          <w:sz w:val="21"/>
          <w:szCs w:val="21"/>
          <w:highlight w:val="none"/>
        </w:rPr>
      </w:pPr>
      <w:r>
        <w:rPr>
          <w:rFonts w:hint="eastAsia" w:ascii="宋体" w:hAnsi="Calibri" w:eastAsia="宋体" w:cs="黑体"/>
          <w:color w:val="1552D1"/>
          <w:sz w:val="21"/>
          <w:szCs w:val="21"/>
          <w:highlight w:val="none"/>
        </w:rPr>
        <w:t>附件 16：《项目危险性较大的分部分项工程清单》</w:t>
      </w:r>
    </w:p>
    <w:p>
      <w:pPr>
        <w:adjustRightInd w:val="0"/>
        <w:spacing w:line="360" w:lineRule="auto"/>
        <w:ind w:firstLine="420" w:firstLineChars="200"/>
        <w:jc w:val="left"/>
        <w:textAlignment w:val="baseline"/>
        <w:rPr>
          <w:rFonts w:hint="eastAsia" w:ascii="宋体" w:hAnsi="Calibri" w:eastAsia="宋体" w:cs="黑体"/>
          <w:color w:val="1552D1"/>
          <w:sz w:val="21"/>
          <w:szCs w:val="21"/>
          <w:highlight w:val="none"/>
        </w:rPr>
      </w:pPr>
      <w:r>
        <w:rPr>
          <w:rFonts w:hint="eastAsia" w:ascii="宋体" w:hAnsi="Calibri" w:eastAsia="宋体" w:cs="黑体"/>
          <w:color w:val="1552D1"/>
          <w:sz w:val="21"/>
          <w:szCs w:val="21"/>
          <w:highlight w:val="none"/>
        </w:rPr>
        <w:t>附件 17：《扬尘污染防治措施管理协议》</w:t>
      </w:r>
    </w:p>
    <w:p>
      <w:pPr>
        <w:keepNext w:val="0"/>
        <w:keepLines w:val="0"/>
        <w:widowControl/>
        <w:suppressLineNumbers w:val="0"/>
        <w:adjustRightInd w:val="0"/>
        <w:spacing w:line="360" w:lineRule="auto"/>
        <w:ind w:firstLine="420" w:firstLineChars="200"/>
        <w:jc w:val="left"/>
        <w:textAlignment w:val="baseline"/>
        <w:rPr>
          <w:rFonts w:hint="eastAsia" w:ascii="宋体" w:hAnsi="Calibri" w:eastAsia="宋体" w:cs="黑体"/>
          <w:color w:val="1552D1"/>
          <w:sz w:val="21"/>
          <w:szCs w:val="21"/>
          <w:highlight w:val="none"/>
          <w:lang w:val="en-US" w:eastAsia="zh-CN"/>
        </w:rPr>
      </w:pPr>
      <w:r>
        <w:rPr>
          <w:rFonts w:hint="eastAsia" w:ascii="宋体" w:hAnsi="Calibri" w:eastAsia="宋体" w:cs="黑体"/>
          <w:color w:val="1552D1"/>
          <w:sz w:val="21"/>
          <w:szCs w:val="21"/>
          <w:highlight w:val="none"/>
          <w:lang w:val="en-US" w:eastAsia="zh-CN"/>
        </w:rPr>
        <w:t>附件18：《国贸地产安全文明施工标准化手册V2.0版》</w:t>
      </w:r>
    </w:p>
    <w:p>
      <w:pPr>
        <w:keepNext w:val="0"/>
        <w:keepLines w:val="0"/>
        <w:widowControl/>
        <w:suppressLineNumbers w:val="0"/>
        <w:adjustRightInd w:val="0"/>
        <w:spacing w:line="360" w:lineRule="auto"/>
        <w:ind w:firstLine="420" w:firstLineChars="200"/>
        <w:jc w:val="left"/>
        <w:textAlignment w:val="baseline"/>
        <w:rPr>
          <w:rFonts w:hint="eastAsia" w:hAnsi="Calibri" w:cs="黑体"/>
          <w:color w:val="1552D1"/>
          <w:sz w:val="21"/>
          <w:szCs w:val="21"/>
          <w:highlight w:val="none"/>
        </w:rPr>
      </w:pPr>
      <w:r>
        <w:rPr>
          <w:rFonts w:hint="eastAsia" w:hAnsi="Calibri" w:cs="黑体"/>
          <w:color w:val="1552D1"/>
          <w:sz w:val="21"/>
          <w:szCs w:val="21"/>
          <w:highlight w:val="none"/>
          <w:lang w:val="en-US" w:eastAsia="zh-CN"/>
        </w:rPr>
        <w:t>附件19：《</w:t>
      </w:r>
      <w:r>
        <w:rPr>
          <w:rFonts w:hint="eastAsia" w:hAnsi="Calibri" w:cs="黑体"/>
          <w:color w:val="1552D1"/>
          <w:sz w:val="21"/>
          <w:szCs w:val="21"/>
          <w:highlight w:val="none"/>
        </w:rPr>
        <w:t>智慧工地实施指引</w:t>
      </w:r>
      <w:r>
        <w:rPr>
          <w:rFonts w:hint="eastAsia" w:hAnsi="Calibri" w:cs="黑体"/>
          <w:color w:val="1552D1"/>
          <w:sz w:val="21"/>
          <w:szCs w:val="21"/>
          <w:highlight w:val="none"/>
          <w:lang w:eastAsia="zh-CN"/>
        </w:rPr>
        <w:t>》</w:t>
      </w:r>
    </w:p>
    <w:p>
      <w:pPr>
        <w:adjustRightInd w:val="0"/>
        <w:spacing w:line="360" w:lineRule="auto"/>
        <w:ind w:firstLine="420" w:firstLineChars="200"/>
        <w:jc w:val="left"/>
        <w:textAlignment w:val="baseline"/>
        <w:rPr>
          <w:rFonts w:hint="eastAsia" w:ascii="宋体" w:hAnsi="Calibri" w:eastAsia="宋体" w:cs="黑体"/>
          <w:color w:val="1552D1"/>
          <w:sz w:val="21"/>
          <w:szCs w:val="21"/>
          <w:highlight w:val="none"/>
        </w:rPr>
      </w:pPr>
    </w:p>
    <w:p>
      <w:pPr>
        <w:adjustRightInd w:val="0"/>
        <w:spacing w:line="360" w:lineRule="auto"/>
        <w:ind w:firstLine="420" w:firstLineChars="200"/>
        <w:jc w:val="left"/>
        <w:textAlignment w:val="baseline"/>
        <w:rPr>
          <w:rFonts w:ascii="黑体" w:eastAsia="黑体" w:cs="黑体"/>
          <w:color w:val="auto"/>
          <w:sz w:val="21"/>
          <w:szCs w:val="21"/>
          <w:highlight w:val="none"/>
        </w:rPr>
      </w:pPr>
      <w:r>
        <w:rPr>
          <w:rFonts w:ascii="黑体" w:eastAsia="黑体" w:cs="黑体"/>
          <w:color w:val="1552D1"/>
          <w:sz w:val="21"/>
          <w:szCs w:val="21"/>
          <w:highlight w:val="none"/>
        </w:rPr>
        <w:br w:type="page"/>
      </w:r>
      <w:r>
        <w:rPr>
          <w:rFonts w:hint="eastAsia" w:ascii="黑体" w:eastAsia="黑体" w:cs="黑体"/>
          <w:color w:val="auto"/>
          <w:sz w:val="21"/>
          <w:szCs w:val="21"/>
          <w:highlight w:val="none"/>
        </w:rPr>
        <w:t>附件1：</w:t>
      </w:r>
    </w:p>
    <w:p>
      <w:pPr>
        <w:adjustRightInd w:val="0"/>
        <w:spacing w:beforeLines="50" w:afterLines="50" w:line="300" w:lineRule="auto"/>
        <w:jc w:val="center"/>
        <w:textAlignment w:val="baseline"/>
        <w:rPr>
          <w:rFonts w:cs="宋体"/>
          <w:b/>
          <w:color w:val="auto"/>
          <w:sz w:val="28"/>
          <w:szCs w:val="28"/>
          <w:highlight w:val="none"/>
        </w:rPr>
      </w:pPr>
      <w:r>
        <w:rPr>
          <w:rFonts w:hint="eastAsia" w:cs="宋体"/>
          <w:b/>
          <w:color w:val="auto"/>
          <w:sz w:val="28"/>
          <w:szCs w:val="28"/>
          <w:highlight w:val="none"/>
        </w:rPr>
        <w:t>承包人承揽工程项目一览表</w:t>
      </w:r>
    </w:p>
    <w:tbl>
      <w:tblPr>
        <w:tblStyle w:val="60"/>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045"/>
        <w:gridCol w:w="729"/>
        <w:gridCol w:w="1076"/>
        <w:gridCol w:w="1167"/>
        <w:gridCol w:w="718"/>
        <w:gridCol w:w="1167"/>
        <w:gridCol w:w="987"/>
        <w:gridCol w:w="1252"/>
        <w:gridCol w:w="904"/>
        <w:gridCol w:w="90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318" w:hRule="atLeast"/>
          <w:jc w:val="center"/>
        </w:trPr>
        <w:tc>
          <w:tcPr>
            <w:tcW w:w="1045" w:type="dxa"/>
            <w:tcBorders>
              <w:top w:val="single" w:color="auto" w:sz="12" w:space="0"/>
              <w:left w:val="single" w:color="auto" w:sz="12" w:space="0"/>
              <w:bottom w:val="double" w:color="auto" w:sz="2"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单位工程名称</w:t>
            </w:r>
          </w:p>
        </w:tc>
        <w:tc>
          <w:tcPr>
            <w:tcW w:w="729" w:type="dxa"/>
            <w:tcBorders>
              <w:top w:val="single" w:color="auto" w:sz="12" w:space="0"/>
              <w:left w:val="single" w:color="auto" w:sz="6" w:space="0"/>
              <w:bottom w:val="double" w:color="auto" w:sz="2"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建设规模</w:t>
            </w:r>
          </w:p>
        </w:tc>
        <w:tc>
          <w:tcPr>
            <w:tcW w:w="1076" w:type="dxa"/>
            <w:tcBorders>
              <w:top w:val="single" w:color="auto" w:sz="12" w:space="0"/>
              <w:left w:val="single" w:color="auto" w:sz="6" w:space="0"/>
              <w:bottom w:val="double" w:color="auto" w:sz="2"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建筑面积(平方米)</w:t>
            </w:r>
          </w:p>
        </w:tc>
        <w:tc>
          <w:tcPr>
            <w:tcW w:w="1167" w:type="dxa"/>
            <w:tcBorders>
              <w:top w:val="single" w:color="auto" w:sz="12" w:space="0"/>
              <w:left w:val="single" w:color="auto" w:sz="6" w:space="0"/>
              <w:bottom w:val="double" w:color="auto" w:sz="2"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结构形式</w:t>
            </w:r>
          </w:p>
        </w:tc>
        <w:tc>
          <w:tcPr>
            <w:tcW w:w="718" w:type="dxa"/>
            <w:tcBorders>
              <w:top w:val="single" w:color="auto" w:sz="12" w:space="0"/>
              <w:left w:val="single" w:color="auto" w:sz="6" w:space="0"/>
              <w:bottom w:val="double" w:color="auto" w:sz="2"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层数</w:t>
            </w:r>
          </w:p>
        </w:tc>
        <w:tc>
          <w:tcPr>
            <w:tcW w:w="1167" w:type="dxa"/>
            <w:tcBorders>
              <w:top w:val="single" w:color="auto" w:sz="12" w:space="0"/>
              <w:left w:val="single" w:color="auto" w:sz="6" w:space="0"/>
              <w:bottom w:val="double" w:color="auto" w:sz="2"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生产能力</w:t>
            </w:r>
          </w:p>
        </w:tc>
        <w:tc>
          <w:tcPr>
            <w:tcW w:w="987" w:type="dxa"/>
            <w:tcBorders>
              <w:top w:val="single" w:color="auto" w:sz="12" w:space="0"/>
              <w:left w:val="single" w:color="auto" w:sz="6" w:space="0"/>
              <w:bottom w:val="double" w:color="auto" w:sz="2"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设备安装内容</w:t>
            </w:r>
          </w:p>
        </w:tc>
        <w:tc>
          <w:tcPr>
            <w:tcW w:w="1252" w:type="dxa"/>
            <w:tcBorders>
              <w:top w:val="single" w:color="auto" w:sz="12" w:space="0"/>
              <w:left w:val="single" w:color="auto" w:sz="6" w:space="0"/>
              <w:bottom w:val="double" w:color="auto" w:sz="2"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合同价格（元）</w:t>
            </w:r>
          </w:p>
        </w:tc>
        <w:tc>
          <w:tcPr>
            <w:tcW w:w="904" w:type="dxa"/>
            <w:tcBorders>
              <w:top w:val="single" w:color="auto" w:sz="12" w:space="0"/>
              <w:left w:val="single" w:color="auto" w:sz="6" w:space="0"/>
              <w:bottom w:val="double" w:color="auto" w:sz="2"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开工日期</w:t>
            </w:r>
          </w:p>
        </w:tc>
        <w:tc>
          <w:tcPr>
            <w:tcW w:w="904" w:type="dxa"/>
            <w:tcBorders>
              <w:top w:val="single" w:color="auto" w:sz="12" w:space="0"/>
              <w:left w:val="single" w:color="auto" w:sz="6" w:space="0"/>
              <w:bottom w:val="double" w:color="auto" w:sz="2" w:space="0"/>
              <w:right w:val="single" w:color="auto" w:sz="12"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竣工日期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58" w:hRule="atLeast"/>
          <w:jc w:val="center"/>
        </w:trPr>
        <w:tc>
          <w:tcPr>
            <w:tcW w:w="1045" w:type="dxa"/>
            <w:tcBorders>
              <w:top w:val="double" w:color="auto" w:sz="2" w:space="0"/>
              <w:left w:val="single" w:color="auto" w:sz="12"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729" w:type="dxa"/>
            <w:tcBorders>
              <w:top w:val="double" w:color="auto" w:sz="2"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076" w:type="dxa"/>
            <w:tcBorders>
              <w:top w:val="double" w:color="auto" w:sz="2"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167" w:type="dxa"/>
            <w:tcBorders>
              <w:top w:val="double" w:color="auto" w:sz="2"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718" w:type="dxa"/>
            <w:tcBorders>
              <w:top w:val="double" w:color="auto" w:sz="2"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167" w:type="dxa"/>
            <w:tcBorders>
              <w:top w:val="double" w:color="auto" w:sz="2"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987" w:type="dxa"/>
            <w:tcBorders>
              <w:top w:val="double" w:color="auto" w:sz="2"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252" w:type="dxa"/>
            <w:tcBorders>
              <w:top w:val="double" w:color="auto" w:sz="2"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904" w:type="dxa"/>
            <w:tcBorders>
              <w:top w:val="double" w:color="auto" w:sz="2"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904" w:type="dxa"/>
            <w:tcBorders>
              <w:top w:val="double" w:color="auto" w:sz="2" w:space="0"/>
              <w:left w:val="single" w:color="auto" w:sz="6" w:space="0"/>
              <w:bottom w:val="single" w:color="auto" w:sz="6" w:space="0"/>
              <w:right w:val="single" w:color="auto" w:sz="12" w:space="0"/>
            </w:tcBorders>
            <w:vAlign w:val="center"/>
          </w:tcPr>
          <w:p>
            <w:pPr>
              <w:keepNext/>
              <w:adjustRightInd w:val="0"/>
              <w:spacing w:line="300" w:lineRule="auto"/>
              <w:ind w:left="63" w:right="63"/>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58" w:hRule="atLeast"/>
          <w:jc w:val="center"/>
        </w:trPr>
        <w:tc>
          <w:tcPr>
            <w:tcW w:w="1045" w:type="dxa"/>
            <w:tcBorders>
              <w:top w:val="nil"/>
              <w:left w:val="single" w:color="auto" w:sz="12"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729"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076"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167"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718"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167"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987"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252"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904"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904" w:type="dxa"/>
            <w:tcBorders>
              <w:top w:val="nil"/>
              <w:left w:val="single" w:color="auto" w:sz="6" w:space="0"/>
              <w:bottom w:val="single" w:color="auto" w:sz="6" w:space="0"/>
              <w:right w:val="single" w:color="auto" w:sz="12" w:space="0"/>
            </w:tcBorders>
            <w:vAlign w:val="center"/>
          </w:tcPr>
          <w:p>
            <w:pPr>
              <w:keepNext/>
              <w:adjustRightInd w:val="0"/>
              <w:spacing w:line="300" w:lineRule="auto"/>
              <w:ind w:left="63" w:right="63"/>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58" w:hRule="atLeast"/>
          <w:jc w:val="center"/>
        </w:trPr>
        <w:tc>
          <w:tcPr>
            <w:tcW w:w="1045" w:type="dxa"/>
            <w:tcBorders>
              <w:top w:val="nil"/>
              <w:left w:val="single" w:color="auto" w:sz="12"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729"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076"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167"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718"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167"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987"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252"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904"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904" w:type="dxa"/>
            <w:tcBorders>
              <w:top w:val="nil"/>
              <w:left w:val="single" w:color="auto" w:sz="6" w:space="0"/>
              <w:bottom w:val="single" w:color="auto" w:sz="6" w:space="0"/>
              <w:right w:val="single" w:color="auto" w:sz="12" w:space="0"/>
            </w:tcBorders>
            <w:vAlign w:val="center"/>
          </w:tcPr>
          <w:p>
            <w:pPr>
              <w:keepNext/>
              <w:adjustRightInd w:val="0"/>
              <w:spacing w:line="300" w:lineRule="auto"/>
              <w:ind w:left="63" w:right="63"/>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58" w:hRule="atLeast"/>
          <w:jc w:val="center"/>
        </w:trPr>
        <w:tc>
          <w:tcPr>
            <w:tcW w:w="1045" w:type="dxa"/>
            <w:tcBorders>
              <w:top w:val="single" w:color="auto" w:sz="6" w:space="0"/>
              <w:left w:val="single" w:color="auto" w:sz="12"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729"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076"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167"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718"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167"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987"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252"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90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904" w:type="dxa"/>
            <w:tcBorders>
              <w:top w:val="single" w:color="auto" w:sz="6" w:space="0"/>
              <w:left w:val="single" w:color="auto" w:sz="6" w:space="0"/>
              <w:bottom w:val="single" w:color="auto" w:sz="6" w:space="0"/>
              <w:right w:val="single" w:color="auto" w:sz="12" w:space="0"/>
            </w:tcBorders>
            <w:vAlign w:val="center"/>
          </w:tcPr>
          <w:p>
            <w:pPr>
              <w:keepNext/>
              <w:adjustRightInd w:val="0"/>
              <w:spacing w:line="300" w:lineRule="auto"/>
              <w:ind w:left="63" w:right="63"/>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58" w:hRule="atLeast"/>
          <w:jc w:val="center"/>
        </w:trPr>
        <w:tc>
          <w:tcPr>
            <w:tcW w:w="1045" w:type="dxa"/>
            <w:tcBorders>
              <w:top w:val="nil"/>
              <w:left w:val="single" w:color="auto" w:sz="12"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729"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076"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167"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718"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167"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987"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252"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904"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904" w:type="dxa"/>
            <w:tcBorders>
              <w:top w:val="nil"/>
              <w:left w:val="single" w:color="auto" w:sz="6" w:space="0"/>
              <w:bottom w:val="single" w:color="auto" w:sz="6" w:space="0"/>
              <w:right w:val="single" w:color="auto" w:sz="12" w:space="0"/>
            </w:tcBorders>
            <w:vAlign w:val="center"/>
          </w:tcPr>
          <w:p>
            <w:pPr>
              <w:keepNext/>
              <w:adjustRightInd w:val="0"/>
              <w:spacing w:line="300" w:lineRule="auto"/>
              <w:ind w:left="63" w:right="63"/>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58" w:hRule="atLeast"/>
          <w:jc w:val="center"/>
        </w:trPr>
        <w:tc>
          <w:tcPr>
            <w:tcW w:w="1045" w:type="dxa"/>
            <w:tcBorders>
              <w:top w:val="single" w:color="auto" w:sz="6" w:space="0"/>
              <w:left w:val="single" w:color="auto" w:sz="12"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729"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076"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167"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718"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167"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987"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252"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90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904" w:type="dxa"/>
            <w:tcBorders>
              <w:top w:val="single" w:color="auto" w:sz="6" w:space="0"/>
              <w:left w:val="single" w:color="auto" w:sz="6" w:space="0"/>
              <w:bottom w:val="single" w:color="auto" w:sz="6" w:space="0"/>
              <w:right w:val="single" w:color="auto" w:sz="12" w:space="0"/>
            </w:tcBorders>
            <w:vAlign w:val="center"/>
          </w:tcPr>
          <w:p>
            <w:pPr>
              <w:keepNext/>
              <w:adjustRightInd w:val="0"/>
              <w:spacing w:line="300" w:lineRule="auto"/>
              <w:ind w:left="63" w:right="63"/>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58" w:hRule="atLeast"/>
          <w:jc w:val="center"/>
        </w:trPr>
        <w:tc>
          <w:tcPr>
            <w:tcW w:w="1045" w:type="dxa"/>
            <w:tcBorders>
              <w:top w:val="nil"/>
              <w:left w:val="single" w:color="auto" w:sz="12"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729"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076"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167"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718"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167"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987"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252"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904"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904" w:type="dxa"/>
            <w:tcBorders>
              <w:top w:val="nil"/>
              <w:left w:val="single" w:color="auto" w:sz="6" w:space="0"/>
              <w:bottom w:val="single" w:color="auto" w:sz="6" w:space="0"/>
              <w:right w:val="single" w:color="auto" w:sz="12" w:space="0"/>
            </w:tcBorders>
            <w:vAlign w:val="center"/>
          </w:tcPr>
          <w:p>
            <w:pPr>
              <w:keepNext/>
              <w:adjustRightInd w:val="0"/>
              <w:spacing w:line="300" w:lineRule="auto"/>
              <w:ind w:left="63" w:right="63"/>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58" w:hRule="atLeast"/>
          <w:jc w:val="center"/>
        </w:trPr>
        <w:tc>
          <w:tcPr>
            <w:tcW w:w="1045" w:type="dxa"/>
            <w:tcBorders>
              <w:top w:val="nil"/>
              <w:left w:val="single" w:color="auto" w:sz="12"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729"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076"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167"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718"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167"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987"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252"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904"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904" w:type="dxa"/>
            <w:tcBorders>
              <w:top w:val="nil"/>
              <w:left w:val="single" w:color="auto" w:sz="6" w:space="0"/>
              <w:bottom w:val="single" w:color="auto" w:sz="6" w:space="0"/>
              <w:right w:val="single" w:color="auto" w:sz="12" w:space="0"/>
            </w:tcBorders>
            <w:vAlign w:val="center"/>
          </w:tcPr>
          <w:p>
            <w:pPr>
              <w:keepNext/>
              <w:adjustRightInd w:val="0"/>
              <w:spacing w:line="300" w:lineRule="auto"/>
              <w:ind w:left="63" w:right="63"/>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58" w:hRule="atLeast"/>
          <w:jc w:val="center"/>
        </w:trPr>
        <w:tc>
          <w:tcPr>
            <w:tcW w:w="1045" w:type="dxa"/>
            <w:tcBorders>
              <w:top w:val="single" w:color="auto" w:sz="6" w:space="0"/>
              <w:left w:val="single" w:color="auto" w:sz="12"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729"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076"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167"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718"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167"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987"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252"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90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904" w:type="dxa"/>
            <w:tcBorders>
              <w:top w:val="single" w:color="auto" w:sz="6" w:space="0"/>
              <w:left w:val="single" w:color="auto" w:sz="6" w:space="0"/>
              <w:bottom w:val="single" w:color="auto" w:sz="6" w:space="0"/>
              <w:right w:val="single" w:color="auto" w:sz="12" w:space="0"/>
            </w:tcBorders>
            <w:vAlign w:val="center"/>
          </w:tcPr>
          <w:p>
            <w:pPr>
              <w:keepNext/>
              <w:adjustRightInd w:val="0"/>
              <w:spacing w:line="300" w:lineRule="auto"/>
              <w:ind w:left="63" w:right="63"/>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58" w:hRule="atLeast"/>
          <w:jc w:val="center"/>
        </w:trPr>
        <w:tc>
          <w:tcPr>
            <w:tcW w:w="1045" w:type="dxa"/>
            <w:tcBorders>
              <w:top w:val="nil"/>
              <w:left w:val="single" w:color="auto" w:sz="12"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729"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076"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167"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718"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167"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987"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252"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904"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904" w:type="dxa"/>
            <w:tcBorders>
              <w:top w:val="nil"/>
              <w:left w:val="single" w:color="auto" w:sz="6" w:space="0"/>
              <w:bottom w:val="single" w:color="auto" w:sz="6" w:space="0"/>
              <w:right w:val="single" w:color="auto" w:sz="12" w:space="0"/>
            </w:tcBorders>
            <w:vAlign w:val="center"/>
          </w:tcPr>
          <w:p>
            <w:pPr>
              <w:keepNext/>
              <w:adjustRightInd w:val="0"/>
              <w:spacing w:line="300" w:lineRule="auto"/>
              <w:ind w:left="63" w:right="63"/>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58" w:hRule="atLeast"/>
          <w:jc w:val="center"/>
        </w:trPr>
        <w:tc>
          <w:tcPr>
            <w:tcW w:w="1045" w:type="dxa"/>
            <w:tcBorders>
              <w:top w:val="single" w:color="auto" w:sz="6" w:space="0"/>
              <w:left w:val="single" w:color="auto" w:sz="12" w:space="0"/>
              <w:bottom w:val="single" w:color="auto" w:sz="12"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729" w:type="dxa"/>
            <w:tcBorders>
              <w:top w:val="single" w:color="auto" w:sz="6" w:space="0"/>
              <w:left w:val="single" w:color="auto" w:sz="6" w:space="0"/>
              <w:bottom w:val="single" w:color="auto" w:sz="12"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076" w:type="dxa"/>
            <w:tcBorders>
              <w:top w:val="single" w:color="auto" w:sz="6" w:space="0"/>
              <w:left w:val="single" w:color="auto" w:sz="6" w:space="0"/>
              <w:bottom w:val="single" w:color="auto" w:sz="12"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167" w:type="dxa"/>
            <w:tcBorders>
              <w:top w:val="single" w:color="auto" w:sz="6" w:space="0"/>
              <w:left w:val="single" w:color="auto" w:sz="6" w:space="0"/>
              <w:bottom w:val="single" w:color="auto" w:sz="12"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718" w:type="dxa"/>
            <w:tcBorders>
              <w:top w:val="single" w:color="auto" w:sz="6" w:space="0"/>
              <w:left w:val="single" w:color="auto" w:sz="6" w:space="0"/>
              <w:bottom w:val="single" w:color="auto" w:sz="12"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167" w:type="dxa"/>
            <w:tcBorders>
              <w:top w:val="single" w:color="auto" w:sz="6" w:space="0"/>
              <w:left w:val="single" w:color="auto" w:sz="6" w:space="0"/>
              <w:bottom w:val="single" w:color="auto" w:sz="12"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987" w:type="dxa"/>
            <w:tcBorders>
              <w:top w:val="single" w:color="auto" w:sz="6" w:space="0"/>
              <w:left w:val="single" w:color="auto" w:sz="6" w:space="0"/>
              <w:bottom w:val="single" w:color="auto" w:sz="12"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252" w:type="dxa"/>
            <w:tcBorders>
              <w:top w:val="single" w:color="auto" w:sz="6" w:space="0"/>
              <w:left w:val="single" w:color="auto" w:sz="6" w:space="0"/>
              <w:bottom w:val="single" w:color="auto" w:sz="12"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904" w:type="dxa"/>
            <w:tcBorders>
              <w:top w:val="single" w:color="auto" w:sz="6" w:space="0"/>
              <w:left w:val="single" w:color="auto" w:sz="6" w:space="0"/>
              <w:bottom w:val="single" w:color="auto" w:sz="12"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904" w:type="dxa"/>
            <w:tcBorders>
              <w:top w:val="single" w:color="auto" w:sz="6" w:space="0"/>
              <w:left w:val="single" w:color="auto" w:sz="6" w:space="0"/>
              <w:bottom w:val="single" w:color="auto" w:sz="12" w:space="0"/>
              <w:right w:val="single" w:color="auto" w:sz="12" w:space="0"/>
            </w:tcBorders>
            <w:vAlign w:val="center"/>
          </w:tcPr>
          <w:p>
            <w:pPr>
              <w:keepNext/>
              <w:adjustRightInd w:val="0"/>
              <w:spacing w:line="300" w:lineRule="auto"/>
              <w:ind w:left="63" w:right="63"/>
              <w:textAlignment w:val="baseline"/>
              <w:rPr>
                <w:rFonts w:cs="宋体"/>
                <w:color w:val="auto"/>
                <w:sz w:val="21"/>
                <w:szCs w:val="21"/>
                <w:highlight w:val="none"/>
              </w:rPr>
            </w:pPr>
          </w:p>
        </w:tc>
      </w:tr>
    </w:tbl>
    <w:p>
      <w:pPr>
        <w:adjustRightInd w:val="0"/>
        <w:spacing w:afterLines="50"/>
        <w:jc w:val="left"/>
        <w:textAlignment w:val="baseline"/>
        <w:outlineLvl w:val="3"/>
        <w:rPr>
          <w:rFonts w:ascii="黑体" w:eastAsia="黑体" w:cs="黑体"/>
          <w:color w:val="auto"/>
          <w:sz w:val="21"/>
          <w:szCs w:val="21"/>
          <w:highlight w:val="none"/>
        </w:rPr>
      </w:pPr>
      <w:bookmarkStart w:id="1404" w:name="_Toc63471489"/>
      <w:bookmarkEnd w:id="1404"/>
    </w:p>
    <w:p>
      <w:pPr>
        <w:pStyle w:val="59"/>
        <w:rPr>
          <w:color w:val="auto"/>
          <w:highlight w:val="none"/>
        </w:rPr>
      </w:pPr>
      <w:r>
        <w:rPr>
          <w:color w:val="auto"/>
          <w:highlight w:val="none"/>
        </w:rPr>
        <w:br w:type="page"/>
      </w:r>
      <w:r>
        <w:rPr>
          <w:rFonts w:hint="eastAsia"/>
          <w:color w:val="auto"/>
          <w:highlight w:val="none"/>
        </w:rPr>
        <w:t>附</w:t>
      </w:r>
      <w:bookmarkStart w:id="1405" w:name="_Toc296503225"/>
      <w:bookmarkEnd w:id="1405"/>
      <w:bookmarkStart w:id="1406" w:name="_Toc296891053"/>
      <w:bookmarkEnd w:id="1406"/>
      <w:bookmarkStart w:id="1407" w:name="_Toc296346726"/>
      <w:bookmarkEnd w:id="1407"/>
      <w:bookmarkStart w:id="1408" w:name="_Toc296891265"/>
      <w:bookmarkEnd w:id="1408"/>
      <w:bookmarkStart w:id="1409" w:name="_Toc296944564"/>
      <w:bookmarkEnd w:id="1409"/>
      <w:bookmarkStart w:id="1410" w:name="_Toc296347224"/>
      <w:bookmarkEnd w:id="1410"/>
      <w:bookmarkStart w:id="1411" w:name="_Toc267261692"/>
      <w:r>
        <w:rPr>
          <w:rFonts w:hint="eastAsia"/>
          <w:color w:val="auto"/>
          <w:highlight w:val="none"/>
        </w:rPr>
        <w:t>件2：</w:t>
      </w:r>
      <w:bookmarkEnd w:id="1411"/>
    </w:p>
    <w:p>
      <w:pPr>
        <w:adjustRightInd w:val="0"/>
        <w:spacing w:beforeLines="50" w:afterLines="50" w:line="300" w:lineRule="auto"/>
        <w:jc w:val="center"/>
        <w:textAlignment w:val="baseline"/>
        <w:rPr>
          <w:rFonts w:cs="宋体"/>
          <w:b/>
          <w:color w:val="auto"/>
          <w:sz w:val="28"/>
          <w:szCs w:val="28"/>
          <w:highlight w:val="none"/>
        </w:rPr>
      </w:pPr>
      <w:r>
        <w:rPr>
          <w:rFonts w:hint="eastAsia" w:cs="宋体"/>
          <w:b/>
          <w:color w:val="auto"/>
          <w:sz w:val="28"/>
          <w:szCs w:val="28"/>
          <w:highlight w:val="none"/>
        </w:rPr>
        <w:t>发包人供应材料设备一览表</w:t>
      </w:r>
    </w:p>
    <w:tbl>
      <w:tblPr>
        <w:tblStyle w:val="60"/>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881"/>
        <w:gridCol w:w="1276"/>
        <w:gridCol w:w="1338"/>
        <w:gridCol w:w="940"/>
        <w:gridCol w:w="851"/>
        <w:gridCol w:w="1044"/>
        <w:gridCol w:w="992"/>
        <w:gridCol w:w="851"/>
        <w:gridCol w:w="1292"/>
        <w:gridCol w:w="10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81" w:type="dxa"/>
            <w:tcBorders>
              <w:top w:val="single" w:color="auto" w:sz="12" w:space="0"/>
              <w:left w:val="single" w:color="auto" w:sz="12" w:space="0"/>
              <w:bottom w:val="double" w:color="auto" w:sz="2"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序号</w:t>
            </w:r>
          </w:p>
        </w:tc>
        <w:tc>
          <w:tcPr>
            <w:tcW w:w="1276" w:type="dxa"/>
            <w:tcBorders>
              <w:top w:val="single" w:color="auto" w:sz="12" w:space="0"/>
              <w:left w:val="single" w:color="auto" w:sz="6" w:space="0"/>
              <w:bottom w:val="double" w:color="auto" w:sz="2"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材料、</w:t>
            </w:r>
          </w:p>
          <w:p>
            <w:pPr>
              <w:keepNext/>
              <w:adjustRightInd w:val="0"/>
              <w:spacing w:line="300" w:lineRule="auto"/>
              <w:ind w:right="63"/>
              <w:jc w:val="center"/>
              <w:textAlignment w:val="baseline"/>
              <w:rPr>
                <w:rFonts w:cs="宋体"/>
                <w:color w:val="auto"/>
                <w:sz w:val="21"/>
                <w:szCs w:val="21"/>
                <w:highlight w:val="none"/>
              </w:rPr>
            </w:pPr>
            <w:r>
              <w:rPr>
                <w:rFonts w:hint="eastAsia" w:cs="宋体"/>
                <w:color w:val="auto"/>
                <w:sz w:val="21"/>
                <w:szCs w:val="21"/>
                <w:highlight w:val="none"/>
              </w:rPr>
              <w:t>设备品种</w:t>
            </w:r>
          </w:p>
        </w:tc>
        <w:tc>
          <w:tcPr>
            <w:tcW w:w="1338" w:type="dxa"/>
            <w:tcBorders>
              <w:top w:val="single" w:color="auto" w:sz="12" w:space="0"/>
              <w:left w:val="single" w:color="auto" w:sz="6" w:space="0"/>
              <w:bottom w:val="double" w:color="auto" w:sz="2"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规格型号</w:t>
            </w:r>
          </w:p>
        </w:tc>
        <w:tc>
          <w:tcPr>
            <w:tcW w:w="940" w:type="dxa"/>
            <w:tcBorders>
              <w:top w:val="single" w:color="auto" w:sz="12" w:space="0"/>
              <w:left w:val="single" w:color="auto" w:sz="6" w:space="0"/>
              <w:bottom w:val="double" w:color="auto" w:sz="2"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单位</w:t>
            </w:r>
          </w:p>
        </w:tc>
        <w:tc>
          <w:tcPr>
            <w:tcW w:w="851" w:type="dxa"/>
            <w:tcBorders>
              <w:top w:val="single" w:color="auto" w:sz="12" w:space="0"/>
              <w:left w:val="single" w:color="auto" w:sz="6" w:space="0"/>
              <w:bottom w:val="double" w:color="auto" w:sz="2"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数量</w:t>
            </w:r>
          </w:p>
        </w:tc>
        <w:tc>
          <w:tcPr>
            <w:tcW w:w="1044" w:type="dxa"/>
            <w:tcBorders>
              <w:top w:val="single" w:color="auto" w:sz="12" w:space="0"/>
              <w:left w:val="single" w:color="auto" w:sz="6" w:space="0"/>
              <w:bottom w:val="double" w:color="auto" w:sz="2"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单价（元）</w:t>
            </w:r>
          </w:p>
        </w:tc>
        <w:tc>
          <w:tcPr>
            <w:tcW w:w="992" w:type="dxa"/>
            <w:tcBorders>
              <w:top w:val="single" w:color="auto" w:sz="12" w:space="0"/>
              <w:left w:val="single" w:color="auto" w:sz="6" w:space="0"/>
              <w:bottom w:val="double" w:color="auto" w:sz="2"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质量等级</w:t>
            </w:r>
          </w:p>
        </w:tc>
        <w:tc>
          <w:tcPr>
            <w:tcW w:w="851" w:type="dxa"/>
            <w:tcBorders>
              <w:top w:val="single" w:color="auto" w:sz="12" w:space="0"/>
              <w:left w:val="single" w:color="auto" w:sz="6" w:space="0"/>
              <w:bottom w:val="double" w:color="auto" w:sz="2"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供应时间</w:t>
            </w:r>
          </w:p>
        </w:tc>
        <w:tc>
          <w:tcPr>
            <w:tcW w:w="1292" w:type="dxa"/>
            <w:tcBorders>
              <w:top w:val="single" w:color="auto" w:sz="12" w:space="0"/>
              <w:left w:val="single" w:color="auto" w:sz="6" w:space="0"/>
              <w:bottom w:val="double" w:color="auto" w:sz="2"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送达地点</w:t>
            </w:r>
          </w:p>
        </w:tc>
        <w:tc>
          <w:tcPr>
            <w:tcW w:w="1022" w:type="dxa"/>
            <w:tcBorders>
              <w:top w:val="single" w:color="auto" w:sz="12" w:space="0"/>
              <w:left w:val="single" w:color="auto" w:sz="6" w:space="0"/>
              <w:bottom w:val="double" w:color="auto" w:sz="2" w:space="0"/>
              <w:right w:val="single" w:color="auto" w:sz="12"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81" w:type="dxa"/>
            <w:tcBorders>
              <w:top w:val="double" w:color="auto" w:sz="2" w:space="0"/>
              <w:left w:val="single" w:color="auto" w:sz="12"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276" w:type="dxa"/>
            <w:tcBorders>
              <w:top w:val="double" w:color="auto" w:sz="2"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338" w:type="dxa"/>
            <w:tcBorders>
              <w:top w:val="double" w:color="auto" w:sz="2"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940" w:type="dxa"/>
            <w:tcBorders>
              <w:top w:val="double" w:color="auto" w:sz="2"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851" w:type="dxa"/>
            <w:tcBorders>
              <w:top w:val="double" w:color="auto" w:sz="2"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044" w:type="dxa"/>
            <w:tcBorders>
              <w:top w:val="double" w:color="auto" w:sz="2"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992" w:type="dxa"/>
            <w:tcBorders>
              <w:top w:val="double" w:color="auto" w:sz="2"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851" w:type="dxa"/>
            <w:tcBorders>
              <w:top w:val="double" w:color="auto" w:sz="2"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292" w:type="dxa"/>
            <w:tcBorders>
              <w:top w:val="double" w:color="auto" w:sz="2"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022" w:type="dxa"/>
            <w:tcBorders>
              <w:top w:val="double" w:color="auto" w:sz="2" w:space="0"/>
              <w:left w:val="single" w:color="auto" w:sz="6" w:space="0"/>
              <w:bottom w:val="single" w:color="auto" w:sz="6" w:space="0"/>
              <w:right w:val="single" w:color="auto" w:sz="12" w:space="0"/>
            </w:tcBorders>
            <w:vAlign w:val="center"/>
          </w:tcPr>
          <w:p>
            <w:pPr>
              <w:keepNext/>
              <w:adjustRightInd w:val="0"/>
              <w:spacing w:line="300" w:lineRule="auto"/>
              <w:ind w:left="63" w:right="63"/>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81" w:type="dxa"/>
            <w:tcBorders>
              <w:top w:val="nil"/>
              <w:left w:val="single" w:color="auto" w:sz="12"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276"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338"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940"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851"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044"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992"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851"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292"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022" w:type="dxa"/>
            <w:tcBorders>
              <w:top w:val="nil"/>
              <w:left w:val="single" w:color="auto" w:sz="6" w:space="0"/>
              <w:bottom w:val="single" w:color="auto" w:sz="6" w:space="0"/>
              <w:right w:val="single" w:color="auto" w:sz="12" w:space="0"/>
            </w:tcBorders>
            <w:vAlign w:val="center"/>
          </w:tcPr>
          <w:p>
            <w:pPr>
              <w:keepNext/>
              <w:adjustRightInd w:val="0"/>
              <w:spacing w:line="300" w:lineRule="auto"/>
              <w:ind w:left="63" w:right="63"/>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81" w:type="dxa"/>
            <w:tcBorders>
              <w:top w:val="single" w:color="auto" w:sz="6" w:space="0"/>
              <w:left w:val="single" w:color="auto" w:sz="12"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276"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338"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94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851"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04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992"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851"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292"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022" w:type="dxa"/>
            <w:tcBorders>
              <w:top w:val="single" w:color="auto" w:sz="6" w:space="0"/>
              <w:left w:val="single" w:color="auto" w:sz="6" w:space="0"/>
              <w:bottom w:val="single" w:color="auto" w:sz="6" w:space="0"/>
              <w:right w:val="single" w:color="auto" w:sz="12" w:space="0"/>
            </w:tcBorders>
            <w:vAlign w:val="center"/>
          </w:tcPr>
          <w:p>
            <w:pPr>
              <w:keepNext/>
              <w:adjustRightInd w:val="0"/>
              <w:spacing w:line="300" w:lineRule="auto"/>
              <w:ind w:left="63" w:right="63"/>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81" w:type="dxa"/>
            <w:tcBorders>
              <w:top w:val="single" w:color="auto" w:sz="6" w:space="0"/>
              <w:left w:val="single" w:color="auto" w:sz="12"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276"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338"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94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851"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04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992"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851"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292"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022" w:type="dxa"/>
            <w:tcBorders>
              <w:top w:val="single" w:color="auto" w:sz="6" w:space="0"/>
              <w:left w:val="single" w:color="auto" w:sz="6" w:space="0"/>
              <w:bottom w:val="single" w:color="auto" w:sz="6" w:space="0"/>
              <w:right w:val="single" w:color="auto" w:sz="12" w:space="0"/>
            </w:tcBorders>
            <w:vAlign w:val="center"/>
          </w:tcPr>
          <w:p>
            <w:pPr>
              <w:keepNext/>
              <w:adjustRightInd w:val="0"/>
              <w:spacing w:line="300" w:lineRule="auto"/>
              <w:ind w:left="63" w:right="63"/>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81" w:type="dxa"/>
            <w:tcBorders>
              <w:top w:val="single" w:color="auto" w:sz="6" w:space="0"/>
              <w:left w:val="single" w:color="auto" w:sz="12"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276"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338"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94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851"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04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992"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851"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292"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022" w:type="dxa"/>
            <w:tcBorders>
              <w:top w:val="single" w:color="auto" w:sz="6" w:space="0"/>
              <w:left w:val="single" w:color="auto" w:sz="6" w:space="0"/>
              <w:bottom w:val="single" w:color="auto" w:sz="6" w:space="0"/>
              <w:right w:val="single" w:color="auto" w:sz="12" w:space="0"/>
            </w:tcBorders>
            <w:vAlign w:val="center"/>
          </w:tcPr>
          <w:p>
            <w:pPr>
              <w:keepNext/>
              <w:adjustRightInd w:val="0"/>
              <w:spacing w:line="300" w:lineRule="auto"/>
              <w:ind w:left="63" w:right="63"/>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81" w:type="dxa"/>
            <w:tcBorders>
              <w:top w:val="single" w:color="auto" w:sz="6" w:space="0"/>
              <w:left w:val="single" w:color="auto" w:sz="12"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276"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338"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94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851"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04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992"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851"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292"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022" w:type="dxa"/>
            <w:tcBorders>
              <w:top w:val="single" w:color="auto" w:sz="6" w:space="0"/>
              <w:left w:val="single" w:color="auto" w:sz="6" w:space="0"/>
              <w:bottom w:val="single" w:color="auto" w:sz="6" w:space="0"/>
              <w:right w:val="single" w:color="auto" w:sz="12" w:space="0"/>
            </w:tcBorders>
            <w:vAlign w:val="center"/>
          </w:tcPr>
          <w:p>
            <w:pPr>
              <w:keepNext/>
              <w:adjustRightInd w:val="0"/>
              <w:spacing w:line="300" w:lineRule="auto"/>
              <w:ind w:left="63" w:right="63"/>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81" w:type="dxa"/>
            <w:tcBorders>
              <w:top w:val="single" w:color="auto" w:sz="6" w:space="0"/>
              <w:left w:val="single" w:color="auto" w:sz="12"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276"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338"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94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851"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04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992"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851"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292"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022" w:type="dxa"/>
            <w:tcBorders>
              <w:top w:val="single" w:color="auto" w:sz="6" w:space="0"/>
              <w:left w:val="single" w:color="auto" w:sz="6" w:space="0"/>
              <w:bottom w:val="single" w:color="auto" w:sz="6" w:space="0"/>
              <w:right w:val="single" w:color="auto" w:sz="12" w:space="0"/>
            </w:tcBorders>
            <w:vAlign w:val="center"/>
          </w:tcPr>
          <w:p>
            <w:pPr>
              <w:keepNext/>
              <w:adjustRightInd w:val="0"/>
              <w:spacing w:line="300" w:lineRule="auto"/>
              <w:ind w:left="63" w:right="63"/>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81" w:type="dxa"/>
            <w:tcBorders>
              <w:top w:val="single" w:color="auto" w:sz="6" w:space="0"/>
              <w:left w:val="single" w:color="auto" w:sz="12"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276"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338"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94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851"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04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992"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851"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292"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022" w:type="dxa"/>
            <w:tcBorders>
              <w:top w:val="single" w:color="auto" w:sz="6" w:space="0"/>
              <w:left w:val="single" w:color="auto" w:sz="6" w:space="0"/>
              <w:bottom w:val="single" w:color="auto" w:sz="6" w:space="0"/>
              <w:right w:val="single" w:color="auto" w:sz="12" w:space="0"/>
            </w:tcBorders>
            <w:vAlign w:val="center"/>
          </w:tcPr>
          <w:p>
            <w:pPr>
              <w:keepNext/>
              <w:adjustRightInd w:val="0"/>
              <w:spacing w:line="300" w:lineRule="auto"/>
              <w:ind w:left="63" w:right="63"/>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81" w:type="dxa"/>
            <w:tcBorders>
              <w:top w:val="single" w:color="auto" w:sz="6" w:space="0"/>
              <w:left w:val="single" w:color="auto" w:sz="12"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1276"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1338"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940"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851"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1044"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992"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851"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1292"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1022" w:type="dxa"/>
            <w:tcBorders>
              <w:top w:val="single" w:color="auto" w:sz="6" w:space="0"/>
              <w:left w:val="single" w:color="auto" w:sz="6" w:space="0"/>
              <w:bottom w:val="single" w:color="auto" w:sz="6" w:space="0"/>
              <w:right w:val="single" w:color="auto" w:sz="12" w:space="0"/>
            </w:tcBorders>
            <w:vAlign w:val="center"/>
          </w:tcPr>
          <w:p>
            <w:pPr>
              <w:adjustRightInd w:val="0"/>
              <w:spacing w:line="300" w:lineRule="auto"/>
              <w:jc w:val="center"/>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81" w:type="dxa"/>
            <w:tcBorders>
              <w:top w:val="single" w:color="auto" w:sz="6" w:space="0"/>
              <w:left w:val="single" w:color="auto" w:sz="12"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276"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338"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94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851"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04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992"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851"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292"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1"/>
                <w:szCs w:val="21"/>
                <w:highlight w:val="none"/>
              </w:rPr>
            </w:pPr>
          </w:p>
        </w:tc>
        <w:tc>
          <w:tcPr>
            <w:tcW w:w="1022" w:type="dxa"/>
            <w:tcBorders>
              <w:top w:val="single" w:color="auto" w:sz="6" w:space="0"/>
              <w:left w:val="single" w:color="auto" w:sz="6" w:space="0"/>
              <w:bottom w:val="single" w:color="auto" w:sz="6" w:space="0"/>
              <w:right w:val="single" w:color="auto" w:sz="12" w:space="0"/>
            </w:tcBorders>
            <w:vAlign w:val="center"/>
          </w:tcPr>
          <w:p>
            <w:pPr>
              <w:keepNext/>
              <w:adjustRightInd w:val="0"/>
              <w:spacing w:line="300" w:lineRule="auto"/>
              <w:ind w:left="63" w:right="63"/>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81" w:type="dxa"/>
            <w:tcBorders>
              <w:top w:val="single" w:color="auto" w:sz="6" w:space="0"/>
              <w:left w:val="single" w:color="auto" w:sz="12"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1276"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1338"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940"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851"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1044"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992"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851"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1292"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1022" w:type="dxa"/>
            <w:tcBorders>
              <w:top w:val="single" w:color="auto" w:sz="6" w:space="0"/>
              <w:left w:val="single" w:color="auto" w:sz="6" w:space="0"/>
              <w:bottom w:val="single" w:color="auto" w:sz="6" w:space="0"/>
              <w:right w:val="single" w:color="auto" w:sz="12" w:space="0"/>
            </w:tcBorders>
            <w:vAlign w:val="center"/>
          </w:tcPr>
          <w:p>
            <w:pPr>
              <w:adjustRightInd w:val="0"/>
              <w:spacing w:line="300" w:lineRule="auto"/>
              <w:jc w:val="center"/>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81" w:type="dxa"/>
            <w:tcBorders>
              <w:top w:val="single" w:color="auto" w:sz="6" w:space="0"/>
              <w:left w:val="single" w:color="auto" w:sz="12"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1276"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1338"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940"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851"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1044"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992"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851"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1292"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1022" w:type="dxa"/>
            <w:tcBorders>
              <w:top w:val="single" w:color="auto" w:sz="6" w:space="0"/>
              <w:left w:val="single" w:color="auto" w:sz="6" w:space="0"/>
              <w:bottom w:val="single" w:color="auto" w:sz="6" w:space="0"/>
              <w:right w:val="single" w:color="auto" w:sz="12" w:space="0"/>
            </w:tcBorders>
            <w:vAlign w:val="center"/>
          </w:tcPr>
          <w:p>
            <w:pPr>
              <w:adjustRightInd w:val="0"/>
              <w:spacing w:line="300" w:lineRule="auto"/>
              <w:jc w:val="center"/>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81" w:type="dxa"/>
            <w:tcBorders>
              <w:top w:val="single" w:color="auto" w:sz="6" w:space="0"/>
              <w:left w:val="single" w:color="auto" w:sz="12"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1276"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1338"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940"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851"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1044"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992"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851"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1292"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1022" w:type="dxa"/>
            <w:tcBorders>
              <w:top w:val="single" w:color="auto" w:sz="6" w:space="0"/>
              <w:left w:val="single" w:color="auto" w:sz="6" w:space="0"/>
              <w:bottom w:val="single" w:color="auto" w:sz="6" w:space="0"/>
              <w:right w:val="single" w:color="auto" w:sz="12" w:space="0"/>
            </w:tcBorders>
            <w:vAlign w:val="center"/>
          </w:tcPr>
          <w:p>
            <w:pPr>
              <w:adjustRightInd w:val="0"/>
              <w:spacing w:line="300" w:lineRule="auto"/>
              <w:jc w:val="center"/>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81" w:type="dxa"/>
            <w:tcBorders>
              <w:top w:val="single" w:color="auto" w:sz="6" w:space="0"/>
              <w:left w:val="single" w:color="auto" w:sz="12"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1276"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1338"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940"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851"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1044"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992"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851"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1292"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1022" w:type="dxa"/>
            <w:tcBorders>
              <w:top w:val="single" w:color="auto" w:sz="6" w:space="0"/>
              <w:left w:val="single" w:color="auto" w:sz="6" w:space="0"/>
              <w:bottom w:val="single" w:color="auto" w:sz="6" w:space="0"/>
              <w:right w:val="single" w:color="auto" w:sz="12" w:space="0"/>
            </w:tcBorders>
            <w:vAlign w:val="center"/>
          </w:tcPr>
          <w:p>
            <w:pPr>
              <w:adjustRightInd w:val="0"/>
              <w:spacing w:line="300" w:lineRule="auto"/>
              <w:jc w:val="center"/>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81" w:type="dxa"/>
            <w:tcBorders>
              <w:top w:val="single" w:color="auto" w:sz="6" w:space="0"/>
              <w:left w:val="single" w:color="auto" w:sz="12"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1276"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1338"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940"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851"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1044"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992"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851"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1292"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1022" w:type="dxa"/>
            <w:tcBorders>
              <w:top w:val="single" w:color="auto" w:sz="6" w:space="0"/>
              <w:left w:val="single" w:color="auto" w:sz="6" w:space="0"/>
              <w:bottom w:val="single" w:color="auto" w:sz="6" w:space="0"/>
              <w:right w:val="single" w:color="auto" w:sz="12" w:space="0"/>
            </w:tcBorders>
            <w:vAlign w:val="center"/>
          </w:tcPr>
          <w:p>
            <w:pPr>
              <w:adjustRightInd w:val="0"/>
              <w:spacing w:line="300" w:lineRule="auto"/>
              <w:jc w:val="center"/>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81" w:type="dxa"/>
            <w:tcBorders>
              <w:top w:val="single" w:color="auto" w:sz="6" w:space="0"/>
              <w:left w:val="single" w:color="auto" w:sz="12"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1276"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1338"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940"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851"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1044"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992"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851"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1292"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1022" w:type="dxa"/>
            <w:tcBorders>
              <w:top w:val="single" w:color="auto" w:sz="6" w:space="0"/>
              <w:left w:val="single" w:color="auto" w:sz="6" w:space="0"/>
              <w:bottom w:val="single" w:color="auto" w:sz="6" w:space="0"/>
              <w:right w:val="single" w:color="auto" w:sz="12" w:space="0"/>
            </w:tcBorders>
            <w:vAlign w:val="center"/>
          </w:tcPr>
          <w:p>
            <w:pPr>
              <w:adjustRightInd w:val="0"/>
              <w:spacing w:line="300" w:lineRule="auto"/>
              <w:jc w:val="center"/>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81" w:type="dxa"/>
            <w:tcBorders>
              <w:top w:val="single" w:color="auto" w:sz="6" w:space="0"/>
              <w:left w:val="single" w:color="auto" w:sz="12"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1276"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1338"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940"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851"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1044"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992"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851"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1292" w:type="dxa"/>
            <w:tcBorders>
              <w:top w:val="single" w:color="auto" w:sz="6" w:space="0"/>
              <w:left w:val="single" w:color="auto" w:sz="6" w:space="0"/>
              <w:bottom w:val="single" w:color="auto" w:sz="6"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1022" w:type="dxa"/>
            <w:tcBorders>
              <w:top w:val="single" w:color="auto" w:sz="6" w:space="0"/>
              <w:left w:val="single" w:color="auto" w:sz="6" w:space="0"/>
              <w:bottom w:val="single" w:color="auto" w:sz="6" w:space="0"/>
              <w:right w:val="single" w:color="auto" w:sz="12" w:space="0"/>
            </w:tcBorders>
            <w:vAlign w:val="center"/>
          </w:tcPr>
          <w:p>
            <w:pPr>
              <w:adjustRightInd w:val="0"/>
              <w:spacing w:line="300" w:lineRule="auto"/>
              <w:jc w:val="center"/>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81" w:type="dxa"/>
            <w:tcBorders>
              <w:top w:val="single" w:color="auto" w:sz="6" w:space="0"/>
              <w:left w:val="single" w:color="auto" w:sz="12" w:space="0"/>
              <w:bottom w:val="single" w:color="auto" w:sz="12"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1276" w:type="dxa"/>
            <w:tcBorders>
              <w:top w:val="single" w:color="auto" w:sz="6" w:space="0"/>
              <w:left w:val="single" w:color="auto" w:sz="6" w:space="0"/>
              <w:bottom w:val="single" w:color="auto" w:sz="12"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1338" w:type="dxa"/>
            <w:tcBorders>
              <w:top w:val="single" w:color="auto" w:sz="6" w:space="0"/>
              <w:left w:val="single" w:color="auto" w:sz="6" w:space="0"/>
              <w:bottom w:val="single" w:color="auto" w:sz="12"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940" w:type="dxa"/>
            <w:tcBorders>
              <w:top w:val="single" w:color="auto" w:sz="6" w:space="0"/>
              <w:left w:val="single" w:color="auto" w:sz="6" w:space="0"/>
              <w:bottom w:val="single" w:color="auto" w:sz="12"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851" w:type="dxa"/>
            <w:tcBorders>
              <w:top w:val="single" w:color="auto" w:sz="6" w:space="0"/>
              <w:left w:val="single" w:color="auto" w:sz="6" w:space="0"/>
              <w:bottom w:val="single" w:color="auto" w:sz="12"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1044" w:type="dxa"/>
            <w:tcBorders>
              <w:top w:val="single" w:color="auto" w:sz="6" w:space="0"/>
              <w:left w:val="single" w:color="auto" w:sz="6" w:space="0"/>
              <w:bottom w:val="single" w:color="auto" w:sz="12"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992" w:type="dxa"/>
            <w:tcBorders>
              <w:top w:val="single" w:color="auto" w:sz="6" w:space="0"/>
              <w:left w:val="single" w:color="auto" w:sz="6" w:space="0"/>
              <w:bottom w:val="single" w:color="auto" w:sz="12"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851" w:type="dxa"/>
            <w:tcBorders>
              <w:top w:val="single" w:color="auto" w:sz="6" w:space="0"/>
              <w:left w:val="single" w:color="auto" w:sz="6" w:space="0"/>
              <w:bottom w:val="single" w:color="auto" w:sz="12"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1292" w:type="dxa"/>
            <w:tcBorders>
              <w:top w:val="single" w:color="auto" w:sz="6" w:space="0"/>
              <w:left w:val="single" w:color="auto" w:sz="6" w:space="0"/>
              <w:bottom w:val="single" w:color="auto" w:sz="12" w:space="0"/>
              <w:right w:val="single" w:color="auto" w:sz="6" w:space="0"/>
            </w:tcBorders>
            <w:vAlign w:val="center"/>
          </w:tcPr>
          <w:p>
            <w:pPr>
              <w:adjustRightInd w:val="0"/>
              <w:spacing w:line="300" w:lineRule="auto"/>
              <w:jc w:val="center"/>
              <w:textAlignment w:val="baseline"/>
              <w:rPr>
                <w:rFonts w:cs="宋体"/>
                <w:color w:val="auto"/>
                <w:sz w:val="21"/>
                <w:szCs w:val="21"/>
                <w:highlight w:val="none"/>
              </w:rPr>
            </w:pPr>
          </w:p>
        </w:tc>
        <w:tc>
          <w:tcPr>
            <w:tcW w:w="1022" w:type="dxa"/>
            <w:tcBorders>
              <w:top w:val="single" w:color="auto" w:sz="6" w:space="0"/>
              <w:left w:val="single" w:color="auto" w:sz="6" w:space="0"/>
              <w:bottom w:val="single" w:color="auto" w:sz="12" w:space="0"/>
              <w:right w:val="single" w:color="auto" w:sz="12" w:space="0"/>
            </w:tcBorders>
            <w:vAlign w:val="center"/>
          </w:tcPr>
          <w:p>
            <w:pPr>
              <w:adjustRightInd w:val="0"/>
              <w:spacing w:line="300" w:lineRule="auto"/>
              <w:jc w:val="center"/>
              <w:textAlignment w:val="baseline"/>
              <w:rPr>
                <w:rFonts w:cs="宋体"/>
                <w:color w:val="auto"/>
                <w:sz w:val="21"/>
                <w:szCs w:val="21"/>
                <w:highlight w:val="none"/>
              </w:rPr>
            </w:pPr>
          </w:p>
        </w:tc>
      </w:tr>
    </w:tbl>
    <w:p>
      <w:pPr>
        <w:adjustRightInd w:val="0"/>
        <w:spacing w:line="300" w:lineRule="auto"/>
        <w:textAlignment w:val="baseline"/>
        <w:rPr>
          <w:rFonts w:cs="宋体"/>
          <w:color w:val="auto"/>
          <w:sz w:val="24"/>
          <w:szCs w:val="24"/>
          <w:highlight w:val="none"/>
        </w:rPr>
      </w:pPr>
      <w:r>
        <w:rPr>
          <w:rFonts w:hint="eastAsia" w:cs="宋体"/>
          <w:color w:val="auto"/>
          <w:sz w:val="24"/>
          <w:szCs w:val="24"/>
          <w:highlight w:val="none"/>
        </w:rPr>
        <w:t xml:space="preserve"> </w:t>
      </w:r>
    </w:p>
    <w:p>
      <w:pPr>
        <w:adjustRightInd w:val="0"/>
        <w:spacing w:afterLines="50"/>
        <w:jc w:val="left"/>
        <w:textAlignment w:val="baseline"/>
        <w:outlineLvl w:val="3"/>
        <w:rPr>
          <w:rFonts w:ascii="黑体" w:eastAsia="黑体" w:cs="黑体"/>
          <w:color w:val="auto"/>
          <w:sz w:val="21"/>
          <w:szCs w:val="21"/>
          <w:highlight w:val="none"/>
        </w:rPr>
      </w:pPr>
      <w:bookmarkStart w:id="1412" w:name="_Toc63471490"/>
      <w:bookmarkEnd w:id="1412"/>
      <w:r>
        <w:rPr>
          <w:rFonts w:ascii="黑体" w:eastAsia="黑体" w:cs="黑体"/>
          <w:color w:val="auto"/>
          <w:sz w:val="21"/>
          <w:szCs w:val="21"/>
          <w:highlight w:val="none"/>
        </w:rPr>
        <w:br w:type="page"/>
      </w:r>
      <w:r>
        <w:rPr>
          <w:rFonts w:hint="eastAsia" w:ascii="黑体" w:eastAsia="黑体" w:cs="黑体"/>
          <w:color w:val="auto"/>
          <w:sz w:val="21"/>
          <w:szCs w:val="21"/>
          <w:highlight w:val="none"/>
        </w:rPr>
        <w:t>附</w:t>
      </w:r>
      <w:bookmarkStart w:id="1413" w:name="_Toc296346727"/>
      <w:bookmarkEnd w:id="1413"/>
      <w:bookmarkStart w:id="1414" w:name="_Toc296503226"/>
      <w:bookmarkEnd w:id="1414"/>
      <w:bookmarkStart w:id="1415" w:name="_Toc296891266"/>
      <w:bookmarkEnd w:id="1415"/>
      <w:bookmarkStart w:id="1416" w:name="_Toc296944565"/>
      <w:bookmarkEnd w:id="1416"/>
      <w:bookmarkStart w:id="1417" w:name="_Toc267261693"/>
      <w:bookmarkEnd w:id="1417"/>
      <w:bookmarkStart w:id="1418" w:name="_Toc296347225"/>
      <w:bookmarkEnd w:id="1418"/>
      <w:bookmarkStart w:id="1419" w:name="_Toc296891054"/>
      <w:r>
        <w:rPr>
          <w:rFonts w:hint="eastAsia" w:ascii="黑体" w:eastAsia="黑体" w:cs="黑体"/>
          <w:color w:val="auto"/>
          <w:sz w:val="21"/>
          <w:szCs w:val="21"/>
          <w:highlight w:val="none"/>
        </w:rPr>
        <w:t>件3：</w:t>
      </w:r>
      <w:bookmarkEnd w:id="1419"/>
      <w:r>
        <w:rPr>
          <w:rFonts w:hint="eastAsia" w:ascii="黑体" w:eastAsia="黑体" w:cs="黑体"/>
          <w:color w:val="auto"/>
          <w:sz w:val="21"/>
          <w:szCs w:val="21"/>
          <w:highlight w:val="none"/>
        </w:rPr>
        <w:t xml:space="preserve"> </w:t>
      </w:r>
    </w:p>
    <w:p>
      <w:pPr>
        <w:adjustRightInd w:val="0"/>
        <w:spacing w:beforeLines="50" w:afterLines="50" w:line="300" w:lineRule="auto"/>
        <w:jc w:val="center"/>
        <w:textAlignment w:val="baseline"/>
        <w:rPr>
          <w:rFonts w:cs="宋体"/>
          <w:b/>
          <w:color w:val="auto"/>
          <w:sz w:val="28"/>
          <w:szCs w:val="28"/>
          <w:highlight w:val="none"/>
        </w:rPr>
      </w:pPr>
      <w:r>
        <w:rPr>
          <w:rFonts w:hint="eastAsia" w:cs="宋体"/>
          <w:b/>
          <w:color w:val="auto"/>
          <w:sz w:val="28"/>
          <w:szCs w:val="28"/>
          <w:highlight w:val="none"/>
        </w:rPr>
        <w:t>工程质量保修书</w:t>
      </w:r>
    </w:p>
    <w:p>
      <w:pPr>
        <w:adjustRightInd w:val="0"/>
        <w:spacing w:line="360" w:lineRule="auto"/>
        <w:textAlignment w:val="baseline"/>
        <w:rPr>
          <w:rFonts w:cs="宋体"/>
          <w:color w:val="auto"/>
          <w:sz w:val="21"/>
          <w:szCs w:val="21"/>
          <w:highlight w:val="none"/>
        </w:rPr>
      </w:pPr>
      <w:r>
        <w:rPr>
          <w:rFonts w:hint="eastAsia" w:cs="宋体"/>
          <w:color w:val="auto"/>
          <w:sz w:val="21"/>
          <w:szCs w:val="21"/>
          <w:highlight w:val="none"/>
        </w:rPr>
        <w:t>发包人（全称）：</w:t>
      </w:r>
      <w:r>
        <w:rPr>
          <w:rFonts w:hint="eastAsia" w:cs="宋体"/>
          <w:color w:val="auto"/>
          <w:sz w:val="21"/>
          <w:szCs w:val="21"/>
          <w:highlight w:val="none"/>
          <w:u w:val="single"/>
        </w:rPr>
        <w:t xml:space="preserve">                                </w:t>
      </w:r>
      <w:r>
        <w:rPr>
          <w:rFonts w:hint="eastAsia" w:cs="宋体"/>
          <w:color w:val="auto"/>
          <w:sz w:val="21"/>
          <w:szCs w:val="21"/>
          <w:highlight w:val="none"/>
        </w:rPr>
        <w:t xml:space="preserve"> </w:t>
      </w:r>
    </w:p>
    <w:p>
      <w:pPr>
        <w:adjustRightInd w:val="0"/>
        <w:spacing w:line="360" w:lineRule="auto"/>
        <w:textAlignment w:val="baseline"/>
        <w:rPr>
          <w:rFonts w:cs="宋体"/>
          <w:color w:val="auto"/>
          <w:sz w:val="21"/>
          <w:szCs w:val="21"/>
          <w:highlight w:val="none"/>
        </w:rPr>
      </w:pPr>
      <w:r>
        <w:rPr>
          <w:rFonts w:hint="eastAsia" w:cs="宋体"/>
          <w:color w:val="auto"/>
          <w:sz w:val="21"/>
          <w:szCs w:val="21"/>
          <w:highlight w:val="none"/>
        </w:rPr>
        <w:t>承包人（全称）：</w:t>
      </w:r>
      <w:r>
        <w:rPr>
          <w:rFonts w:hint="eastAsia" w:cs="宋体"/>
          <w:color w:val="auto"/>
          <w:sz w:val="21"/>
          <w:szCs w:val="21"/>
          <w:highlight w:val="none"/>
          <w:u w:val="single"/>
        </w:rPr>
        <w:t xml:space="preserve">                                </w:t>
      </w:r>
      <w:r>
        <w:rPr>
          <w:rFonts w:hint="eastAsia" w:cs="宋体"/>
          <w:color w:val="auto"/>
          <w:sz w:val="21"/>
          <w:szCs w:val="21"/>
          <w:highlight w:val="none"/>
        </w:rPr>
        <w:t xml:space="preserve"> </w:t>
      </w:r>
    </w:p>
    <w:p>
      <w:pPr>
        <w:adjustRightInd w:val="0"/>
        <w:spacing w:line="360" w:lineRule="auto"/>
        <w:textAlignment w:val="baseline"/>
        <w:rPr>
          <w:rFonts w:cs="宋体"/>
          <w:color w:val="auto"/>
          <w:sz w:val="21"/>
          <w:szCs w:val="21"/>
          <w:highlight w:val="none"/>
        </w:rPr>
      </w:pPr>
      <w:r>
        <w:rPr>
          <w:rFonts w:hint="eastAsia" w:cs="宋体"/>
          <w:color w:val="auto"/>
          <w:sz w:val="21"/>
          <w:szCs w:val="21"/>
          <w:highlight w:val="none"/>
        </w:rPr>
        <w:t xml:space="preserve"> </w:t>
      </w:r>
    </w:p>
    <w:p>
      <w:pPr>
        <w:adjustRightInd w:val="0"/>
        <w:spacing w:line="360" w:lineRule="auto"/>
        <w:ind w:firstLine="424" w:firstLineChars="202"/>
        <w:textAlignment w:val="baseline"/>
        <w:rPr>
          <w:rFonts w:cs="宋体"/>
          <w:color w:val="auto"/>
          <w:sz w:val="21"/>
          <w:szCs w:val="21"/>
          <w:highlight w:val="none"/>
        </w:rPr>
      </w:pPr>
      <w:r>
        <w:rPr>
          <w:rFonts w:hint="eastAsia" w:cs="宋体"/>
          <w:color w:val="auto"/>
          <w:sz w:val="21"/>
          <w:szCs w:val="21"/>
          <w:highlight w:val="none"/>
        </w:rPr>
        <w:t>发包人和承包人根据《中华人民共和国建筑法》和《建设工程质量管理条例》，经协商一致就</w:t>
      </w:r>
      <w:r>
        <w:rPr>
          <w:rFonts w:hint="eastAsia" w:cs="宋体"/>
          <w:color w:val="auto"/>
          <w:sz w:val="21"/>
          <w:szCs w:val="21"/>
          <w:highlight w:val="none"/>
          <w:u w:val="single"/>
        </w:rPr>
        <w:t xml:space="preserve">                     </w:t>
      </w:r>
      <w:r>
        <w:rPr>
          <w:rFonts w:hint="eastAsia" w:cs="宋体"/>
          <w:color w:val="auto"/>
          <w:sz w:val="21"/>
          <w:szCs w:val="21"/>
          <w:highlight w:val="none"/>
        </w:rPr>
        <w:t>（工程全称）签订工程质量保修书。</w:t>
      </w:r>
    </w:p>
    <w:p>
      <w:pPr>
        <w:adjustRightInd w:val="0"/>
        <w:spacing w:line="360" w:lineRule="auto"/>
        <w:ind w:firstLine="315" w:firstLineChars="150"/>
        <w:textAlignment w:val="baseline"/>
        <w:rPr>
          <w:rFonts w:cs="宋体"/>
          <w:color w:val="auto"/>
          <w:sz w:val="21"/>
          <w:szCs w:val="21"/>
          <w:highlight w:val="none"/>
        </w:rPr>
      </w:pPr>
      <w:r>
        <w:rPr>
          <w:rFonts w:hint="eastAsia" w:cs="宋体"/>
          <w:color w:val="auto"/>
          <w:sz w:val="21"/>
          <w:szCs w:val="21"/>
          <w:highlight w:val="none"/>
        </w:rPr>
        <w:t>一、工程质量保修范围和内容</w:t>
      </w:r>
    </w:p>
    <w:p>
      <w:pPr>
        <w:adjustRightInd w:val="0"/>
        <w:spacing w:line="360" w:lineRule="auto"/>
        <w:ind w:firstLine="424" w:firstLineChars="202"/>
        <w:textAlignment w:val="baseline"/>
        <w:rPr>
          <w:rFonts w:cs="宋体"/>
          <w:color w:val="auto"/>
          <w:sz w:val="21"/>
          <w:szCs w:val="21"/>
          <w:highlight w:val="none"/>
        </w:rPr>
      </w:pPr>
      <w:r>
        <w:rPr>
          <w:rFonts w:hint="eastAsia" w:cs="宋体"/>
          <w:color w:val="auto"/>
          <w:sz w:val="21"/>
          <w:szCs w:val="21"/>
          <w:highlight w:val="none"/>
        </w:rPr>
        <w:t xml:space="preserve"> 承包人在质量保修期内，按照有关法律规定和合同约定，承担工程质量保修责任。</w:t>
      </w:r>
    </w:p>
    <w:p>
      <w:pPr>
        <w:adjustRightInd w:val="0"/>
        <w:spacing w:line="360" w:lineRule="auto"/>
        <w:ind w:firstLine="424" w:firstLineChars="202"/>
        <w:textAlignment w:val="baseline"/>
        <w:rPr>
          <w:rFonts w:cs="宋体"/>
          <w:color w:val="auto"/>
          <w:sz w:val="21"/>
          <w:szCs w:val="21"/>
          <w:highlight w:val="none"/>
        </w:rPr>
      </w:pPr>
      <w:r>
        <w:rPr>
          <w:rFonts w:hint="eastAsia" w:cs="宋体"/>
          <w:color w:val="auto"/>
          <w:sz w:val="21"/>
          <w:szCs w:val="21"/>
          <w:highlight w:val="none"/>
        </w:rPr>
        <w:t xml:space="preserve"> 质量保修范围包括地基基础工程、主体结构工程，屋面防水工程、有防水要求的卫生间、房间和外墙面的防渗漏，供热与供冷系统，电气管线、给排水管道、设备安装和装修工程，以及双方约定的其他项目。具体保修的内容，双方约定如下：</w:t>
      </w:r>
    </w:p>
    <w:p>
      <w:pPr>
        <w:adjustRightInd w:val="0"/>
        <w:spacing w:line="360" w:lineRule="auto"/>
        <w:textAlignment w:val="baseline"/>
        <w:rPr>
          <w:rFonts w:cs="宋体"/>
          <w:color w:val="auto"/>
          <w:sz w:val="21"/>
          <w:szCs w:val="21"/>
          <w:highlight w:val="none"/>
        </w:rPr>
      </w:pPr>
      <w:r>
        <w:rPr>
          <w:rFonts w:hint="eastAsia" w:cs="宋体"/>
          <w:color w:val="auto"/>
          <w:sz w:val="21"/>
          <w:szCs w:val="21"/>
          <w:highlight w:val="none"/>
          <w:u w:val="single"/>
        </w:rPr>
        <w:t xml:space="preserve">                                                                                                                                                                           </w:t>
      </w:r>
      <w:r>
        <w:rPr>
          <w:rFonts w:hint="eastAsia" w:cs="宋体"/>
          <w:color w:val="auto"/>
          <w:sz w:val="21"/>
          <w:szCs w:val="21"/>
          <w:highlight w:val="none"/>
        </w:rPr>
        <w:t>。</w:t>
      </w:r>
    </w:p>
    <w:p>
      <w:pPr>
        <w:adjustRightInd w:val="0"/>
        <w:spacing w:line="360" w:lineRule="auto"/>
        <w:textAlignment w:val="baseline"/>
        <w:rPr>
          <w:rFonts w:cs="宋体"/>
          <w:color w:val="auto"/>
          <w:sz w:val="21"/>
          <w:szCs w:val="21"/>
          <w:highlight w:val="none"/>
        </w:rPr>
      </w:pPr>
      <w:r>
        <w:rPr>
          <w:rFonts w:hint="eastAsia" w:cs="宋体"/>
          <w:b/>
          <w:color w:val="auto"/>
          <w:sz w:val="21"/>
          <w:szCs w:val="21"/>
          <w:highlight w:val="none"/>
        </w:rPr>
        <w:t xml:space="preserve">  </w:t>
      </w:r>
      <w:r>
        <w:rPr>
          <w:rFonts w:hint="eastAsia" w:cs="宋体"/>
          <w:color w:val="auto"/>
          <w:sz w:val="21"/>
          <w:szCs w:val="21"/>
          <w:highlight w:val="none"/>
        </w:rPr>
        <w:t>二、质量保修期</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根据《建设工程质量管理条例》及有关规定，工程的质量保修期如下：</w:t>
      </w:r>
    </w:p>
    <w:p>
      <w:pPr>
        <w:adjustRightInd w:val="0"/>
        <w:spacing w:line="360" w:lineRule="auto"/>
        <w:ind w:firstLine="424" w:firstLineChars="202"/>
        <w:textAlignment w:val="baseline"/>
        <w:rPr>
          <w:rFonts w:cs="宋体"/>
          <w:color w:val="auto"/>
          <w:sz w:val="21"/>
          <w:szCs w:val="21"/>
          <w:highlight w:val="none"/>
        </w:rPr>
      </w:pPr>
      <w:r>
        <w:rPr>
          <w:rFonts w:hint="eastAsia" w:cs="宋体"/>
          <w:color w:val="auto"/>
          <w:sz w:val="21"/>
          <w:szCs w:val="21"/>
          <w:highlight w:val="none"/>
        </w:rPr>
        <w:t>1．地基基础工程和主体结构工程为设计文件规定的工程合理使用年限；</w:t>
      </w:r>
    </w:p>
    <w:p>
      <w:pPr>
        <w:adjustRightInd w:val="0"/>
        <w:spacing w:line="360" w:lineRule="auto"/>
        <w:ind w:firstLine="424" w:firstLineChars="202"/>
        <w:textAlignment w:val="baseline"/>
        <w:rPr>
          <w:rFonts w:cs="宋体"/>
          <w:color w:val="auto"/>
          <w:sz w:val="21"/>
          <w:szCs w:val="21"/>
          <w:highlight w:val="none"/>
        </w:rPr>
      </w:pPr>
      <w:r>
        <w:rPr>
          <w:rFonts w:hint="eastAsia" w:cs="宋体"/>
          <w:color w:val="auto"/>
          <w:sz w:val="21"/>
          <w:szCs w:val="21"/>
          <w:highlight w:val="none"/>
        </w:rPr>
        <w:t>2．屋面防水工程、有防水要求的卫生间、房间和外墙面的防渗为</w:t>
      </w:r>
      <w:r>
        <w:rPr>
          <w:rFonts w:hint="eastAsia" w:cs="宋体"/>
          <w:color w:val="auto"/>
          <w:sz w:val="21"/>
          <w:szCs w:val="21"/>
          <w:highlight w:val="none"/>
          <w:u w:val="single"/>
        </w:rPr>
        <w:t xml:space="preserve">        </w:t>
      </w:r>
      <w:r>
        <w:rPr>
          <w:rFonts w:hint="eastAsia" w:cs="宋体"/>
          <w:color w:val="auto"/>
          <w:sz w:val="21"/>
          <w:szCs w:val="21"/>
          <w:highlight w:val="none"/>
        </w:rPr>
        <w:t>年；</w:t>
      </w:r>
    </w:p>
    <w:p>
      <w:pPr>
        <w:adjustRightInd w:val="0"/>
        <w:spacing w:line="360" w:lineRule="auto"/>
        <w:ind w:firstLine="424" w:firstLineChars="202"/>
        <w:textAlignment w:val="baseline"/>
        <w:rPr>
          <w:rFonts w:cs="宋体"/>
          <w:color w:val="auto"/>
          <w:sz w:val="21"/>
          <w:szCs w:val="21"/>
          <w:highlight w:val="none"/>
        </w:rPr>
      </w:pPr>
      <w:r>
        <w:rPr>
          <w:rFonts w:hint="eastAsia" w:cs="宋体"/>
          <w:color w:val="auto"/>
          <w:sz w:val="21"/>
          <w:szCs w:val="21"/>
          <w:highlight w:val="none"/>
        </w:rPr>
        <w:t>3．装修工程为</w:t>
      </w:r>
      <w:r>
        <w:rPr>
          <w:rFonts w:hint="eastAsia" w:cs="宋体"/>
          <w:color w:val="auto"/>
          <w:sz w:val="21"/>
          <w:szCs w:val="21"/>
          <w:highlight w:val="none"/>
          <w:u w:val="single"/>
        </w:rPr>
        <w:t xml:space="preserve">         </w:t>
      </w:r>
      <w:r>
        <w:rPr>
          <w:rFonts w:hint="eastAsia" w:cs="宋体"/>
          <w:color w:val="auto"/>
          <w:sz w:val="21"/>
          <w:szCs w:val="21"/>
          <w:highlight w:val="none"/>
        </w:rPr>
        <w:t>年；</w:t>
      </w:r>
    </w:p>
    <w:p>
      <w:pPr>
        <w:adjustRightInd w:val="0"/>
        <w:spacing w:line="360" w:lineRule="auto"/>
        <w:ind w:firstLine="424" w:firstLineChars="202"/>
        <w:textAlignment w:val="baseline"/>
        <w:rPr>
          <w:rFonts w:cs="宋体"/>
          <w:color w:val="auto"/>
          <w:sz w:val="21"/>
          <w:szCs w:val="21"/>
          <w:highlight w:val="none"/>
        </w:rPr>
      </w:pPr>
      <w:r>
        <w:rPr>
          <w:rFonts w:hint="eastAsia" w:cs="宋体"/>
          <w:color w:val="auto"/>
          <w:sz w:val="21"/>
          <w:szCs w:val="21"/>
          <w:highlight w:val="none"/>
        </w:rPr>
        <w:t>4．电气管线、给排水管道、设备安装工程为</w:t>
      </w:r>
      <w:r>
        <w:rPr>
          <w:rFonts w:hint="eastAsia" w:cs="宋体"/>
          <w:color w:val="auto"/>
          <w:sz w:val="21"/>
          <w:szCs w:val="21"/>
          <w:highlight w:val="none"/>
          <w:u w:val="single"/>
        </w:rPr>
        <w:t xml:space="preserve">         </w:t>
      </w:r>
      <w:r>
        <w:rPr>
          <w:rFonts w:hint="eastAsia" w:cs="宋体"/>
          <w:color w:val="auto"/>
          <w:sz w:val="21"/>
          <w:szCs w:val="21"/>
          <w:highlight w:val="none"/>
        </w:rPr>
        <w:t>年；</w:t>
      </w:r>
    </w:p>
    <w:p>
      <w:pPr>
        <w:adjustRightInd w:val="0"/>
        <w:spacing w:line="360" w:lineRule="auto"/>
        <w:ind w:firstLine="424" w:firstLineChars="202"/>
        <w:textAlignment w:val="baseline"/>
        <w:rPr>
          <w:rFonts w:cs="宋体"/>
          <w:color w:val="auto"/>
          <w:sz w:val="21"/>
          <w:szCs w:val="21"/>
          <w:highlight w:val="none"/>
        </w:rPr>
      </w:pPr>
      <w:r>
        <w:rPr>
          <w:rFonts w:hint="eastAsia" w:cs="宋体"/>
          <w:color w:val="auto"/>
          <w:sz w:val="21"/>
          <w:szCs w:val="21"/>
          <w:highlight w:val="none"/>
        </w:rPr>
        <w:t>5．供热与供冷系统为</w:t>
      </w:r>
      <w:r>
        <w:rPr>
          <w:rFonts w:hint="eastAsia" w:cs="宋体"/>
          <w:color w:val="auto"/>
          <w:sz w:val="21"/>
          <w:szCs w:val="21"/>
          <w:highlight w:val="none"/>
          <w:u w:val="single"/>
        </w:rPr>
        <w:t xml:space="preserve">         </w:t>
      </w:r>
      <w:r>
        <w:rPr>
          <w:rFonts w:hint="eastAsia" w:cs="宋体"/>
          <w:color w:val="auto"/>
          <w:sz w:val="21"/>
          <w:szCs w:val="21"/>
          <w:highlight w:val="none"/>
        </w:rPr>
        <w:t>个采暖期、供冷期；</w:t>
      </w:r>
    </w:p>
    <w:p>
      <w:pPr>
        <w:adjustRightInd w:val="0"/>
        <w:spacing w:line="360" w:lineRule="auto"/>
        <w:ind w:firstLine="424" w:firstLineChars="202"/>
        <w:textAlignment w:val="baseline"/>
        <w:rPr>
          <w:rFonts w:cs="宋体"/>
          <w:color w:val="auto"/>
          <w:sz w:val="21"/>
          <w:szCs w:val="21"/>
          <w:highlight w:val="none"/>
        </w:rPr>
      </w:pPr>
      <w:r>
        <w:rPr>
          <w:rFonts w:hint="eastAsia" w:cs="宋体"/>
          <w:color w:val="auto"/>
          <w:sz w:val="21"/>
          <w:szCs w:val="21"/>
          <w:highlight w:val="none"/>
        </w:rPr>
        <w:t>6．住宅小区内的给排水设施、道路等配套工程为</w:t>
      </w:r>
      <w:r>
        <w:rPr>
          <w:rFonts w:hint="eastAsia" w:cs="宋体"/>
          <w:color w:val="auto"/>
          <w:sz w:val="21"/>
          <w:szCs w:val="21"/>
          <w:highlight w:val="none"/>
          <w:u w:val="single"/>
        </w:rPr>
        <w:t xml:space="preserve">         </w:t>
      </w:r>
      <w:r>
        <w:rPr>
          <w:rFonts w:hint="eastAsia" w:cs="宋体"/>
          <w:color w:val="auto"/>
          <w:sz w:val="21"/>
          <w:szCs w:val="21"/>
          <w:highlight w:val="none"/>
        </w:rPr>
        <w:t>年；</w:t>
      </w:r>
    </w:p>
    <w:p>
      <w:pPr>
        <w:adjustRightInd w:val="0"/>
        <w:spacing w:line="360" w:lineRule="auto"/>
        <w:ind w:firstLine="424" w:firstLineChars="202"/>
        <w:textAlignment w:val="baseline"/>
        <w:rPr>
          <w:rFonts w:cs="宋体"/>
          <w:color w:val="auto"/>
          <w:sz w:val="21"/>
          <w:szCs w:val="21"/>
          <w:highlight w:val="none"/>
        </w:rPr>
      </w:pPr>
      <w:r>
        <w:rPr>
          <w:rFonts w:hint="eastAsia" w:cs="宋体"/>
          <w:color w:val="auto"/>
          <w:sz w:val="21"/>
          <w:szCs w:val="21"/>
          <w:highlight w:val="none"/>
        </w:rPr>
        <w:t>7．其他项目保修期限约定如下：</w:t>
      </w:r>
    </w:p>
    <w:p>
      <w:pPr>
        <w:adjustRightInd w:val="0"/>
        <w:spacing w:line="360" w:lineRule="auto"/>
        <w:textAlignment w:val="baseline"/>
        <w:rPr>
          <w:rFonts w:cs="宋体"/>
          <w:color w:val="auto"/>
          <w:sz w:val="21"/>
          <w:szCs w:val="21"/>
          <w:highlight w:val="none"/>
        </w:rPr>
      </w:pPr>
      <w:r>
        <w:rPr>
          <w:rFonts w:hint="eastAsia" w:cs="宋体"/>
          <w:color w:val="auto"/>
          <w:sz w:val="21"/>
          <w:szCs w:val="21"/>
          <w:highlight w:val="none"/>
          <w:u w:val="single"/>
        </w:rPr>
        <w:t xml:space="preserve">                                                                                                                                                                             </w:t>
      </w:r>
      <w:r>
        <w:rPr>
          <w:rFonts w:hint="eastAsia" w:cs="宋体"/>
          <w:color w:val="auto"/>
          <w:sz w:val="21"/>
          <w:szCs w:val="21"/>
          <w:highlight w:val="none"/>
        </w:rPr>
        <w:t>。</w:t>
      </w:r>
    </w:p>
    <w:p>
      <w:pPr>
        <w:adjustRightInd w:val="0"/>
        <w:spacing w:line="360" w:lineRule="auto"/>
        <w:textAlignment w:val="baseline"/>
        <w:rPr>
          <w:rFonts w:cs="宋体"/>
          <w:color w:val="auto"/>
          <w:sz w:val="21"/>
          <w:szCs w:val="21"/>
          <w:highlight w:val="none"/>
        </w:rPr>
      </w:pPr>
      <w:r>
        <w:rPr>
          <w:rFonts w:hint="eastAsia" w:cs="宋体"/>
          <w:color w:val="auto"/>
          <w:sz w:val="21"/>
          <w:szCs w:val="21"/>
          <w:highlight w:val="none"/>
        </w:rPr>
        <w:t xml:space="preserve">  质量保修期自工程竣工验收合格之日起计算。</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三、缺陷责任期</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工程缺陷责任期为</w:t>
      </w:r>
      <w:r>
        <w:rPr>
          <w:rFonts w:hint="eastAsia" w:cs="宋体"/>
          <w:color w:val="auto"/>
          <w:sz w:val="21"/>
          <w:szCs w:val="21"/>
          <w:highlight w:val="none"/>
          <w:u w:val="single"/>
        </w:rPr>
        <w:t xml:space="preserve">         </w:t>
      </w:r>
      <w:r>
        <w:rPr>
          <w:rFonts w:hint="eastAsia" w:cs="宋体"/>
          <w:color w:val="auto"/>
          <w:sz w:val="21"/>
          <w:szCs w:val="21"/>
          <w:highlight w:val="none"/>
        </w:rPr>
        <w:t>个月，缺陷责任期自工程通过竣工验收之日起计算。单位工程先于全部工程进行验收，单位工程缺陷责任期自单位工程验收合格之日起算。</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缺陷责任期终止后，发包人应退还剩余的质量保证金。</w:t>
      </w:r>
    </w:p>
    <w:p>
      <w:pPr>
        <w:adjustRightInd w:val="0"/>
        <w:spacing w:line="360" w:lineRule="auto"/>
        <w:textAlignment w:val="baseline"/>
        <w:rPr>
          <w:rFonts w:cs="宋体"/>
          <w:color w:val="auto"/>
          <w:sz w:val="21"/>
          <w:szCs w:val="21"/>
          <w:highlight w:val="none"/>
        </w:rPr>
      </w:pPr>
      <w:r>
        <w:rPr>
          <w:rFonts w:hint="eastAsia" w:cs="宋体"/>
          <w:color w:val="auto"/>
          <w:sz w:val="21"/>
          <w:szCs w:val="21"/>
          <w:highlight w:val="none"/>
        </w:rPr>
        <w:t xml:space="preserve">    四、质量保修责任</w:t>
      </w:r>
    </w:p>
    <w:p>
      <w:pPr>
        <w:adjustRightInd w:val="0"/>
        <w:spacing w:line="360" w:lineRule="auto"/>
        <w:ind w:firstLine="424" w:firstLineChars="202"/>
        <w:textAlignment w:val="baseline"/>
        <w:rPr>
          <w:rFonts w:cs="宋体"/>
          <w:color w:val="auto"/>
          <w:sz w:val="21"/>
          <w:szCs w:val="21"/>
          <w:highlight w:val="none"/>
        </w:rPr>
      </w:pPr>
      <w:r>
        <w:rPr>
          <w:rFonts w:hint="eastAsia" w:cs="宋体"/>
          <w:color w:val="auto"/>
          <w:sz w:val="21"/>
          <w:szCs w:val="21"/>
          <w:highlight w:val="none"/>
        </w:rPr>
        <w:t>1.属于保修范围、内容的项目，承包人应当在接到保修通知之日起7天内派人保修。承包人不在约定期限内派人保修的，发包人可以委托他人修理。</w:t>
      </w:r>
    </w:p>
    <w:p>
      <w:pPr>
        <w:adjustRightInd w:val="0"/>
        <w:spacing w:line="360" w:lineRule="auto"/>
        <w:ind w:firstLine="424" w:firstLineChars="202"/>
        <w:textAlignment w:val="baseline"/>
        <w:rPr>
          <w:rFonts w:cs="宋体"/>
          <w:color w:val="auto"/>
          <w:sz w:val="21"/>
          <w:szCs w:val="21"/>
          <w:highlight w:val="none"/>
        </w:rPr>
      </w:pPr>
      <w:r>
        <w:rPr>
          <w:rFonts w:hint="eastAsia" w:cs="宋体"/>
          <w:color w:val="auto"/>
          <w:sz w:val="21"/>
          <w:szCs w:val="21"/>
          <w:highlight w:val="none"/>
        </w:rPr>
        <w:t>2.发生紧急事故需抢修的，承包人在接到事故通知后，应当立即到达事故现场抢修。</w:t>
      </w:r>
    </w:p>
    <w:p>
      <w:pPr>
        <w:adjustRightInd w:val="0"/>
        <w:spacing w:line="360" w:lineRule="auto"/>
        <w:ind w:firstLine="424" w:firstLineChars="202"/>
        <w:textAlignment w:val="baseline"/>
        <w:rPr>
          <w:rFonts w:cs="宋体"/>
          <w:color w:val="auto"/>
          <w:sz w:val="21"/>
          <w:szCs w:val="21"/>
          <w:highlight w:val="none"/>
        </w:rPr>
      </w:pPr>
      <w:r>
        <w:rPr>
          <w:rFonts w:hint="eastAsia" w:cs="宋体"/>
          <w:color w:val="auto"/>
          <w:sz w:val="21"/>
          <w:szCs w:val="21"/>
          <w:highlight w:val="none"/>
        </w:rPr>
        <w:t>3.对于涉及结构安全的质量问题，应当按照《建设工程质量管理条例》的规定，立即向当地建设行政主管部门和有关部门报告，采取安全防范措施，并由原设计人或者具有相应资质等级的设计人提出保修方案，承包人实施保修。</w:t>
      </w:r>
    </w:p>
    <w:p>
      <w:pPr>
        <w:adjustRightInd w:val="0"/>
        <w:spacing w:line="360" w:lineRule="auto"/>
        <w:ind w:firstLine="424" w:firstLineChars="202"/>
        <w:textAlignment w:val="baseline"/>
        <w:rPr>
          <w:rFonts w:cs="宋体"/>
          <w:color w:val="auto"/>
          <w:sz w:val="21"/>
          <w:szCs w:val="21"/>
          <w:highlight w:val="none"/>
        </w:rPr>
      </w:pPr>
      <w:r>
        <w:rPr>
          <w:rFonts w:hint="eastAsia" w:cs="宋体"/>
          <w:color w:val="auto"/>
          <w:sz w:val="21"/>
          <w:szCs w:val="21"/>
          <w:highlight w:val="none"/>
        </w:rPr>
        <w:t>4.质量保修完成后，由发包人组织验收。</w:t>
      </w:r>
    </w:p>
    <w:p>
      <w:pPr>
        <w:adjustRightInd w:val="0"/>
        <w:spacing w:line="360" w:lineRule="auto"/>
        <w:textAlignment w:val="baseline"/>
        <w:rPr>
          <w:rFonts w:cs="宋体"/>
          <w:color w:val="auto"/>
          <w:sz w:val="21"/>
          <w:szCs w:val="21"/>
          <w:highlight w:val="none"/>
        </w:rPr>
      </w:pPr>
      <w:r>
        <w:rPr>
          <w:rFonts w:hint="eastAsia" w:cs="宋体"/>
          <w:color w:val="auto"/>
          <w:sz w:val="21"/>
          <w:szCs w:val="21"/>
          <w:highlight w:val="none"/>
        </w:rPr>
        <w:t xml:space="preserve"> 五、保修费用</w:t>
      </w:r>
    </w:p>
    <w:p>
      <w:pPr>
        <w:adjustRightInd w:val="0"/>
        <w:spacing w:line="360" w:lineRule="auto"/>
        <w:textAlignment w:val="baseline"/>
        <w:rPr>
          <w:rFonts w:cs="宋体"/>
          <w:color w:val="auto"/>
          <w:sz w:val="21"/>
          <w:szCs w:val="21"/>
          <w:highlight w:val="none"/>
        </w:rPr>
      </w:pPr>
      <w:r>
        <w:rPr>
          <w:rFonts w:hint="eastAsia" w:cs="宋体"/>
          <w:color w:val="auto"/>
          <w:sz w:val="21"/>
          <w:szCs w:val="21"/>
          <w:highlight w:val="none"/>
        </w:rPr>
        <w:t xml:space="preserve">      保修费用由造成质量缺陷的责任方承担。</w:t>
      </w:r>
    </w:p>
    <w:p>
      <w:pPr>
        <w:adjustRightInd w:val="0"/>
        <w:spacing w:line="360" w:lineRule="auto"/>
        <w:ind w:firstLine="105" w:firstLineChars="50"/>
        <w:jc w:val="left"/>
        <w:textAlignment w:val="baseline"/>
        <w:rPr>
          <w:rFonts w:cs="宋体"/>
          <w:color w:val="auto"/>
          <w:sz w:val="21"/>
          <w:szCs w:val="21"/>
          <w:highlight w:val="none"/>
          <w:u w:val="single"/>
        </w:rPr>
      </w:pPr>
      <w:r>
        <w:rPr>
          <w:rFonts w:hint="eastAsia" w:cs="宋体"/>
          <w:color w:val="auto"/>
          <w:sz w:val="21"/>
          <w:szCs w:val="21"/>
          <w:highlight w:val="none"/>
        </w:rPr>
        <w:t>六、双方约定的其他工程质量保修事项：</w:t>
      </w:r>
      <w:r>
        <w:rPr>
          <w:rFonts w:hint="eastAsia" w:cs="宋体"/>
          <w:color w:val="auto"/>
          <w:sz w:val="21"/>
          <w:szCs w:val="21"/>
          <w:highlight w:val="none"/>
          <w:u w:val="single"/>
        </w:rPr>
        <w:t xml:space="preserve">                                                    </w:t>
      </w:r>
    </w:p>
    <w:p>
      <w:pPr>
        <w:adjustRightInd w:val="0"/>
        <w:spacing w:line="360" w:lineRule="auto"/>
        <w:jc w:val="left"/>
        <w:textAlignment w:val="baseline"/>
        <w:rPr>
          <w:rFonts w:cs="宋体"/>
          <w:color w:val="auto"/>
          <w:sz w:val="21"/>
          <w:szCs w:val="21"/>
          <w:highlight w:val="none"/>
          <w:u w:val="single"/>
        </w:rPr>
      </w:pPr>
      <w:r>
        <w:rPr>
          <w:rFonts w:hint="eastAsia" w:cs="宋体"/>
          <w:color w:val="auto"/>
          <w:sz w:val="21"/>
          <w:szCs w:val="21"/>
          <w:highlight w:val="none"/>
          <w:u w:val="single"/>
        </w:rPr>
        <w:t xml:space="preserve">                                                                                        </w:t>
      </w:r>
    </w:p>
    <w:p>
      <w:pPr>
        <w:adjustRightInd w:val="0"/>
        <w:spacing w:line="360" w:lineRule="auto"/>
        <w:jc w:val="left"/>
        <w:textAlignment w:val="baseline"/>
        <w:rPr>
          <w:rFonts w:cs="宋体"/>
          <w:color w:val="auto"/>
          <w:sz w:val="21"/>
          <w:szCs w:val="21"/>
          <w:highlight w:val="none"/>
        </w:rPr>
      </w:pPr>
      <w:r>
        <w:rPr>
          <w:rFonts w:hint="eastAsia" w:cs="宋体"/>
          <w:color w:val="auto"/>
          <w:sz w:val="21"/>
          <w:szCs w:val="21"/>
          <w:highlight w:val="none"/>
          <w:u w:val="single"/>
        </w:rPr>
        <w:t xml:space="preserve">                                                                                         </w:t>
      </w:r>
      <w:r>
        <w:rPr>
          <w:rFonts w:hint="eastAsia" w:cs="宋体"/>
          <w:color w:val="auto"/>
          <w:sz w:val="21"/>
          <w:szCs w:val="21"/>
          <w:highlight w:val="none"/>
        </w:rPr>
        <w:t>。</w:t>
      </w:r>
    </w:p>
    <w:p>
      <w:pPr>
        <w:adjustRightInd w:val="0"/>
        <w:spacing w:line="360" w:lineRule="auto"/>
        <w:ind w:firstLine="399" w:firstLineChars="190"/>
        <w:textAlignment w:val="baseline"/>
        <w:rPr>
          <w:rFonts w:cs="宋体"/>
          <w:color w:val="auto"/>
          <w:sz w:val="21"/>
          <w:szCs w:val="21"/>
          <w:highlight w:val="none"/>
        </w:rPr>
      </w:pPr>
      <w:r>
        <w:rPr>
          <w:rFonts w:hint="eastAsia" w:cs="宋体"/>
          <w:color w:val="auto"/>
          <w:sz w:val="21"/>
          <w:szCs w:val="21"/>
          <w:highlight w:val="none"/>
        </w:rPr>
        <w:t>工程质量保修书由发包人、承包人在工程竣工验收前共同签署，作为施工合同附件，其有效期限至保修期满。</w:t>
      </w:r>
    </w:p>
    <w:p>
      <w:pPr>
        <w:adjustRightInd w:val="0"/>
        <w:spacing w:line="360" w:lineRule="auto"/>
        <w:ind w:firstLine="420"/>
        <w:textAlignment w:val="baseline"/>
        <w:rPr>
          <w:rFonts w:cs="宋体"/>
          <w:color w:val="auto"/>
          <w:sz w:val="21"/>
          <w:szCs w:val="21"/>
          <w:highlight w:val="none"/>
        </w:rPr>
      </w:pPr>
      <w:r>
        <w:rPr>
          <w:rFonts w:hint="eastAsia" w:cs="宋体"/>
          <w:color w:val="auto"/>
          <w:sz w:val="21"/>
          <w:szCs w:val="21"/>
          <w:highlight w:val="none"/>
        </w:rPr>
        <w:t xml:space="preserve"> </w:t>
      </w:r>
    </w:p>
    <w:p>
      <w:pPr>
        <w:adjustRightInd w:val="0"/>
        <w:spacing w:line="360" w:lineRule="auto"/>
        <w:textAlignment w:val="baseline"/>
        <w:rPr>
          <w:rFonts w:cs="宋体"/>
          <w:color w:val="auto"/>
          <w:sz w:val="21"/>
          <w:szCs w:val="21"/>
          <w:highlight w:val="none"/>
        </w:rPr>
      </w:pPr>
      <w:r>
        <w:rPr>
          <w:rFonts w:hint="eastAsia" w:cs="宋体"/>
          <w:color w:val="auto"/>
          <w:sz w:val="21"/>
          <w:szCs w:val="21"/>
          <w:highlight w:val="none"/>
        </w:rPr>
        <w:t>发包人(公章)：</w:t>
      </w:r>
      <w:r>
        <w:rPr>
          <w:rFonts w:hint="eastAsia" w:cs="宋体"/>
          <w:color w:val="auto"/>
          <w:sz w:val="21"/>
          <w:szCs w:val="21"/>
          <w:highlight w:val="none"/>
          <w:u w:val="single"/>
        </w:rPr>
        <w:t xml:space="preserve">        </w:t>
      </w:r>
      <w:r>
        <w:rPr>
          <w:rFonts w:hint="eastAsia" w:cs="宋体"/>
          <w:color w:val="auto"/>
          <w:sz w:val="21"/>
          <w:szCs w:val="21"/>
          <w:highlight w:val="none"/>
        </w:rPr>
        <w:t xml:space="preserve">            承包人(公章)：</w:t>
      </w:r>
      <w:r>
        <w:rPr>
          <w:rFonts w:hint="eastAsia" w:cs="宋体"/>
          <w:color w:val="auto"/>
          <w:sz w:val="21"/>
          <w:szCs w:val="21"/>
          <w:highlight w:val="none"/>
          <w:u w:val="single"/>
        </w:rPr>
        <w:t xml:space="preserve">           </w:t>
      </w:r>
    </w:p>
    <w:p>
      <w:pPr>
        <w:adjustRightInd w:val="0"/>
        <w:spacing w:line="360" w:lineRule="auto"/>
        <w:textAlignment w:val="baseline"/>
        <w:rPr>
          <w:rFonts w:cs="宋体"/>
          <w:color w:val="auto"/>
          <w:sz w:val="21"/>
          <w:szCs w:val="21"/>
          <w:highlight w:val="none"/>
        </w:rPr>
      </w:pPr>
      <w:r>
        <w:rPr>
          <w:rFonts w:hint="eastAsia" w:cs="宋体"/>
          <w:color w:val="auto"/>
          <w:sz w:val="21"/>
          <w:szCs w:val="21"/>
          <w:highlight w:val="none"/>
        </w:rPr>
        <w:t>地  址：</w:t>
      </w:r>
      <w:r>
        <w:rPr>
          <w:rFonts w:hint="eastAsia" w:cs="宋体"/>
          <w:color w:val="auto"/>
          <w:sz w:val="21"/>
          <w:szCs w:val="21"/>
          <w:highlight w:val="none"/>
          <w:u w:val="single"/>
        </w:rPr>
        <w:t xml:space="preserve">     </w:t>
      </w:r>
      <w:r>
        <w:rPr>
          <w:rFonts w:hint="eastAsia" w:cs="宋体"/>
          <w:color w:val="auto"/>
          <w:sz w:val="21"/>
          <w:szCs w:val="21"/>
          <w:highlight w:val="none"/>
        </w:rPr>
        <w:t xml:space="preserve">             地  址：</w:t>
      </w:r>
      <w:r>
        <w:rPr>
          <w:rFonts w:hint="eastAsia" w:cs="宋体"/>
          <w:color w:val="auto"/>
          <w:sz w:val="21"/>
          <w:szCs w:val="21"/>
          <w:highlight w:val="none"/>
          <w:u w:val="single"/>
        </w:rPr>
        <w:t xml:space="preserve">       </w:t>
      </w:r>
    </w:p>
    <w:p>
      <w:pPr>
        <w:adjustRightInd w:val="0"/>
        <w:spacing w:line="360" w:lineRule="auto"/>
        <w:textAlignment w:val="baseline"/>
        <w:rPr>
          <w:rFonts w:cs="宋体"/>
          <w:color w:val="auto"/>
          <w:sz w:val="21"/>
          <w:szCs w:val="21"/>
          <w:highlight w:val="none"/>
        </w:rPr>
      </w:pPr>
      <w:r>
        <w:rPr>
          <w:rFonts w:hint="eastAsia" w:cs="宋体"/>
          <w:color w:val="auto"/>
          <w:sz w:val="21"/>
          <w:szCs w:val="21"/>
          <w:highlight w:val="none"/>
        </w:rPr>
        <w:t>法定代表人(签字)：</w:t>
      </w:r>
      <w:r>
        <w:rPr>
          <w:rFonts w:hint="eastAsia" w:cs="宋体"/>
          <w:color w:val="auto"/>
          <w:sz w:val="21"/>
          <w:szCs w:val="21"/>
          <w:highlight w:val="none"/>
          <w:u w:val="single"/>
        </w:rPr>
        <w:t xml:space="preserve">      </w:t>
      </w:r>
      <w:r>
        <w:rPr>
          <w:rFonts w:hint="eastAsia" w:cs="宋体"/>
          <w:color w:val="auto"/>
          <w:sz w:val="21"/>
          <w:szCs w:val="21"/>
          <w:highlight w:val="none"/>
        </w:rPr>
        <w:t xml:space="preserve">            法定代表人(签字)：</w:t>
      </w:r>
      <w:r>
        <w:rPr>
          <w:rFonts w:hint="eastAsia" w:cs="宋体"/>
          <w:color w:val="auto"/>
          <w:sz w:val="21"/>
          <w:szCs w:val="21"/>
          <w:highlight w:val="none"/>
          <w:u w:val="single"/>
        </w:rPr>
        <w:t xml:space="preserve">       </w:t>
      </w:r>
    </w:p>
    <w:p>
      <w:pPr>
        <w:adjustRightInd w:val="0"/>
        <w:spacing w:line="360" w:lineRule="auto"/>
        <w:textAlignment w:val="baseline"/>
        <w:rPr>
          <w:rFonts w:cs="宋体"/>
          <w:color w:val="auto"/>
          <w:sz w:val="21"/>
          <w:szCs w:val="21"/>
          <w:highlight w:val="none"/>
        </w:rPr>
      </w:pPr>
      <w:r>
        <w:rPr>
          <w:rFonts w:hint="eastAsia" w:cs="宋体"/>
          <w:color w:val="auto"/>
          <w:sz w:val="21"/>
          <w:szCs w:val="21"/>
          <w:highlight w:val="none"/>
        </w:rPr>
        <w:t>委托代理人(签字)：</w:t>
      </w:r>
      <w:r>
        <w:rPr>
          <w:rFonts w:hint="eastAsia" w:cs="宋体"/>
          <w:color w:val="auto"/>
          <w:sz w:val="21"/>
          <w:szCs w:val="21"/>
          <w:highlight w:val="none"/>
          <w:u w:val="single"/>
        </w:rPr>
        <w:t xml:space="preserve">      </w:t>
      </w:r>
      <w:r>
        <w:rPr>
          <w:rFonts w:hint="eastAsia" w:cs="宋体"/>
          <w:color w:val="auto"/>
          <w:sz w:val="21"/>
          <w:szCs w:val="21"/>
          <w:highlight w:val="none"/>
        </w:rPr>
        <w:t xml:space="preserve">            委托代理人(签字)：</w:t>
      </w:r>
      <w:r>
        <w:rPr>
          <w:rFonts w:hint="eastAsia" w:cs="宋体"/>
          <w:color w:val="auto"/>
          <w:sz w:val="21"/>
          <w:szCs w:val="21"/>
          <w:highlight w:val="none"/>
          <w:u w:val="single"/>
        </w:rPr>
        <w:t xml:space="preserve">       </w:t>
      </w:r>
    </w:p>
    <w:p>
      <w:pPr>
        <w:adjustRightInd w:val="0"/>
        <w:spacing w:line="360" w:lineRule="auto"/>
        <w:textAlignment w:val="baseline"/>
        <w:rPr>
          <w:rFonts w:cs="宋体"/>
          <w:color w:val="auto"/>
          <w:sz w:val="21"/>
          <w:szCs w:val="21"/>
          <w:highlight w:val="none"/>
        </w:rPr>
      </w:pPr>
      <w:r>
        <w:rPr>
          <w:rFonts w:hint="eastAsia" w:cs="宋体"/>
          <w:color w:val="auto"/>
          <w:sz w:val="21"/>
          <w:szCs w:val="21"/>
          <w:highlight w:val="none"/>
        </w:rPr>
        <w:t>电  话：</w:t>
      </w:r>
      <w:r>
        <w:rPr>
          <w:rFonts w:hint="eastAsia" w:cs="宋体"/>
          <w:color w:val="auto"/>
          <w:sz w:val="21"/>
          <w:szCs w:val="21"/>
          <w:highlight w:val="none"/>
          <w:u w:val="single"/>
        </w:rPr>
        <w:t xml:space="preserve">   </w:t>
      </w:r>
      <w:r>
        <w:rPr>
          <w:rFonts w:hint="eastAsia" w:cs="宋体"/>
          <w:color w:val="auto"/>
          <w:sz w:val="21"/>
          <w:szCs w:val="21"/>
          <w:highlight w:val="none"/>
        </w:rPr>
        <w:t xml:space="preserve">             电  话：</w:t>
      </w:r>
      <w:r>
        <w:rPr>
          <w:rFonts w:hint="eastAsia" w:cs="宋体"/>
          <w:color w:val="auto"/>
          <w:sz w:val="21"/>
          <w:szCs w:val="21"/>
          <w:highlight w:val="none"/>
          <w:u w:val="single"/>
        </w:rPr>
        <w:t xml:space="preserve">     </w:t>
      </w:r>
    </w:p>
    <w:p>
      <w:pPr>
        <w:adjustRightInd w:val="0"/>
        <w:spacing w:line="360" w:lineRule="auto"/>
        <w:textAlignment w:val="baseline"/>
        <w:rPr>
          <w:rFonts w:cs="宋体"/>
          <w:color w:val="auto"/>
          <w:sz w:val="21"/>
          <w:szCs w:val="21"/>
          <w:highlight w:val="none"/>
        </w:rPr>
      </w:pPr>
      <w:r>
        <w:rPr>
          <w:rFonts w:hint="eastAsia" w:cs="宋体"/>
          <w:color w:val="auto"/>
          <w:sz w:val="21"/>
          <w:szCs w:val="21"/>
          <w:highlight w:val="none"/>
        </w:rPr>
        <w:t>传  真：</w:t>
      </w:r>
      <w:r>
        <w:rPr>
          <w:rFonts w:hint="eastAsia" w:cs="宋体"/>
          <w:color w:val="auto"/>
          <w:sz w:val="21"/>
          <w:szCs w:val="21"/>
          <w:highlight w:val="none"/>
          <w:u w:val="single"/>
        </w:rPr>
        <w:t xml:space="preserve">   </w:t>
      </w:r>
      <w:r>
        <w:rPr>
          <w:rFonts w:hint="eastAsia" w:cs="宋体"/>
          <w:color w:val="auto"/>
          <w:sz w:val="21"/>
          <w:szCs w:val="21"/>
          <w:highlight w:val="none"/>
        </w:rPr>
        <w:t xml:space="preserve">             传  真：</w:t>
      </w:r>
      <w:r>
        <w:rPr>
          <w:rFonts w:hint="eastAsia" w:cs="宋体"/>
          <w:color w:val="auto"/>
          <w:sz w:val="21"/>
          <w:szCs w:val="21"/>
          <w:highlight w:val="none"/>
          <w:u w:val="single"/>
        </w:rPr>
        <w:t xml:space="preserve">     </w:t>
      </w:r>
    </w:p>
    <w:p>
      <w:pPr>
        <w:adjustRightInd w:val="0"/>
        <w:spacing w:line="360" w:lineRule="auto"/>
        <w:textAlignment w:val="baseline"/>
        <w:rPr>
          <w:rFonts w:cs="宋体"/>
          <w:color w:val="auto"/>
          <w:sz w:val="21"/>
          <w:szCs w:val="21"/>
          <w:highlight w:val="none"/>
        </w:rPr>
      </w:pPr>
      <w:r>
        <w:rPr>
          <w:rFonts w:hint="eastAsia" w:cs="宋体"/>
          <w:color w:val="auto"/>
          <w:sz w:val="21"/>
          <w:szCs w:val="21"/>
          <w:highlight w:val="none"/>
        </w:rPr>
        <w:t>开户银行：</w:t>
      </w:r>
      <w:r>
        <w:rPr>
          <w:rFonts w:hint="eastAsia" w:cs="宋体"/>
          <w:color w:val="auto"/>
          <w:sz w:val="21"/>
          <w:szCs w:val="21"/>
          <w:highlight w:val="none"/>
          <w:u w:val="single"/>
        </w:rPr>
        <w:t xml:space="preserve">   </w:t>
      </w:r>
      <w:r>
        <w:rPr>
          <w:rFonts w:hint="eastAsia" w:cs="宋体"/>
          <w:color w:val="auto"/>
          <w:sz w:val="21"/>
          <w:szCs w:val="21"/>
          <w:highlight w:val="none"/>
        </w:rPr>
        <w:t xml:space="preserve">             开户银行：</w:t>
      </w:r>
      <w:r>
        <w:rPr>
          <w:rFonts w:hint="eastAsia" w:cs="宋体"/>
          <w:color w:val="auto"/>
          <w:sz w:val="21"/>
          <w:szCs w:val="21"/>
          <w:highlight w:val="none"/>
          <w:u w:val="single"/>
        </w:rPr>
        <w:t xml:space="preserve">   </w:t>
      </w:r>
    </w:p>
    <w:p>
      <w:pPr>
        <w:adjustRightInd w:val="0"/>
        <w:spacing w:line="360" w:lineRule="auto"/>
        <w:textAlignment w:val="baseline"/>
        <w:rPr>
          <w:rFonts w:cs="宋体"/>
          <w:color w:val="auto"/>
          <w:sz w:val="21"/>
          <w:szCs w:val="21"/>
          <w:highlight w:val="none"/>
        </w:rPr>
      </w:pPr>
      <w:r>
        <w:rPr>
          <w:rFonts w:hint="eastAsia" w:cs="宋体"/>
          <w:color w:val="auto"/>
          <w:sz w:val="21"/>
          <w:szCs w:val="21"/>
          <w:highlight w:val="none"/>
        </w:rPr>
        <w:t>账  号：</w:t>
      </w:r>
      <w:r>
        <w:rPr>
          <w:rFonts w:hint="eastAsia" w:cs="宋体"/>
          <w:color w:val="auto"/>
          <w:sz w:val="21"/>
          <w:szCs w:val="21"/>
          <w:highlight w:val="none"/>
          <w:u w:val="single"/>
        </w:rPr>
        <w:t xml:space="preserve">       </w:t>
      </w:r>
      <w:r>
        <w:rPr>
          <w:rFonts w:hint="eastAsia" w:cs="宋体"/>
          <w:color w:val="auto"/>
          <w:sz w:val="21"/>
          <w:szCs w:val="21"/>
          <w:highlight w:val="none"/>
        </w:rPr>
        <w:t xml:space="preserve">             账  号：</w:t>
      </w:r>
      <w:r>
        <w:rPr>
          <w:rFonts w:hint="eastAsia" w:cs="宋体"/>
          <w:color w:val="auto"/>
          <w:sz w:val="21"/>
          <w:szCs w:val="21"/>
          <w:highlight w:val="none"/>
          <w:u w:val="single"/>
        </w:rPr>
        <w:t xml:space="preserve">     </w:t>
      </w:r>
    </w:p>
    <w:p>
      <w:pPr>
        <w:adjustRightInd w:val="0"/>
        <w:spacing w:line="360" w:lineRule="auto"/>
        <w:textAlignment w:val="baseline"/>
        <w:rPr>
          <w:rFonts w:cs="宋体"/>
          <w:color w:val="auto"/>
          <w:sz w:val="24"/>
          <w:szCs w:val="24"/>
          <w:highlight w:val="none"/>
        </w:rPr>
      </w:pPr>
      <w:r>
        <w:rPr>
          <w:rFonts w:hint="eastAsia" w:cs="宋体"/>
          <w:color w:val="auto"/>
          <w:sz w:val="21"/>
          <w:szCs w:val="21"/>
          <w:highlight w:val="none"/>
        </w:rPr>
        <w:t>邮政编码：</w:t>
      </w:r>
      <w:r>
        <w:rPr>
          <w:rFonts w:hint="eastAsia" w:cs="宋体"/>
          <w:color w:val="auto"/>
          <w:sz w:val="21"/>
          <w:szCs w:val="21"/>
          <w:highlight w:val="none"/>
          <w:u w:val="single"/>
        </w:rPr>
        <w:t xml:space="preserve">     </w:t>
      </w:r>
      <w:r>
        <w:rPr>
          <w:rFonts w:hint="eastAsia" w:cs="宋体"/>
          <w:color w:val="auto"/>
          <w:sz w:val="21"/>
          <w:szCs w:val="21"/>
          <w:highlight w:val="none"/>
        </w:rPr>
        <w:t xml:space="preserve">             邮政编码：</w:t>
      </w:r>
      <w:r>
        <w:rPr>
          <w:rFonts w:hint="eastAsia" w:cs="宋体"/>
          <w:color w:val="auto"/>
          <w:sz w:val="21"/>
          <w:szCs w:val="21"/>
          <w:highlight w:val="none"/>
          <w:u w:val="single"/>
        </w:rPr>
        <w:t xml:space="preserve">   </w:t>
      </w:r>
    </w:p>
    <w:p>
      <w:pPr>
        <w:adjustRightInd w:val="0"/>
        <w:spacing w:afterLines="50"/>
        <w:jc w:val="left"/>
        <w:textAlignment w:val="baseline"/>
        <w:outlineLvl w:val="3"/>
        <w:rPr>
          <w:rFonts w:hAnsi="Arial" w:cs="宋体"/>
          <w:b/>
          <w:color w:val="auto"/>
          <w:sz w:val="28"/>
          <w:szCs w:val="28"/>
          <w:highlight w:val="none"/>
        </w:rPr>
      </w:pPr>
      <w:r>
        <w:rPr>
          <w:rFonts w:hint="eastAsia" w:eastAsia="黑体" w:cs="宋体"/>
          <w:color w:val="auto"/>
          <w:sz w:val="24"/>
          <w:szCs w:val="24"/>
          <w:highlight w:val="none"/>
        </w:rPr>
        <w:br w:type="page"/>
      </w:r>
      <w:bookmarkStart w:id="1420" w:name="_Toc63471491"/>
      <w:bookmarkEnd w:id="1420"/>
      <w:r>
        <w:rPr>
          <w:rFonts w:hint="eastAsia" w:ascii="黑体" w:eastAsia="黑体" w:cs="黑体"/>
          <w:color w:val="auto"/>
          <w:sz w:val="21"/>
          <w:szCs w:val="21"/>
          <w:highlight w:val="none"/>
        </w:rPr>
        <w:t>附件4：</w:t>
      </w:r>
    </w:p>
    <w:p>
      <w:pPr>
        <w:adjustRightInd w:val="0"/>
        <w:spacing w:beforeLines="50" w:afterLines="50" w:line="300" w:lineRule="auto"/>
        <w:jc w:val="center"/>
        <w:textAlignment w:val="baseline"/>
        <w:rPr>
          <w:rFonts w:cs="宋体"/>
          <w:b/>
          <w:color w:val="auto"/>
          <w:sz w:val="28"/>
          <w:szCs w:val="28"/>
          <w:highlight w:val="none"/>
        </w:rPr>
      </w:pPr>
      <w:r>
        <w:rPr>
          <w:rFonts w:hint="eastAsia" w:cs="宋体"/>
          <w:b/>
          <w:color w:val="auto"/>
          <w:sz w:val="28"/>
          <w:szCs w:val="28"/>
          <w:highlight w:val="none"/>
        </w:rPr>
        <w:t>主要建设工程文件目录</w:t>
      </w:r>
    </w:p>
    <w:tbl>
      <w:tblPr>
        <w:tblStyle w:val="60"/>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953"/>
        <w:gridCol w:w="1276"/>
        <w:gridCol w:w="1450"/>
        <w:gridCol w:w="1243"/>
        <w:gridCol w:w="1450"/>
        <w:gridCol w:w="166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953" w:type="dxa"/>
            <w:tcBorders>
              <w:top w:val="single" w:color="auto" w:sz="12" w:space="0"/>
              <w:left w:val="single" w:color="auto" w:sz="12" w:space="0"/>
              <w:bottom w:val="double" w:color="auto" w:sz="2"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文件名称</w:t>
            </w:r>
          </w:p>
        </w:tc>
        <w:tc>
          <w:tcPr>
            <w:tcW w:w="1276" w:type="dxa"/>
            <w:tcBorders>
              <w:top w:val="single" w:color="auto" w:sz="12" w:space="0"/>
              <w:left w:val="single" w:color="auto" w:sz="6" w:space="0"/>
              <w:bottom w:val="double" w:color="auto" w:sz="2"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套数</w:t>
            </w:r>
          </w:p>
        </w:tc>
        <w:tc>
          <w:tcPr>
            <w:tcW w:w="1450" w:type="dxa"/>
            <w:tcBorders>
              <w:top w:val="single" w:color="auto" w:sz="12" w:space="0"/>
              <w:left w:val="single" w:color="auto" w:sz="6" w:space="0"/>
              <w:bottom w:val="double" w:color="auto" w:sz="2"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费用（元）</w:t>
            </w:r>
          </w:p>
        </w:tc>
        <w:tc>
          <w:tcPr>
            <w:tcW w:w="1243" w:type="dxa"/>
            <w:tcBorders>
              <w:top w:val="single" w:color="auto" w:sz="12" w:space="0"/>
              <w:left w:val="single" w:color="auto" w:sz="6" w:space="0"/>
              <w:bottom w:val="double" w:color="auto" w:sz="2"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质量</w:t>
            </w:r>
          </w:p>
        </w:tc>
        <w:tc>
          <w:tcPr>
            <w:tcW w:w="1450" w:type="dxa"/>
            <w:tcBorders>
              <w:top w:val="single" w:color="auto" w:sz="12" w:space="0"/>
              <w:left w:val="single" w:color="auto" w:sz="6" w:space="0"/>
              <w:bottom w:val="double" w:color="auto" w:sz="2" w:space="0"/>
              <w:right w:val="single" w:color="auto" w:sz="6" w:space="0"/>
            </w:tcBorders>
          </w:tcPr>
          <w:p>
            <w:pPr>
              <w:adjustRightInd w:val="0"/>
              <w:spacing w:line="300" w:lineRule="auto"/>
              <w:jc w:val="center"/>
              <w:textAlignment w:val="baseline"/>
              <w:rPr>
                <w:rFonts w:cs="宋体"/>
                <w:color w:val="auto"/>
                <w:sz w:val="21"/>
                <w:szCs w:val="21"/>
                <w:highlight w:val="none"/>
              </w:rPr>
            </w:pPr>
            <w:r>
              <w:rPr>
                <w:rFonts w:hint="eastAsia" w:cs="宋体"/>
                <w:color w:val="auto"/>
                <w:sz w:val="21"/>
                <w:szCs w:val="21"/>
                <w:highlight w:val="none"/>
              </w:rPr>
              <w:t>移交时间</w:t>
            </w:r>
          </w:p>
        </w:tc>
        <w:tc>
          <w:tcPr>
            <w:tcW w:w="1667" w:type="dxa"/>
            <w:tcBorders>
              <w:top w:val="single" w:color="auto" w:sz="12" w:space="0"/>
              <w:left w:val="single" w:color="auto" w:sz="6" w:space="0"/>
              <w:bottom w:val="double" w:color="auto" w:sz="2" w:space="0"/>
              <w:right w:val="single" w:color="auto" w:sz="12" w:space="0"/>
            </w:tcBorders>
          </w:tcPr>
          <w:p>
            <w:pPr>
              <w:adjustRightInd w:val="0"/>
              <w:spacing w:line="300" w:lineRule="auto"/>
              <w:jc w:val="center"/>
              <w:textAlignment w:val="baseline"/>
              <w:rPr>
                <w:rFonts w:cs="宋体"/>
                <w:color w:val="auto"/>
                <w:sz w:val="21"/>
                <w:szCs w:val="21"/>
                <w:highlight w:val="none"/>
              </w:rPr>
            </w:pPr>
            <w:r>
              <w:rPr>
                <w:rFonts w:hint="eastAsia" w:cs="宋体"/>
                <w:color w:val="auto"/>
                <w:sz w:val="21"/>
                <w:szCs w:val="21"/>
                <w:highlight w:val="none"/>
              </w:rPr>
              <w:t>责任人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Borders>
              <w:top w:val="double" w:color="auto" w:sz="2" w:space="0"/>
              <w:left w:val="single" w:color="auto" w:sz="12"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276" w:type="dxa"/>
            <w:tcBorders>
              <w:top w:val="double" w:color="auto" w:sz="2"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450" w:type="dxa"/>
            <w:tcBorders>
              <w:top w:val="double" w:color="auto" w:sz="2"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243" w:type="dxa"/>
            <w:tcBorders>
              <w:top w:val="double" w:color="auto" w:sz="2"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450" w:type="dxa"/>
            <w:tcBorders>
              <w:top w:val="double" w:color="auto" w:sz="2"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667" w:type="dxa"/>
            <w:tcBorders>
              <w:top w:val="double" w:color="auto" w:sz="2" w:space="0"/>
              <w:left w:val="single" w:color="auto" w:sz="6" w:space="0"/>
              <w:bottom w:val="single" w:color="auto" w:sz="6" w:space="0"/>
              <w:right w:val="single" w:color="auto" w:sz="12" w:space="0"/>
            </w:tcBorders>
            <w:vAlign w:val="center"/>
          </w:tcPr>
          <w:p>
            <w:pPr>
              <w:keepNext/>
              <w:adjustRightInd w:val="0"/>
              <w:spacing w:line="300" w:lineRule="auto"/>
              <w:ind w:left="63" w:right="63"/>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Borders>
              <w:top w:val="nil"/>
              <w:left w:val="single" w:color="auto" w:sz="12"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276"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450"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243"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450"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667" w:type="dxa"/>
            <w:tcBorders>
              <w:top w:val="nil"/>
              <w:left w:val="single" w:color="auto" w:sz="6" w:space="0"/>
              <w:bottom w:val="single" w:color="auto" w:sz="6" w:space="0"/>
              <w:right w:val="single" w:color="auto" w:sz="12" w:space="0"/>
            </w:tcBorders>
            <w:vAlign w:val="center"/>
          </w:tcPr>
          <w:p>
            <w:pPr>
              <w:keepNext/>
              <w:adjustRightInd w:val="0"/>
              <w:spacing w:line="300" w:lineRule="auto"/>
              <w:ind w:left="63" w:right="63"/>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Borders>
              <w:top w:val="single" w:color="auto" w:sz="6" w:space="0"/>
              <w:left w:val="single" w:color="auto" w:sz="12"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276"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45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243"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45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667" w:type="dxa"/>
            <w:tcBorders>
              <w:top w:val="single" w:color="auto" w:sz="6" w:space="0"/>
              <w:left w:val="single" w:color="auto" w:sz="6" w:space="0"/>
              <w:bottom w:val="single" w:color="auto" w:sz="6" w:space="0"/>
              <w:right w:val="single" w:color="auto" w:sz="12" w:space="0"/>
            </w:tcBorders>
            <w:vAlign w:val="center"/>
          </w:tcPr>
          <w:p>
            <w:pPr>
              <w:keepNext/>
              <w:adjustRightInd w:val="0"/>
              <w:spacing w:line="300" w:lineRule="auto"/>
              <w:ind w:left="63" w:right="63"/>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Borders>
              <w:top w:val="single" w:color="auto" w:sz="6" w:space="0"/>
              <w:left w:val="single" w:color="auto" w:sz="12"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276"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45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243"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45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667" w:type="dxa"/>
            <w:tcBorders>
              <w:top w:val="single" w:color="auto" w:sz="6" w:space="0"/>
              <w:left w:val="single" w:color="auto" w:sz="6" w:space="0"/>
              <w:bottom w:val="single" w:color="auto" w:sz="6" w:space="0"/>
              <w:right w:val="single" w:color="auto" w:sz="12" w:space="0"/>
            </w:tcBorders>
            <w:vAlign w:val="center"/>
          </w:tcPr>
          <w:p>
            <w:pPr>
              <w:keepNext/>
              <w:adjustRightInd w:val="0"/>
              <w:spacing w:line="300" w:lineRule="auto"/>
              <w:ind w:left="63" w:right="63"/>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Borders>
              <w:top w:val="single" w:color="auto" w:sz="6" w:space="0"/>
              <w:left w:val="single" w:color="auto" w:sz="12"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276"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45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243"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45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667" w:type="dxa"/>
            <w:tcBorders>
              <w:top w:val="single" w:color="auto" w:sz="6" w:space="0"/>
              <w:left w:val="single" w:color="auto" w:sz="6" w:space="0"/>
              <w:bottom w:val="single" w:color="auto" w:sz="6" w:space="0"/>
              <w:right w:val="single" w:color="auto" w:sz="12" w:space="0"/>
            </w:tcBorders>
            <w:vAlign w:val="center"/>
          </w:tcPr>
          <w:p>
            <w:pPr>
              <w:keepNext/>
              <w:adjustRightInd w:val="0"/>
              <w:spacing w:line="300" w:lineRule="auto"/>
              <w:ind w:left="63" w:right="63"/>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Borders>
              <w:top w:val="single" w:color="auto" w:sz="6" w:space="0"/>
              <w:left w:val="single" w:color="auto" w:sz="12"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276"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45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243"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45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667" w:type="dxa"/>
            <w:tcBorders>
              <w:top w:val="single" w:color="auto" w:sz="6" w:space="0"/>
              <w:left w:val="single" w:color="auto" w:sz="6" w:space="0"/>
              <w:bottom w:val="single" w:color="auto" w:sz="6" w:space="0"/>
              <w:right w:val="single" w:color="auto" w:sz="12" w:space="0"/>
            </w:tcBorders>
            <w:vAlign w:val="center"/>
          </w:tcPr>
          <w:p>
            <w:pPr>
              <w:keepNext/>
              <w:adjustRightInd w:val="0"/>
              <w:spacing w:line="300" w:lineRule="auto"/>
              <w:ind w:left="63" w:right="63"/>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Borders>
              <w:top w:val="single" w:color="auto" w:sz="6" w:space="0"/>
              <w:left w:val="single" w:color="auto" w:sz="12"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276"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45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243"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45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667" w:type="dxa"/>
            <w:tcBorders>
              <w:top w:val="single" w:color="auto" w:sz="6" w:space="0"/>
              <w:left w:val="single" w:color="auto" w:sz="6" w:space="0"/>
              <w:bottom w:val="single" w:color="auto" w:sz="6" w:space="0"/>
              <w:right w:val="single" w:color="auto" w:sz="12" w:space="0"/>
            </w:tcBorders>
            <w:vAlign w:val="center"/>
          </w:tcPr>
          <w:p>
            <w:pPr>
              <w:keepNext/>
              <w:adjustRightInd w:val="0"/>
              <w:spacing w:line="300" w:lineRule="auto"/>
              <w:ind w:left="63" w:right="63"/>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Borders>
              <w:top w:val="single" w:color="auto" w:sz="6" w:space="0"/>
              <w:left w:val="single" w:color="auto" w:sz="12"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276"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45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243"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45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667" w:type="dxa"/>
            <w:tcBorders>
              <w:top w:val="single" w:color="auto" w:sz="6" w:space="0"/>
              <w:left w:val="single" w:color="auto" w:sz="6" w:space="0"/>
              <w:bottom w:val="single" w:color="auto" w:sz="6" w:space="0"/>
              <w:right w:val="single" w:color="auto" w:sz="12" w:space="0"/>
            </w:tcBorders>
            <w:vAlign w:val="center"/>
          </w:tcPr>
          <w:p>
            <w:pPr>
              <w:keepNext/>
              <w:adjustRightInd w:val="0"/>
              <w:spacing w:line="300" w:lineRule="auto"/>
              <w:ind w:left="63" w:right="63"/>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Borders>
              <w:top w:val="single" w:color="auto" w:sz="6" w:space="0"/>
              <w:left w:val="single" w:color="auto" w:sz="12"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276"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45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243"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45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667" w:type="dxa"/>
            <w:tcBorders>
              <w:top w:val="single" w:color="auto" w:sz="6" w:space="0"/>
              <w:left w:val="single" w:color="auto" w:sz="6" w:space="0"/>
              <w:bottom w:val="single" w:color="auto" w:sz="6" w:space="0"/>
              <w:right w:val="single" w:color="auto" w:sz="12" w:space="0"/>
            </w:tcBorders>
          </w:tcPr>
          <w:p>
            <w:pPr>
              <w:adjustRightInd w:val="0"/>
              <w:spacing w:line="300" w:lineRule="auto"/>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Borders>
              <w:top w:val="single" w:color="auto" w:sz="6" w:space="0"/>
              <w:left w:val="single" w:color="auto" w:sz="12"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276"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45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243"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45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667" w:type="dxa"/>
            <w:tcBorders>
              <w:top w:val="single" w:color="auto" w:sz="6" w:space="0"/>
              <w:left w:val="single" w:color="auto" w:sz="6" w:space="0"/>
              <w:bottom w:val="single" w:color="auto" w:sz="6" w:space="0"/>
              <w:right w:val="single" w:color="auto" w:sz="12" w:space="0"/>
            </w:tcBorders>
            <w:vAlign w:val="center"/>
          </w:tcPr>
          <w:p>
            <w:pPr>
              <w:keepNext/>
              <w:adjustRightInd w:val="0"/>
              <w:spacing w:line="300" w:lineRule="auto"/>
              <w:ind w:left="63" w:right="63"/>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Borders>
              <w:top w:val="single" w:color="auto" w:sz="6" w:space="0"/>
              <w:left w:val="single" w:color="auto" w:sz="12"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276"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45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243"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45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667" w:type="dxa"/>
            <w:tcBorders>
              <w:top w:val="single" w:color="auto" w:sz="6" w:space="0"/>
              <w:left w:val="single" w:color="auto" w:sz="6" w:space="0"/>
              <w:bottom w:val="single" w:color="auto" w:sz="6" w:space="0"/>
              <w:right w:val="single" w:color="auto" w:sz="12" w:space="0"/>
            </w:tcBorders>
          </w:tcPr>
          <w:p>
            <w:pPr>
              <w:adjustRightInd w:val="0"/>
              <w:spacing w:line="300" w:lineRule="auto"/>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Borders>
              <w:top w:val="single" w:color="auto" w:sz="6" w:space="0"/>
              <w:left w:val="single" w:color="auto" w:sz="12"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276"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45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243"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45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667" w:type="dxa"/>
            <w:tcBorders>
              <w:top w:val="single" w:color="auto" w:sz="6" w:space="0"/>
              <w:left w:val="single" w:color="auto" w:sz="6" w:space="0"/>
              <w:bottom w:val="single" w:color="auto" w:sz="6" w:space="0"/>
              <w:right w:val="single" w:color="auto" w:sz="12" w:space="0"/>
            </w:tcBorders>
          </w:tcPr>
          <w:p>
            <w:pPr>
              <w:adjustRightInd w:val="0"/>
              <w:spacing w:line="300" w:lineRule="auto"/>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Borders>
              <w:top w:val="single" w:color="auto" w:sz="6" w:space="0"/>
              <w:left w:val="single" w:color="auto" w:sz="12"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276"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45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243"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45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667" w:type="dxa"/>
            <w:tcBorders>
              <w:top w:val="single" w:color="auto" w:sz="6" w:space="0"/>
              <w:left w:val="single" w:color="auto" w:sz="6" w:space="0"/>
              <w:bottom w:val="single" w:color="auto" w:sz="6" w:space="0"/>
              <w:right w:val="single" w:color="auto" w:sz="12" w:space="0"/>
            </w:tcBorders>
          </w:tcPr>
          <w:p>
            <w:pPr>
              <w:adjustRightInd w:val="0"/>
              <w:spacing w:line="300" w:lineRule="auto"/>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Borders>
              <w:top w:val="single" w:color="auto" w:sz="6" w:space="0"/>
              <w:left w:val="single" w:color="auto" w:sz="12"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276"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45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243"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45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667" w:type="dxa"/>
            <w:tcBorders>
              <w:top w:val="single" w:color="auto" w:sz="6" w:space="0"/>
              <w:left w:val="single" w:color="auto" w:sz="6" w:space="0"/>
              <w:bottom w:val="single" w:color="auto" w:sz="6" w:space="0"/>
              <w:right w:val="single" w:color="auto" w:sz="12" w:space="0"/>
            </w:tcBorders>
          </w:tcPr>
          <w:p>
            <w:pPr>
              <w:adjustRightInd w:val="0"/>
              <w:spacing w:line="300" w:lineRule="auto"/>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Borders>
              <w:top w:val="single" w:color="auto" w:sz="6" w:space="0"/>
              <w:left w:val="single" w:color="auto" w:sz="12"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276"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45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243"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45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667" w:type="dxa"/>
            <w:tcBorders>
              <w:top w:val="single" w:color="auto" w:sz="6" w:space="0"/>
              <w:left w:val="single" w:color="auto" w:sz="6" w:space="0"/>
              <w:bottom w:val="single" w:color="auto" w:sz="6" w:space="0"/>
              <w:right w:val="single" w:color="auto" w:sz="12" w:space="0"/>
            </w:tcBorders>
          </w:tcPr>
          <w:p>
            <w:pPr>
              <w:adjustRightInd w:val="0"/>
              <w:spacing w:line="300" w:lineRule="auto"/>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Borders>
              <w:top w:val="single" w:color="auto" w:sz="6" w:space="0"/>
              <w:left w:val="single" w:color="auto" w:sz="12"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276"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45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243"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45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667" w:type="dxa"/>
            <w:tcBorders>
              <w:top w:val="single" w:color="auto" w:sz="6" w:space="0"/>
              <w:left w:val="single" w:color="auto" w:sz="6" w:space="0"/>
              <w:bottom w:val="single" w:color="auto" w:sz="6" w:space="0"/>
              <w:right w:val="single" w:color="auto" w:sz="12" w:space="0"/>
            </w:tcBorders>
          </w:tcPr>
          <w:p>
            <w:pPr>
              <w:adjustRightInd w:val="0"/>
              <w:spacing w:line="300" w:lineRule="auto"/>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Borders>
              <w:top w:val="single" w:color="auto" w:sz="6" w:space="0"/>
              <w:left w:val="single" w:color="auto" w:sz="12"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276"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45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243"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45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667" w:type="dxa"/>
            <w:tcBorders>
              <w:top w:val="single" w:color="auto" w:sz="6" w:space="0"/>
              <w:left w:val="single" w:color="auto" w:sz="6" w:space="0"/>
              <w:bottom w:val="single" w:color="auto" w:sz="6" w:space="0"/>
              <w:right w:val="single" w:color="auto" w:sz="12" w:space="0"/>
            </w:tcBorders>
          </w:tcPr>
          <w:p>
            <w:pPr>
              <w:adjustRightInd w:val="0"/>
              <w:spacing w:line="300" w:lineRule="auto"/>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Borders>
              <w:top w:val="single" w:color="auto" w:sz="6" w:space="0"/>
              <w:left w:val="single" w:color="auto" w:sz="12"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276"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45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243"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45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667" w:type="dxa"/>
            <w:tcBorders>
              <w:top w:val="single" w:color="auto" w:sz="6" w:space="0"/>
              <w:left w:val="single" w:color="auto" w:sz="6" w:space="0"/>
              <w:bottom w:val="single" w:color="auto" w:sz="6" w:space="0"/>
              <w:right w:val="single" w:color="auto" w:sz="12" w:space="0"/>
            </w:tcBorders>
          </w:tcPr>
          <w:p>
            <w:pPr>
              <w:adjustRightInd w:val="0"/>
              <w:spacing w:line="300" w:lineRule="auto"/>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Borders>
              <w:top w:val="single" w:color="auto" w:sz="6" w:space="0"/>
              <w:left w:val="single" w:color="auto" w:sz="12" w:space="0"/>
              <w:bottom w:val="single" w:color="auto" w:sz="12" w:space="0"/>
              <w:right w:val="single" w:color="auto" w:sz="6" w:space="0"/>
            </w:tcBorders>
          </w:tcPr>
          <w:p>
            <w:pPr>
              <w:adjustRightInd w:val="0"/>
              <w:spacing w:line="300" w:lineRule="auto"/>
              <w:textAlignment w:val="baseline"/>
              <w:rPr>
                <w:rFonts w:cs="宋体"/>
                <w:color w:val="auto"/>
                <w:sz w:val="24"/>
                <w:szCs w:val="24"/>
                <w:highlight w:val="none"/>
              </w:rPr>
            </w:pPr>
          </w:p>
        </w:tc>
        <w:tc>
          <w:tcPr>
            <w:tcW w:w="1276" w:type="dxa"/>
            <w:tcBorders>
              <w:top w:val="single" w:color="auto" w:sz="6" w:space="0"/>
              <w:left w:val="single" w:color="auto" w:sz="6" w:space="0"/>
              <w:bottom w:val="single" w:color="auto" w:sz="12" w:space="0"/>
              <w:right w:val="single" w:color="auto" w:sz="6" w:space="0"/>
            </w:tcBorders>
          </w:tcPr>
          <w:p>
            <w:pPr>
              <w:adjustRightInd w:val="0"/>
              <w:spacing w:line="300" w:lineRule="auto"/>
              <w:textAlignment w:val="baseline"/>
              <w:rPr>
                <w:rFonts w:cs="宋体"/>
                <w:color w:val="auto"/>
                <w:sz w:val="24"/>
                <w:szCs w:val="24"/>
                <w:highlight w:val="none"/>
              </w:rPr>
            </w:pPr>
          </w:p>
        </w:tc>
        <w:tc>
          <w:tcPr>
            <w:tcW w:w="1450" w:type="dxa"/>
            <w:tcBorders>
              <w:top w:val="single" w:color="auto" w:sz="6" w:space="0"/>
              <w:left w:val="single" w:color="auto" w:sz="6" w:space="0"/>
              <w:bottom w:val="single" w:color="auto" w:sz="12" w:space="0"/>
              <w:right w:val="single" w:color="auto" w:sz="6" w:space="0"/>
            </w:tcBorders>
          </w:tcPr>
          <w:p>
            <w:pPr>
              <w:adjustRightInd w:val="0"/>
              <w:spacing w:line="300" w:lineRule="auto"/>
              <w:textAlignment w:val="baseline"/>
              <w:rPr>
                <w:rFonts w:cs="宋体"/>
                <w:color w:val="auto"/>
                <w:sz w:val="24"/>
                <w:szCs w:val="24"/>
                <w:highlight w:val="none"/>
              </w:rPr>
            </w:pPr>
          </w:p>
        </w:tc>
        <w:tc>
          <w:tcPr>
            <w:tcW w:w="1243" w:type="dxa"/>
            <w:tcBorders>
              <w:top w:val="single" w:color="auto" w:sz="6" w:space="0"/>
              <w:left w:val="single" w:color="auto" w:sz="6" w:space="0"/>
              <w:bottom w:val="single" w:color="auto" w:sz="12" w:space="0"/>
              <w:right w:val="single" w:color="auto" w:sz="6" w:space="0"/>
            </w:tcBorders>
          </w:tcPr>
          <w:p>
            <w:pPr>
              <w:adjustRightInd w:val="0"/>
              <w:spacing w:line="300" w:lineRule="auto"/>
              <w:textAlignment w:val="baseline"/>
              <w:rPr>
                <w:rFonts w:cs="宋体"/>
                <w:color w:val="auto"/>
                <w:sz w:val="24"/>
                <w:szCs w:val="24"/>
                <w:highlight w:val="none"/>
              </w:rPr>
            </w:pPr>
          </w:p>
        </w:tc>
        <w:tc>
          <w:tcPr>
            <w:tcW w:w="1450" w:type="dxa"/>
            <w:tcBorders>
              <w:top w:val="single" w:color="auto" w:sz="6" w:space="0"/>
              <w:left w:val="single" w:color="auto" w:sz="6" w:space="0"/>
              <w:bottom w:val="single" w:color="auto" w:sz="12" w:space="0"/>
              <w:right w:val="single" w:color="auto" w:sz="6" w:space="0"/>
            </w:tcBorders>
          </w:tcPr>
          <w:p>
            <w:pPr>
              <w:adjustRightInd w:val="0"/>
              <w:spacing w:line="300" w:lineRule="auto"/>
              <w:textAlignment w:val="baseline"/>
              <w:rPr>
                <w:rFonts w:cs="宋体"/>
                <w:color w:val="auto"/>
                <w:sz w:val="24"/>
                <w:szCs w:val="24"/>
                <w:highlight w:val="none"/>
              </w:rPr>
            </w:pPr>
          </w:p>
        </w:tc>
        <w:tc>
          <w:tcPr>
            <w:tcW w:w="1667" w:type="dxa"/>
            <w:tcBorders>
              <w:top w:val="single" w:color="auto" w:sz="6" w:space="0"/>
              <w:left w:val="single" w:color="auto" w:sz="6" w:space="0"/>
              <w:bottom w:val="single" w:color="auto" w:sz="12" w:space="0"/>
              <w:right w:val="single" w:color="auto" w:sz="12" w:space="0"/>
            </w:tcBorders>
          </w:tcPr>
          <w:p>
            <w:pPr>
              <w:adjustRightInd w:val="0"/>
              <w:spacing w:line="300" w:lineRule="auto"/>
              <w:textAlignment w:val="baseline"/>
              <w:rPr>
                <w:rFonts w:cs="宋体"/>
                <w:color w:val="auto"/>
                <w:sz w:val="24"/>
                <w:szCs w:val="24"/>
                <w:highlight w:val="none"/>
              </w:rPr>
            </w:pPr>
          </w:p>
        </w:tc>
      </w:tr>
    </w:tbl>
    <w:p>
      <w:pPr>
        <w:adjustRightInd w:val="0"/>
        <w:spacing w:line="300" w:lineRule="auto"/>
        <w:textAlignment w:val="baseline"/>
        <w:rPr>
          <w:rFonts w:cs="宋体"/>
          <w:color w:val="auto"/>
          <w:sz w:val="24"/>
          <w:szCs w:val="24"/>
          <w:highlight w:val="none"/>
        </w:rPr>
      </w:pPr>
      <w:r>
        <w:rPr>
          <w:rFonts w:hint="eastAsia" w:cs="宋体"/>
          <w:color w:val="auto"/>
          <w:sz w:val="24"/>
          <w:szCs w:val="24"/>
          <w:highlight w:val="none"/>
        </w:rPr>
        <w:t xml:space="preserve"> </w:t>
      </w:r>
    </w:p>
    <w:p>
      <w:pPr>
        <w:adjustRightInd w:val="0"/>
        <w:spacing w:afterLines="50"/>
        <w:jc w:val="left"/>
        <w:textAlignment w:val="baseline"/>
        <w:outlineLvl w:val="3"/>
        <w:rPr>
          <w:rFonts w:hAnsi="Arial" w:cs="宋体"/>
          <w:b/>
          <w:color w:val="auto"/>
          <w:sz w:val="28"/>
          <w:szCs w:val="28"/>
          <w:highlight w:val="none"/>
        </w:rPr>
      </w:pPr>
      <w:r>
        <w:rPr>
          <w:rFonts w:hint="eastAsia" w:eastAsia="黑体" w:cs="宋体"/>
          <w:b/>
          <w:color w:val="auto"/>
          <w:sz w:val="24"/>
          <w:szCs w:val="24"/>
          <w:highlight w:val="none"/>
        </w:rPr>
        <w:br w:type="page"/>
      </w:r>
      <w:bookmarkStart w:id="1421" w:name="_Toc63471492"/>
      <w:bookmarkEnd w:id="1421"/>
      <w:r>
        <w:rPr>
          <w:rFonts w:hint="eastAsia" w:ascii="黑体" w:eastAsia="黑体" w:cs="黑体"/>
          <w:color w:val="auto"/>
          <w:sz w:val="21"/>
          <w:szCs w:val="21"/>
          <w:highlight w:val="none"/>
        </w:rPr>
        <w:t>附</w:t>
      </w:r>
      <w:bookmarkStart w:id="1422" w:name="_Toc296944566"/>
      <w:bookmarkEnd w:id="1422"/>
      <w:bookmarkStart w:id="1423" w:name="_Toc296347226"/>
      <w:bookmarkEnd w:id="1423"/>
      <w:bookmarkStart w:id="1424" w:name="_Toc267261698"/>
      <w:bookmarkEnd w:id="1424"/>
      <w:bookmarkStart w:id="1425" w:name="_Toc296891055"/>
      <w:bookmarkEnd w:id="1425"/>
      <w:bookmarkStart w:id="1426" w:name="_Toc296346728"/>
      <w:bookmarkEnd w:id="1426"/>
      <w:bookmarkStart w:id="1427" w:name="_Toc296503227"/>
      <w:bookmarkEnd w:id="1427"/>
      <w:bookmarkStart w:id="1428" w:name="_Toc296891267"/>
      <w:r>
        <w:rPr>
          <w:rFonts w:hint="eastAsia" w:ascii="黑体" w:eastAsia="黑体" w:cs="黑体"/>
          <w:color w:val="auto"/>
          <w:sz w:val="21"/>
          <w:szCs w:val="21"/>
          <w:highlight w:val="none"/>
        </w:rPr>
        <w:t>件5：</w:t>
      </w:r>
      <w:bookmarkEnd w:id="1428"/>
    </w:p>
    <w:p>
      <w:pPr>
        <w:adjustRightInd w:val="0"/>
        <w:spacing w:beforeLines="50" w:afterLines="50" w:line="300" w:lineRule="auto"/>
        <w:jc w:val="center"/>
        <w:textAlignment w:val="baseline"/>
        <w:rPr>
          <w:rFonts w:cs="宋体"/>
          <w:b/>
          <w:color w:val="auto"/>
          <w:sz w:val="28"/>
          <w:szCs w:val="28"/>
          <w:highlight w:val="none"/>
        </w:rPr>
      </w:pPr>
      <w:r>
        <w:rPr>
          <w:rFonts w:hint="eastAsia" w:cs="宋体"/>
          <w:b/>
          <w:color w:val="auto"/>
          <w:sz w:val="28"/>
          <w:szCs w:val="28"/>
          <w:highlight w:val="none"/>
        </w:rPr>
        <w:t>承包人用于本工程施工的机械设备表</w:t>
      </w:r>
    </w:p>
    <w:tbl>
      <w:tblPr>
        <w:tblStyle w:val="60"/>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162"/>
        <w:gridCol w:w="1418"/>
        <w:gridCol w:w="850"/>
        <w:gridCol w:w="1058"/>
        <w:gridCol w:w="880"/>
        <w:gridCol w:w="1020"/>
        <w:gridCol w:w="1480"/>
        <w:gridCol w:w="1020"/>
        <w:gridCol w:w="92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162" w:type="dxa"/>
            <w:tcBorders>
              <w:top w:val="single" w:color="auto" w:sz="12" w:space="0"/>
              <w:left w:val="single" w:color="auto" w:sz="12" w:space="0"/>
              <w:bottom w:val="double" w:color="auto" w:sz="2"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序号</w:t>
            </w:r>
          </w:p>
        </w:tc>
        <w:tc>
          <w:tcPr>
            <w:tcW w:w="1418" w:type="dxa"/>
            <w:tcBorders>
              <w:top w:val="single" w:color="auto" w:sz="12" w:space="0"/>
              <w:left w:val="single" w:color="auto" w:sz="6" w:space="0"/>
              <w:bottom w:val="double" w:color="auto" w:sz="2"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机械或设备名称</w:t>
            </w:r>
          </w:p>
        </w:tc>
        <w:tc>
          <w:tcPr>
            <w:tcW w:w="850" w:type="dxa"/>
            <w:tcBorders>
              <w:top w:val="single" w:color="auto" w:sz="12" w:space="0"/>
              <w:left w:val="single" w:color="auto" w:sz="6" w:space="0"/>
              <w:bottom w:val="double" w:color="auto" w:sz="2"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规格型号</w:t>
            </w:r>
          </w:p>
        </w:tc>
        <w:tc>
          <w:tcPr>
            <w:tcW w:w="1058" w:type="dxa"/>
            <w:tcBorders>
              <w:top w:val="single" w:color="auto" w:sz="12" w:space="0"/>
              <w:left w:val="single" w:color="auto" w:sz="6" w:space="0"/>
              <w:bottom w:val="double" w:color="auto" w:sz="2"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数量</w:t>
            </w:r>
          </w:p>
        </w:tc>
        <w:tc>
          <w:tcPr>
            <w:tcW w:w="880" w:type="dxa"/>
            <w:tcBorders>
              <w:top w:val="single" w:color="auto" w:sz="12" w:space="0"/>
              <w:left w:val="single" w:color="auto" w:sz="6" w:space="0"/>
              <w:bottom w:val="double" w:color="auto" w:sz="2"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产地</w:t>
            </w:r>
          </w:p>
        </w:tc>
        <w:tc>
          <w:tcPr>
            <w:tcW w:w="1020" w:type="dxa"/>
            <w:tcBorders>
              <w:top w:val="single" w:color="auto" w:sz="12" w:space="0"/>
              <w:left w:val="single" w:color="auto" w:sz="6" w:space="0"/>
              <w:bottom w:val="double" w:color="auto" w:sz="2"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制造年份</w:t>
            </w:r>
          </w:p>
        </w:tc>
        <w:tc>
          <w:tcPr>
            <w:tcW w:w="1480" w:type="dxa"/>
            <w:tcBorders>
              <w:top w:val="single" w:color="auto" w:sz="12" w:space="0"/>
              <w:left w:val="single" w:color="auto" w:sz="6" w:space="0"/>
              <w:bottom w:val="double" w:color="auto" w:sz="2"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额定功率(KW)</w:t>
            </w:r>
          </w:p>
        </w:tc>
        <w:tc>
          <w:tcPr>
            <w:tcW w:w="1020" w:type="dxa"/>
            <w:tcBorders>
              <w:top w:val="single" w:color="auto" w:sz="12" w:space="0"/>
              <w:left w:val="single" w:color="auto" w:sz="6" w:space="0"/>
              <w:bottom w:val="double" w:color="auto" w:sz="2"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生产能力</w:t>
            </w:r>
          </w:p>
        </w:tc>
        <w:tc>
          <w:tcPr>
            <w:tcW w:w="921" w:type="dxa"/>
            <w:tcBorders>
              <w:top w:val="single" w:color="auto" w:sz="12" w:space="0"/>
              <w:left w:val="single" w:color="auto" w:sz="6" w:space="0"/>
              <w:bottom w:val="double" w:color="auto" w:sz="2" w:space="0"/>
              <w:right w:val="single" w:color="auto" w:sz="12"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Borders>
              <w:top w:val="double" w:color="auto" w:sz="2" w:space="0"/>
              <w:left w:val="single" w:color="auto" w:sz="12"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418" w:type="dxa"/>
            <w:tcBorders>
              <w:top w:val="double" w:color="auto" w:sz="2"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850" w:type="dxa"/>
            <w:tcBorders>
              <w:top w:val="double" w:color="auto" w:sz="2"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058" w:type="dxa"/>
            <w:tcBorders>
              <w:top w:val="double" w:color="auto" w:sz="2"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880" w:type="dxa"/>
            <w:tcBorders>
              <w:top w:val="double" w:color="auto" w:sz="2"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020" w:type="dxa"/>
            <w:tcBorders>
              <w:top w:val="double" w:color="auto" w:sz="2"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480" w:type="dxa"/>
            <w:tcBorders>
              <w:top w:val="double" w:color="auto" w:sz="2"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020" w:type="dxa"/>
            <w:tcBorders>
              <w:top w:val="double" w:color="auto" w:sz="2"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921" w:type="dxa"/>
            <w:tcBorders>
              <w:top w:val="double" w:color="auto" w:sz="2" w:space="0"/>
              <w:left w:val="single" w:color="auto" w:sz="6" w:space="0"/>
              <w:bottom w:val="single" w:color="auto" w:sz="6" w:space="0"/>
              <w:right w:val="single" w:color="auto" w:sz="12" w:space="0"/>
            </w:tcBorders>
            <w:vAlign w:val="center"/>
          </w:tcPr>
          <w:p>
            <w:pPr>
              <w:keepNext/>
              <w:adjustRightInd w:val="0"/>
              <w:spacing w:line="300" w:lineRule="auto"/>
              <w:ind w:left="63" w:right="63"/>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Borders>
              <w:top w:val="nil"/>
              <w:left w:val="single" w:color="auto" w:sz="12"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418"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850"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058"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880"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020"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480"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020"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921" w:type="dxa"/>
            <w:tcBorders>
              <w:top w:val="nil"/>
              <w:left w:val="single" w:color="auto" w:sz="6" w:space="0"/>
              <w:bottom w:val="single" w:color="auto" w:sz="6" w:space="0"/>
              <w:right w:val="single" w:color="auto" w:sz="12" w:space="0"/>
            </w:tcBorders>
            <w:vAlign w:val="center"/>
          </w:tcPr>
          <w:p>
            <w:pPr>
              <w:keepNext/>
              <w:adjustRightInd w:val="0"/>
              <w:spacing w:line="300" w:lineRule="auto"/>
              <w:ind w:left="63" w:right="63"/>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Borders>
              <w:top w:val="single" w:color="auto" w:sz="6" w:space="0"/>
              <w:left w:val="single" w:color="auto" w:sz="12"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418"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85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058"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88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02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48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02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921" w:type="dxa"/>
            <w:tcBorders>
              <w:top w:val="single" w:color="auto" w:sz="6" w:space="0"/>
              <w:left w:val="single" w:color="auto" w:sz="6" w:space="0"/>
              <w:bottom w:val="single" w:color="auto" w:sz="6" w:space="0"/>
              <w:right w:val="single" w:color="auto" w:sz="12" w:space="0"/>
            </w:tcBorders>
            <w:vAlign w:val="center"/>
          </w:tcPr>
          <w:p>
            <w:pPr>
              <w:keepNext/>
              <w:adjustRightInd w:val="0"/>
              <w:spacing w:line="300" w:lineRule="auto"/>
              <w:ind w:left="63" w:right="63"/>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Borders>
              <w:top w:val="single" w:color="auto" w:sz="6" w:space="0"/>
              <w:left w:val="single" w:color="auto" w:sz="12"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418"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85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058"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88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02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48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02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921" w:type="dxa"/>
            <w:tcBorders>
              <w:top w:val="single" w:color="auto" w:sz="6" w:space="0"/>
              <w:left w:val="single" w:color="auto" w:sz="6" w:space="0"/>
              <w:bottom w:val="single" w:color="auto" w:sz="6" w:space="0"/>
              <w:right w:val="single" w:color="auto" w:sz="12" w:space="0"/>
            </w:tcBorders>
            <w:vAlign w:val="center"/>
          </w:tcPr>
          <w:p>
            <w:pPr>
              <w:keepNext/>
              <w:adjustRightInd w:val="0"/>
              <w:spacing w:line="300" w:lineRule="auto"/>
              <w:ind w:left="63" w:right="63"/>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Borders>
              <w:top w:val="single" w:color="auto" w:sz="6" w:space="0"/>
              <w:left w:val="single" w:color="auto" w:sz="12"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418"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85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058"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88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02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48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02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921" w:type="dxa"/>
            <w:tcBorders>
              <w:top w:val="single" w:color="auto" w:sz="6" w:space="0"/>
              <w:left w:val="single" w:color="auto" w:sz="6" w:space="0"/>
              <w:bottom w:val="single" w:color="auto" w:sz="6" w:space="0"/>
              <w:right w:val="single" w:color="auto" w:sz="12" w:space="0"/>
            </w:tcBorders>
            <w:vAlign w:val="center"/>
          </w:tcPr>
          <w:p>
            <w:pPr>
              <w:keepNext/>
              <w:adjustRightInd w:val="0"/>
              <w:spacing w:line="300" w:lineRule="auto"/>
              <w:ind w:left="63" w:right="63"/>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Borders>
              <w:top w:val="single" w:color="auto" w:sz="6" w:space="0"/>
              <w:left w:val="single" w:color="auto" w:sz="12"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418"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85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058"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88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02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48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02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921" w:type="dxa"/>
            <w:tcBorders>
              <w:top w:val="single" w:color="auto" w:sz="6" w:space="0"/>
              <w:left w:val="single" w:color="auto" w:sz="6" w:space="0"/>
              <w:bottom w:val="single" w:color="auto" w:sz="6" w:space="0"/>
              <w:right w:val="single" w:color="auto" w:sz="12" w:space="0"/>
            </w:tcBorders>
            <w:vAlign w:val="center"/>
          </w:tcPr>
          <w:p>
            <w:pPr>
              <w:keepNext/>
              <w:adjustRightInd w:val="0"/>
              <w:spacing w:line="300" w:lineRule="auto"/>
              <w:ind w:left="63" w:right="63"/>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Borders>
              <w:top w:val="single" w:color="auto" w:sz="6" w:space="0"/>
              <w:left w:val="single" w:color="auto" w:sz="12"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418"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85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058"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88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02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48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02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921" w:type="dxa"/>
            <w:tcBorders>
              <w:top w:val="single" w:color="auto" w:sz="6" w:space="0"/>
              <w:left w:val="single" w:color="auto" w:sz="6" w:space="0"/>
              <w:bottom w:val="single" w:color="auto" w:sz="6" w:space="0"/>
              <w:right w:val="single" w:color="auto" w:sz="12" w:space="0"/>
            </w:tcBorders>
            <w:vAlign w:val="center"/>
          </w:tcPr>
          <w:p>
            <w:pPr>
              <w:keepNext/>
              <w:adjustRightInd w:val="0"/>
              <w:spacing w:line="300" w:lineRule="auto"/>
              <w:ind w:left="63" w:right="63"/>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Borders>
              <w:top w:val="single" w:color="auto" w:sz="6" w:space="0"/>
              <w:left w:val="single" w:color="auto" w:sz="12"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418"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85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058"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88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02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48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02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921" w:type="dxa"/>
            <w:tcBorders>
              <w:top w:val="single" w:color="auto" w:sz="6" w:space="0"/>
              <w:left w:val="single" w:color="auto" w:sz="6" w:space="0"/>
              <w:bottom w:val="single" w:color="auto" w:sz="6" w:space="0"/>
              <w:right w:val="single" w:color="auto" w:sz="12" w:space="0"/>
            </w:tcBorders>
            <w:vAlign w:val="center"/>
          </w:tcPr>
          <w:p>
            <w:pPr>
              <w:keepNext/>
              <w:adjustRightInd w:val="0"/>
              <w:spacing w:line="300" w:lineRule="auto"/>
              <w:ind w:left="63" w:right="63"/>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Borders>
              <w:top w:val="single" w:color="auto" w:sz="6" w:space="0"/>
              <w:left w:val="single" w:color="auto" w:sz="12"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418"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85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058"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88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02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48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02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921" w:type="dxa"/>
            <w:tcBorders>
              <w:top w:val="single" w:color="auto" w:sz="6" w:space="0"/>
              <w:left w:val="single" w:color="auto" w:sz="6" w:space="0"/>
              <w:bottom w:val="single" w:color="auto" w:sz="6" w:space="0"/>
              <w:right w:val="single" w:color="auto" w:sz="12" w:space="0"/>
            </w:tcBorders>
          </w:tcPr>
          <w:p>
            <w:pPr>
              <w:adjustRightInd w:val="0"/>
              <w:spacing w:line="300" w:lineRule="auto"/>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Borders>
              <w:top w:val="single" w:color="auto" w:sz="6" w:space="0"/>
              <w:left w:val="single" w:color="auto" w:sz="12"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418"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85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058"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88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02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48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1020"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textAlignment w:val="baseline"/>
              <w:rPr>
                <w:rFonts w:cs="宋体"/>
                <w:color w:val="auto"/>
                <w:sz w:val="24"/>
                <w:szCs w:val="24"/>
                <w:highlight w:val="none"/>
              </w:rPr>
            </w:pPr>
          </w:p>
        </w:tc>
        <w:tc>
          <w:tcPr>
            <w:tcW w:w="921" w:type="dxa"/>
            <w:tcBorders>
              <w:top w:val="single" w:color="auto" w:sz="6" w:space="0"/>
              <w:left w:val="single" w:color="auto" w:sz="6" w:space="0"/>
              <w:bottom w:val="single" w:color="auto" w:sz="6" w:space="0"/>
              <w:right w:val="single" w:color="auto" w:sz="12" w:space="0"/>
            </w:tcBorders>
            <w:vAlign w:val="center"/>
          </w:tcPr>
          <w:p>
            <w:pPr>
              <w:keepNext/>
              <w:adjustRightInd w:val="0"/>
              <w:spacing w:line="300" w:lineRule="auto"/>
              <w:ind w:left="63" w:right="63"/>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Borders>
              <w:top w:val="single" w:color="auto" w:sz="6" w:space="0"/>
              <w:left w:val="single" w:color="auto" w:sz="12"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418"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85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058"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88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02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48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02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921" w:type="dxa"/>
            <w:tcBorders>
              <w:top w:val="single" w:color="auto" w:sz="6" w:space="0"/>
              <w:left w:val="single" w:color="auto" w:sz="6" w:space="0"/>
              <w:bottom w:val="single" w:color="auto" w:sz="6" w:space="0"/>
              <w:right w:val="single" w:color="auto" w:sz="12" w:space="0"/>
            </w:tcBorders>
          </w:tcPr>
          <w:p>
            <w:pPr>
              <w:adjustRightInd w:val="0"/>
              <w:spacing w:line="300" w:lineRule="auto"/>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Borders>
              <w:top w:val="single" w:color="auto" w:sz="6" w:space="0"/>
              <w:left w:val="single" w:color="auto" w:sz="12"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418"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85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058"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88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02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48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02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921" w:type="dxa"/>
            <w:tcBorders>
              <w:top w:val="single" w:color="auto" w:sz="6" w:space="0"/>
              <w:left w:val="single" w:color="auto" w:sz="6" w:space="0"/>
              <w:bottom w:val="single" w:color="auto" w:sz="6" w:space="0"/>
              <w:right w:val="single" w:color="auto" w:sz="12" w:space="0"/>
            </w:tcBorders>
          </w:tcPr>
          <w:p>
            <w:pPr>
              <w:adjustRightInd w:val="0"/>
              <w:spacing w:line="300" w:lineRule="auto"/>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Borders>
              <w:top w:val="single" w:color="auto" w:sz="6" w:space="0"/>
              <w:left w:val="single" w:color="auto" w:sz="12"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418"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85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058"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88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02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48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02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921" w:type="dxa"/>
            <w:tcBorders>
              <w:top w:val="single" w:color="auto" w:sz="6" w:space="0"/>
              <w:left w:val="single" w:color="auto" w:sz="6" w:space="0"/>
              <w:bottom w:val="single" w:color="auto" w:sz="6" w:space="0"/>
              <w:right w:val="single" w:color="auto" w:sz="12" w:space="0"/>
            </w:tcBorders>
          </w:tcPr>
          <w:p>
            <w:pPr>
              <w:adjustRightInd w:val="0"/>
              <w:spacing w:line="300" w:lineRule="auto"/>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Borders>
              <w:top w:val="single" w:color="auto" w:sz="6" w:space="0"/>
              <w:left w:val="single" w:color="auto" w:sz="12"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418"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85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058"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88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02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48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02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921" w:type="dxa"/>
            <w:tcBorders>
              <w:top w:val="single" w:color="auto" w:sz="6" w:space="0"/>
              <w:left w:val="single" w:color="auto" w:sz="6" w:space="0"/>
              <w:bottom w:val="single" w:color="auto" w:sz="6" w:space="0"/>
              <w:right w:val="single" w:color="auto" w:sz="12" w:space="0"/>
            </w:tcBorders>
          </w:tcPr>
          <w:p>
            <w:pPr>
              <w:adjustRightInd w:val="0"/>
              <w:spacing w:line="300" w:lineRule="auto"/>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Borders>
              <w:top w:val="single" w:color="auto" w:sz="6" w:space="0"/>
              <w:left w:val="single" w:color="auto" w:sz="12"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418"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85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058"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88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02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48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02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921" w:type="dxa"/>
            <w:tcBorders>
              <w:top w:val="single" w:color="auto" w:sz="6" w:space="0"/>
              <w:left w:val="single" w:color="auto" w:sz="6" w:space="0"/>
              <w:bottom w:val="single" w:color="auto" w:sz="6" w:space="0"/>
              <w:right w:val="single" w:color="auto" w:sz="12" w:space="0"/>
            </w:tcBorders>
          </w:tcPr>
          <w:p>
            <w:pPr>
              <w:adjustRightInd w:val="0"/>
              <w:spacing w:line="300" w:lineRule="auto"/>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Borders>
              <w:top w:val="single" w:color="auto" w:sz="6" w:space="0"/>
              <w:left w:val="single" w:color="auto" w:sz="12"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418"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85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058"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88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02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48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02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921" w:type="dxa"/>
            <w:tcBorders>
              <w:top w:val="single" w:color="auto" w:sz="6" w:space="0"/>
              <w:left w:val="single" w:color="auto" w:sz="6" w:space="0"/>
              <w:bottom w:val="single" w:color="auto" w:sz="6" w:space="0"/>
              <w:right w:val="single" w:color="auto" w:sz="12" w:space="0"/>
            </w:tcBorders>
          </w:tcPr>
          <w:p>
            <w:pPr>
              <w:adjustRightInd w:val="0"/>
              <w:spacing w:line="300" w:lineRule="auto"/>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Borders>
              <w:top w:val="single" w:color="auto" w:sz="6" w:space="0"/>
              <w:left w:val="single" w:color="auto" w:sz="12"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418"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85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058"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88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02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48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02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921" w:type="dxa"/>
            <w:tcBorders>
              <w:top w:val="single" w:color="auto" w:sz="6" w:space="0"/>
              <w:left w:val="single" w:color="auto" w:sz="6" w:space="0"/>
              <w:bottom w:val="single" w:color="auto" w:sz="6" w:space="0"/>
              <w:right w:val="single" w:color="auto" w:sz="12" w:space="0"/>
            </w:tcBorders>
          </w:tcPr>
          <w:p>
            <w:pPr>
              <w:adjustRightInd w:val="0"/>
              <w:spacing w:line="300" w:lineRule="auto"/>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Borders>
              <w:top w:val="single" w:color="auto" w:sz="6" w:space="0"/>
              <w:left w:val="single" w:color="auto" w:sz="12"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418"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85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058"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88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02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48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1020" w:type="dxa"/>
            <w:tcBorders>
              <w:top w:val="single" w:color="auto" w:sz="6" w:space="0"/>
              <w:left w:val="single" w:color="auto" w:sz="6" w:space="0"/>
              <w:bottom w:val="single" w:color="auto" w:sz="6" w:space="0"/>
              <w:right w:val="single" w:color="auto" w:sz="6" w:space="0"/>
            </w:tcBorders>
          </w:tcPr>
          <w:p>
            <w:pPr>
              <w:adjustRightInd w:val="0"/>
              <w:spacing w:line="300" w:lineRule="auto"/>
              <w:textAlignment w:val="baseline"/>
              <w:rPr>
                <w:rFonts w:cs="宋体"/>
                <w:color w:val="auto"/>
                <w:sz w:val="24"/>
                <w:szCs w:val="24"/>
                <w:highlight w:val="none"/>
              </w:rPr>
            </w:pPr>
          </w:p>
        </w:tc>
        <w:tc>
          <w:tcPr>
            <w:tcW w:w="921" w:type="dxa"/>
            <w:tcBorders>
              <w:top w:val="single" w:color="auto" w:sz="6" w:space="0"/>
              <w:left w:val="single" w:color="auto" w:sz="6" w:space="0"/>
              <w:bottom w:val="single" w:color="auto" w:sz="6" w:space="0"/>
              <w:right w:val="single" w:color="auto" w:sz="12" w:space="0"/>
            </w:tcBorders>
          </w:tcPr>
          <w:p>
            <w:pPr>
              <w:adjustRightInd w:val="0"/>
              <w:spacing w:line="300" w:lineRule="auto"/>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Borders>
              <w:top w:val="single" w:color="auto" w:sz="6" w:space="0"/>
              <w:left w:val="single" w:color="auto" w:sz="12" w:space="0"/>
              <w:bottom w:val="single" w:color="auto" w:sz="12" w:space="0"/>
              <w:right w:val="single" w:color="auto" w:sz="6" w:space="0"/>
            </w:tcBorders>
          </w:tcPr>
          <w:p>
            <w:pPr>
              <w:adjustRightInd w:val="0"/>
              <w:spacing w:line="300" w:lineRule="auto"/>
              <w:textAlignment w:val="baseline"/>
              <w:rPr>
                <w:rFonts w:cs="宋体"/>
                <w:color w:val="auto"/>
                <w:sz w:val="24"/>
                <w:szCs w:val="24"/>
                <w:highlight w:val="none"/>
              </w:rPr>
            </w:pPr>
          </w:p>
        </w:tc>
        <w:tc>
          <w:tcPr>
            <w:tcW w:w="1418" w:type="dxa"/>
            <w:tcBorders>
              <w:top w:val="single" w:color="auto" w:sz="6" w:space="0"/>
              <w:left w:val="single" w:color="auto" w:sz="6" w:space="0"/>
              <w:bottom w:val="single" w:color="auto" w:sz="12" w:space="0"/>
              <w:right w:val="single" w:color="auto" w:sz="6" w:space="0"/>
            </w:tcBorders>
          </w:tcPr>
          <w:p>
            <w:pPr>
              <w:adjustRightInd w:val="0"/>
              <w:spacing w:line="300" w:lineRule="auto"/>
              <w:textAlignment w:val="baseline"/>
              <w:rPr>
                <w:rFonts w:cs="宋体"/>
                <w:color w:val="auto"/>
                <w:sz w:val="24"/>
                <w:szCs w:val="24"/>
                <w:highlight w:val="none"/>
              </w:rPr>
            </w:pPr>
          </w:p>
        </w:tc>
        <w:tc>
          <w:tcPr>
            <w:tcW w:w="850" w:type="dxa"/>
            <w:tcBorders>
              <w:top w:val="single" w:color="auto" w:sz="6" w:space="0"/>
              <w:left w:val="single" w:color="auto" w:sz="6" w:space="0"/>
              <w:bottom w:val="single" w:color="auto" w:sz="12" w:space="0"/>
              <w:right w:val="single" w:color="auto" w:sz="6" w:space="0"/>
            </w:tcBorders>
          </w:tcPr>
          <w:p>
            <w:pPr>
              <w:adjustRightInd w:val="0"/>
              <w:spacing w:line="300" w:lineRule="auto"/>
              <w:textAlignment w:val="baseline"/>
              <w:rPr>
                <w:rFonts w:cs="宋体"/>
                <w:color w:val="auto"/>
                <w:sz w:val="24"/>
                <w:szCs w:val="24"/>
                <w:highlight w:val="none"/>
              </w:rPr>
            </w:pPr>
          </w:p>
        </w:tc>
        <w:tc>
          <w:tcPr>
            <w:tcW w:w="1058" w:type="dxa"/>
            <w:tcBorders>
              <w:top w:val="single" w:color="auto" w:sz="6" w:space="0"/>
              <w:left w:val="single" w:color="auto" w:sz="6" w:space="0"/>
              <w:bottom w:val="single" w:color="auto" w:sz="12" w:space="0"/>
              <w:right w:val="single" w:color="auto" w:sz="6" w:space="0"/>
            </w:tcBorders>
          </w:tcPr>
          <w:p>
            <w:pPr>
              <w:adjustRightInd w:val="0"/>
              <w:spacing w:line="300" w:lineRule="auto"/>
              <w:textAlignment w:val="baseline"/>
              <w:rPr>
                <w:rFonts w:cs="宋体"/>
                <w:color w:val="auto"/>
                <w:sz w:val="24"/>
                <w:szCs w:val="24"/>
                <w:highlight w:val="none"/>
              </w:rPr>
            </w:pPr>
          </w:p>
        </w:tc>
        <w:tc>
          <w:tcPr>
            <w:tcW w:w="880" w:type="dxa"/>
            <w:tcBorders>
              <w:top w:val="single" w:color="auto" w:sz="6" w:space="0"/>
              <w:left w:val="single" w:color="auto" w:sz="6" w:space="0"/>
              <w:bottom w:val="single" w:color="auto" w:sz="12" w:space="0"/>
              <w:right w:val="single" w:color="auto" w:sz="6" w:space="0"/>
            </w:tcBorders>
          </w:tcPr>
          <w:p>
            <w:pPr>
              <w:adjustRightInd w:val="0"/>
              <w:spacing w:line="300" w:lineRule="auto"/>
              <w:textAlignment w:val="baseline"/>
              <w:rPr>
                <w:rFonts w:cs="宋体"/>
                <w:color w:val="auto"/>
                <w:sz w:val="24"/>
                <w:szCs w:val="24"/>
                <w:highlight w:val="none"/>
              </w:rPr>
            </w:pPr>
          </w:p>
        </w:tc>
        <w:tc>
          <w:tcPr>
            <w:tcW w:w="1020" w:type="dxa"/>
            <w:tcBorders>
              <w:top w:val="single" w:color="auto" w:sz="6" w:space="0"/>
              <w:left w:val="single" w:color="auto" w:sz="6" w:space="0"/>
              <w:bottom w:val="single" w:color="auto" w:sz="12" w:space="0"/>
              <w:right w:val="single" w:color="auto" w:sz="6" w:space="0"/>
            </w:tcBorders>
          </w:tcPr>
          <w:p>
            <w:pPr>
              <w:adjustRightInd w:val="0"/>
              <w:spacing w:line="300" w:lineRule="auto"/>
              <w:textAlignment w:val="baseline"/>
              <w:rPr>
                <w:rFonts w:cs="宋体"/>
                <w:color w:val="auto"/>
                <w:sz w:val="24"/>
                <w:szCs w:val="24"/>
                <w:highlight w:val="none"/>
              </w:rPr>
            </w:pPr>
          </w:p>
        </w:tc>
        <w:tc>
          <w:tcPr>
            <w:tcW w:w="1480" w:type="dxa"/>
            <w:tcBorders>
              <w:top w:val="single" w:color="auto" w:sz="6" w:space="0"/>
              <w:left w:val="single" w:color="auto" w:sz="6" w:space="0"/>
              <w:bottom w:val="single" w:color="auto" w:sz="12" w:space="0"/>
              <w:right w:val="single" w:color="auto" w:sz="6" w:space="0"/>
            </w:tcBorders>
          </w:tcPr>
          <w:p>
            <w:pPr>
              <w:adjustRightInd w:val="0"/>
              <w:spacing w:line="300" w:lineRule="auto"/>
              <w:textAlignment w:val="baseline"/>
              <w:rPr>
                <w:rFonts w:cs="宋体"/>
                <w:color w:val="auto"/>
                <w:sz w:val="24"/>
                <w:szCs w:val="24"/>
                <w:highlight w:val="none"/>
              </w:rPr>
            </w:pPr>
          </w:p>
        </w:tc>
        <w:tc>
          <w:tcPr>
            <w:tcW w:w="1020" w:type="dxa"/>
            <w:tcBorders>
              <w:top w:val="single" w:color="auto" w:sz="6" w:space="0"/>
              <w:left w:val="single" w:color="auto" w:sz="6" w:space="0"/>
              <w:bottom w:val="single" w:color="auto" w:sz="12" w:space="0"/>
              <w:right w:val="single" w:color="auto" w:sz="6" w:space="0"/>
            </w:tcBorders>
          </w:tcPr>
          <w:p>
            <w:pPr>
              <w:adjustRightInd w:val="0"/>
              <w:spacing w:line="300" w:lineRule="auto"/>
              <w:textAlignment w:val="baseline"/>
              <w:rPr>
                <w:rFonts w:cs="宋体"/>
                <w:color w:val="auto"/>
                <w:sz w:val="24"/>
                <w:szCs w:val="24"/>
                <w:highlight w:val="none"/>
              </w:rPr>
            </w:pPr>
          </w:p>
        </w:tc>
        <w:tc>
          <w:tcPr>
            <w:tcW w:w="921" w:type="dxa"/>
            <w:tcBorders>
              <w:top w:val="single" w:color="auto" w:sz="6" w:space="0"/>
              <w:left w:val="single" w:color="auto" w:sz="6" w:space="0"/>
              <w:bottom w:val="single" w:color="auto" w:sz="12" w:space="0"/>
              <w:right w:val="single" w:color="auto" w:sz="12" w:space="0"/>
            </w:tcBorders>
          </w:tcPr>
          <w:p>
            <w:pPr>
              <w:adjustRightInd w:val="0"/>
              <w:spacing w:line="300" w:lineRule="auto"/>
              <w:textAlignment w:val="baseline"/>
              <w:rPr>
                <w:rFonts w:cs="宋体"/>
                <w:color w:val="auto"/>
                <w:sz w:val="24"/>
                <w:szCs w:val="24"/>
                <w:highlight w:val="none"/>
              </w:rPr>
            </w:pPr>
          </w:p>
        </w:tc>
      </w:tr>
    </w:tbl>
    <w:p>
      <w:pPr>
        <w:adjustRightInd w:val="0"/>
        <w:spacing w:afterLines="50"/>
        <w:jc w:val="left"/>
        <w:textAlignment w:val="baseline"/>
        <w:outlineLvl w:val="3"/>
        <w:rPr>
          <w:rFonts w:ascii="黑体" w:eastAsia="黑体" w:cs="黑体"/>
          <w:color w:val="auto"/>
          <w:sz w:val="21"/>
          <w:szCs w:val="21"/>
          <w:highlight w:val="none"/>
        </w:rPr>
      </w:pPr>
      <w:bookmarkStart w:id="1429" w:name="_Toc63471493"/>
      <w:bookmarkEnd w:id="1429"/>
    </w:p>
    <w:p>
      <w:pPr>
        <w:pStyle w:val="59"/>
        <w:ind w:left="0" w:firstLine="0"/>
        <w:rPr>
          <w:color w:val="auto"/>
          <w:highlight w:val="none"/>
        </w:rPr>
      </w:pPr>
      <w:r>
        <w:rPr>
          <w:color w:val="auto"/>
          <w:highlight w:val="none"/>
        </w:rPr>
        <w:br w:type="page"/>
      </w:r>
      <w:r>
        <w:rPr>
          <w:rFonts w:hint="eastAsia" w:ascii="黑体" w:hAnsi="宋体" w:eastAsia="黑体" w:cs="黑体"/>
          <w:color w:val="auto"/>
          <w:kern w:val="0"/>
          <w:szCs w:val="21"/>
          <w:highlight w:val="none"/>
        </w:rPr>
        <w:t>附</w:t>
      </w:r>
      <w:bookmarkStart w:id="1430" w:name="_Toc296944567"/>
      <w:bookmarkEnd w:id="1430"/>
      <w:bookmarkStart w:id="1431" w:name="_Toc267261699"/>
      <w:bookmarkEnd w:id="1431"/>
      <w:bookmarkStart w:id="1432" w:name="_Toc296347227"/>
      <w:bookmarkEnd w:id="1432"/>
      <w:bookmarkStart w:id="1433" w:name="_Toc296503228"/>
      <w:bookmarkEnd w:id="1433"/>
      <w:bookmarkStart w:id="1434" w:name="_Toc296346729"/>
      <w:bookmarkEnd w:id="1434"/>
      <w:bookmarkStart w:id="1435" w:name="_Toc296891268"/>
      <w:bookmarkEnd w:id="1435"/>
      <w:bookmarkStart w:id="1436" w:name="_Toc296891056"/>
      <w:r>
        <w:rPr>
          <w:rFonts w:hint="eastAsia" w:ascii="黑体" w:hAnsi="宋体" w:eastAsia="黑体" w:cs="黑体"/>
          <w:color w:val="auto"/>
          <w:kern w:val="0"/>
          <w:szCs w:val="21"/>
          <w:highlight w:val="none"/>
        </w:rPr>
        <w:t>件6：</w:t>
      </w:r>
      <w:bookmarkEnd w:id="1436"/>
    </w:p>
    <w:p>
      <w:pPr>
        <w:adjustRightInd w:val="0"/>
        <w:spacing w:beforeLines="50" w:afterLines="50" w:line="300" w:lineRule="auto"/>
        <w:jc w:val="center"/>
        <w:textAlignment w:val="baseline"/>
        <w:rPr>
          <w:rFonts w:cs="宋体"/>
          <w:b/>
          <w:color w:val="auto"/>
          <w:sz w:val="28"/>
          <w:szCs w:val="28"/>
          <w:highlight w:val="none"/>
        </w:rPr>
      </w:pPr>
      <w:r>
        <w:rPr>
          <w:rFonts w:hint="eastAsia" w:cs="宋体"/>
          <w:b/>
          <w:color w:val="auto"/>
          <w:sz w:val="28"/>
          <w:szCs w:val="28"/>
          <w:highlight w:val="none"/>
        </w:rPr>
        <w:t>承包人主要施工管理人员表</w:t>
      </w:r>
    </w:p>
    <w:tbl>
      <w:tblPr>
        <w:tblStyle w:val="60"/>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871"/>
        <w:gridCol w:w="1418"/>
        <w:gridCol w:w="1134"/>
        <w:gridCol w:w="1134"/>
        <w:gridCol w:w="425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12" w:space="0"/>
              <w:left w:val="single" w:color="auto" w:sz="12" w:space="0"/>
              <w:bottom w:val="double" w:color="auto" w:sz="2"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名    称</w:t>
            </w:r>
          </w:p>
        </w:tc>
        <w:tc>
          <w:tcPr>
            <w:tcW w:w="1418" w:type="dxa"/>
            <w:tcBorders>
              <w:top w:val="single" w:color="auto" w:sz="12" w:space="0"/>
              <w:left w:val="single" w:color="auto" w:sz="6" w:space="0"/>
              <w:bottom w:val="double" w:color="auto" w:sz="2"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姓名</w:t>
            </w:r>
          </w:p>
        </w:tc>
        <w:tc>
          <w:tcPr>
            <w:tcW w:w="1134" w:type="dxa"/>
            <w:tcBorders>
              <w:top w:val="single" w:color="auto" w:sz="12" w:space="0"/>
              <w:left w:val="single" w:color="auto" w:sz="6" w:space="0"/>
              <w:bottom w:val="double" w:color="auto" w:sz="2"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职务</w:t>
            </w:r>
          </w:p>
        </w:tc>
        <w:tc>
          <w:tcPr>
            <w:tcW w:w="1134" w:type="dxa"/>
            <w:tcBorders>
              <w:top w:val="single" w:color="auto" w:sz="12" w:space="0"/>
              <w:left w:val="single" w:color="auto" w:sz="6" w:space="0"/>
              <w:bottom w:val="double" w:color="auto" w:sz="2"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职称</w:t>
            </w:r>
          </w:p>
        </w:tc>
        <w:tc>
          <w:tcPr>
            <w:tcW w:w="4252" w:type="dxa"/>
            <w:tcBorders>
              <w:top w:val="single" w:color="auto" w:sz="12" w:space="0"/>
              <w:left w:val="single" w:color="auto" w:sz="6" w:space="0"/>
              <w:bottom w:val="double" w:color="auto" w:sz="2" w:space="0"/>
              <w:right w:val="single" w:color="auto" w:sz="12"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主要资历、经验及承担过的项目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809" w:type="dxa"/>
            <w:gridSpan w:val="5"/>
            <w:tcBorders>
              <w:top w:val="double" w:color="auto" w:sz="2" w:space="0"/>
              <w:left w:val="single" w:color="auto" w:sz="12" w:space="0"/>
              <w:bottom w:val="single" w:color="auto" w:sz="6" w:space="0"/>
              <w:right w:val="single" w:color="auto" w:sz="12"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一、总部人员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nil"/>
              <w:left w:val="single" w:color="auto" w:sz="12" w:space="0"/>
              <w:bottom w:val="nil"/>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项目主管</w:t>
            </w:r>
          </w:p>
        </w:tc>
        <w:tc>
          <w:tcPr>
            <w:tcW w:w="1418"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4252" w:type="dxa"/>
            <w:tcBorders>
              <w:top w:val="nil"/>
              <w:left w:val="single" w:color="auto" w:sz="6" w:space="0"/>
              <w:bottom w:val="single" w:color="auto" w:sz="6" w:space="0"/>
              <w:right w:val="single" w:color="auto" w:sz="12"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jc w:val="center"/>
        </w:trPr>
        <w:tc>
          <w:tcPr>
            <w:tcW w:w="1871" w:type="dxa"/>
            <w:vMerge w:val="restart"/>
            <w:tcBorders>
              <w:top w:val="single" w:color="auto" w:sz="6" w:space="0"/>
              <w:left w:val="single" w:color="auto" w:sz="12" w:space="0"/>
              <w:bottom w:val="single" w:color="auto" w:sz="6" w:space="0"/>
              <w:right w:val="single" w:color="auto" w:sz="6" w:space="0"/>
            </w:tcBorders>
            <w:vAlign w:val="center"/>
          </w:tcPr>
          <w:p>
            <w:pPr>
              <w:keepNext/>
              <w:adjustRightInd w:val="0"/>
              <w:spacing w:after="120"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其他人员</w:t>
            </w:r>
          </w:p>
        </w:tc>
        <w:tc>
          <w:tcPr>
            <w:tcW w:w="1418"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4252" w:type="dxa"/>
            <w:tcBorders>
              <w:top w:val="single" w:color="auto" w:sz="6" w:space="0"/>
              <w:left w:val="single" w:color="auto" w:sz="6" w:space="0"/>
              <w:bottom w:val="single" w:color="auto" w:sz="6" w:space="0"/>
              <w:right w:val="single" w:color="auto" w:sz="12"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jc w:val="center"/>
        </w:trPr>
        <w:tc>
          <w:tcPr>
            <w:tcW w:w="1871" w:type="dxa"/>
            <w:vMerge w:val="continue"/>
            <w:tcBorders>
              <w:top w:val="single" w:color="auto" w:sz="6" w:space="0"/>
              <w:left w:val="single" w:color="auto" w:sz="12" w:space="0"/>
              <w:bottom w:val="single" w:color="auto" w:sz="6" w:space="0"/>
              <w:right w:val="single" w:color="auto" w:sz="6" w:space="0"/>
            </w:tcBorders>
            <w:vAlign w:val="center"/>
          </w:tcPr>
          <w:p>
            <w:pPr>
              <w:rPr>
                <w:rFonts w:ascii="Calibri" w:hAnsi="Calibri"/>
                <w:color w:val="auto"/>
                <w:sz w:val="21"/>
                <w:szCs w:val="21"/>
                <w:highlight w:val="none"/>
              </w:rPr>
            </w:pPr>
          </w:p>
        </w:tc>
        <w:tc>
          <w:tcPr>
            <w:tcW w:w="1418"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4252" w:type="dxa"/>
            <w:tcBorders>
              <w:top w:val="single" w:color="auto" w:sz="6" w:space="0"/>
              <w:left w:val="single" w:color="auto" w:sz="6" w:space="0"/>
              <w:bottom w:val="single" w:color="auto" w:sz="6" w:space="0"/>
              <w:right w:val="single" w:color="auto" w:sz="12"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jc w:val="center"/>
        </w:trPr>
        <w:tc>
          <w:tcPr>
            <w:tcW w:w="1871" w:type="dxa"/>
            <w:vMerge w:val="continue"/>
            <w:tcBorders>
              <w:top w:val="single" w:color="auto" w:sz="6" w:space="0"/>
              <w:left w:val="single" w:color="auto" w:sz="12" w:space="0"/>
              <w:bottom w:val="single" w:color="auto" w:sz="6" w:space="0"/>
              <w:right w:val="single" w:color="auto" w:sz="6" w:space="0"/>
            </w:tcBorders>
            <w:vAlign w:val="center"/>
          </w:tcPr>
          <w:p>
            <w:pPr>
              <w:rPr>
                <w:rFonts w:ascii="Calibri" w:hAnsi="Calibri"/>
                <w:color w:val="auto"/>
                <w:sz w:val="21"/>
                <w:szCs w:val="21"/>
                <w:highlight w:val="none"/>
              </w:rPr>
            </w:pPr>
          </w:p>
        </w:tc>
        <w:tc>
          <w:tcPr>
            <w:tcW w:w="1418"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4252" w:type="dxa"/>
            <w:tcBorders>
              <w:top w:val="single" w:color="auto" w:sz="6" w:space="0"/>
              <w:left w:val="single" w:color="auto" w:sz="6" w:space="0"/>
              <w:bottom w:val="single" w:color="auto" w:sz="6" w:space="0"/>
              <w:right w:val="single" w:color="auto" w:sz="12"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809" w:type="dxa"/>
            <w:gridSpan w:val="5"/>
            <w:tcBorders>
              <w:top w:val="single" w:color="auto" w:sz="6" w:space="0"/>
              <w:left w:val="single" w:color="auto" w:sz="12" w:space="0"/>
              <w:bottom w:val="single" w:color="auto" w:sz="6" w:space="0"/>
              <w:right w:val="single" w:color="auto" w:sz="12"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二、现场人员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6" w:space="0"/>
              <w:left w:val="single" w:color="auto" w:sz="12"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项目负责人</w:t>
            </w:r>
          </w:p>
        </w:tc>
        <w:tc>
          <w:tcPr>
            <w:tcW w:w="1418"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4252" w:type="dxa"/>
            <w:tcBorders>
              <w:top w:val="single" w:color="auto" w:sz="6" w:space="0"/>
              <w:left w:val="single" w:color="auto" w:sz="6" w:space="0"/>
              <w:bottom w:val="single" w:color="auto" w:sz="6" w:space="0"/>
              <w:right w:val="single" w:color="auto" w:sz="12"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6" w:space="0"/>
              <w:left w:val="single" w:color="auto" w:sz="12"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项目副经理</w:t>
            </w:r>
          </w:p>
        </w:tc>
        <w:tc>
          <w:tcPr>
            <w:tcW w:w="1418"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4252" w:type="dxa"/>
            <w:tcBorders>
              <w:top w:val="single" w:color="auto" w:sz="6" w:space="0"/>
              <w:left w:val="single" w:color="auto" w:sz="6" w:space="0"/>
              <w:bottom w:val="single" w:color="auto" w:sz="6" w:space="0"/>
              <w:right w:val="single" w:color="auto" w:sz="12"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6" w:space="0"/>
              <w:left w:val="single" w:color="auto" w:sz="12"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技术负责人</w:t>
            </w:r>
          </w:p>
        </w:tc>
        <w:tc>
          <w:tcPr>
            <w:tcW w:w="1418"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4252" w:type="dxa"/>
            <w:tcBorders>
              <w:top w:val="single" w:color="auto" w:sz="6" w:space="0"/>
              <w:left w:val="single" w:color="auto" w:sz="6" w:space="0"/>
              <w:bottom w:val="single" w:color="auto" w:sz="6" w:space="0"/>
              <w:right w:val="single" w:color="auto" w:sz="12"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6" w:space="0"/>
              <w:left w:val="single" w:color="auto" w:sz="12"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造价管理</w:t>
            </w:r>
          </w:p>
        </w:tc>
        <w:tc>
          <w:tcPr>
            <w:tcW w:w="1418"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4252" w:type="dxa"/>
            <w:tcBorders>
              <w:top w:val="single" w:color="auto" w:sz="6" w:space="0"/>
              <w:left w:val="single" w:color="auto" w:sz="6" w:space="0"/>
              <w:bottom w:val="single" w:color="auto" w:sz="6" w:space="0"/>
              <w:right w:val="single" w:color="auto" w:sz="12"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6" w:space="0"/>
              <w:left w:val="single" w:color="auto" w:sz="12"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质量管理</w:t>
            </w:r>
          </w:p>
        </w:tc>
        <w:tc>
          <w:tcPr>
            <w:tcW w:w="1418"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4252" w:type="dxa"/>
            <w:tcBorders>
              <w:top w:val="single" w:color="auto" w:sz="6" w:space="0"/>
              <w:left w:val="single" w:color="auto" w:sz="6" w:space="0"/>
              <w:bottom w:val="single" w:color="auto" w:sz="6" w:space="0"/>
              <w:right w:val="single" w:color="auto" w:sz="12"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6" w:space="0"/>
              <w:left w:val="single" w:color="auto" w:sz="12"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材料管理</w:t>
            </w:r>
          </w:p>
        </w:tc>
        <w:tc>
          <w:tcPr>
            <w:tcW w:w="1418"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4252" w:type="dxa"/>
            <w:tcBorders>
              <w:top w:val="single" w:color="auto" w:sz="6" w:space="0"/>
              <w:left w:val="single" w:color="auto" w:sz="6" w:space="0"/>
              <w:bottom w:val="single" w:color="auto" w:sz="6" w:space="0"/>
              <w:right w:val="single" w:color="auto" w:sz="12"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6" w:space="0"/>
              <w:left w:val="single" w:color="auto" w:sz="12"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计划管理</w:t>
            </w:r>
          </w:p>
        </w:tc>
        <w:tc>
          <w:tcPr>
            <w:tcW w:w="1418"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4252" w:type="dxa"/>
            <w:tcBorders>
              <w:top w:val="single" w:color="auto" w:sz="6" w:space="0"/>
              <w:left w:val="single" w:color="auto" w:sz="6" w:space="0"/>
              <w:bottom w:val="single" w:color="auto" w:sz="6" w:space="0"/>
              <w:right w:val="single" w:color="auto" w:sz="12"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6" w:space="0"/>
              <w:left w:val="single" w:color="auto" w:sz="12"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安全管理</w:t>
            </w:r>
          </w:p>
        </w:tc>
        <w:tc>
          <w:tcPr>
            <w:tcW w:w="1418"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4252" w:type="dxa"/>
            <w:tcBorders>
              <w:top w:val="single" w:color="auto" w:sz="6" w:space="0"/>
              <w:left w:val="single" w:color="auto" w:sz="6" w:space="0"/>
              <w:bottom w:val="single" w:color="auto" w:sz="6" w:space="0"/>
              <w:right w:val="single" w:color="auto" w:sz="12"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jc w:val="center"/>
        </w:trPr>
        <w:tc>
          <w:tcPr>
            <w:tcW w:w="1871" w:type="dxa"/>
            <w:vMerge w:val="restart"/>
            <w:tcBorders>
              <w:top w:val="nil"/>
              <w:left w:val="single" w:color="auto" w:sz="12"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其他人员</w:t>
            </w:r>
          </w:p>
        </w:tc>
        <w:tc>
          <w:tcPr>
            <w:tcW w:w="1418"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4252" w:type="dxa"/>
            <w:tcBorders>
              <w:top w:val="single" w:color="auto" w:sz="6" w:space="0"/>
              <w:left w:val="single" w:color="auto" w:sz="6" w:space="0"/>
              <w:bottom w:val="single" w:color="auto" w:sz="6" w:space="0"/>
              <w:right w:val="single" w:color="auto" w:sz="12"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jc w:val="center"/>
        </w:trPr>
        <w:tc>
          <w:tcPr>
            <w:tcW w:w="1871" w:type="dxa"/>
            <w:vMerge w:val="continue"/>
            <w:tcBorders>
              <w:top w:val="nil"/>
              <w:left w:val="single" w:color="auto" w:sz="12" w:space="0"/>
              <w:bottom w:val="single" w:color="auto" w:sz="6" w:space="0"/>
              <w:right w:val="single" w:color="auto" w:sz="6" w:space="0"/>
            </w:tcBorders>
            <w:vAlign w:val="center"/>
          </w:tcPr>
          <w:p>
            <w:pPr>
              <w:rPr>
                <w:rFonts w:ascii="Calibri" w:hAnsi="Calibri"/>
                <w:color w:val="auto"/>
                <w:sz w:val="21"/>
                <w:szCs w:val="21"/>
                <w:highlight w:val="none"/>
              </w:rPr>
            </w:pPr>
          </w:p>
        </w:tc>
        <w:tc>
          <w:tcPr>
            <w:tcW w:w="1418" w:type="dxa"/>
            <w:tcBorders>
              <w:top w:val="single" w:color="auto" w:sz="6" w:space="0"/>
              <w:left w:val="single" w:color="auto" w:sz="6" w:space="0"/>
              <w:bottom w:val="nil"/>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nil"/>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nil"/>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4252" w:type="dxa"/>
            <w:tcBorders>
              <w:top w:val="single" w:color="auto" w:sz="6" w:space="0"/>
              <w:left w:val="single" w:color="auto" w:sz="6" w:space="0"/>
              <w:bottom w:val="nil"/>
              <w:right w:val="single" w:color="auto" w:sz="12"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jc w:val="center"/>
        </w:trPr>
        <w:tc>
          <w:tcPr>
            <w:tcW w:w="1871" w:type="dxa"/>
            <w:vMerge w:val="continue"/>
            <w:tcBorders>
              <w:top w:val="nil"/>
              <w:left w:val="single" w:color="auto" w:sz="12" w:space="0"/>
              <w:bottom w:val="single" w:color="auto" w:sz="6" w:space="0"/>
              <w:right w:val="single" w:color="auto" w:sz="6" w:space="0"/>
            </w:tcBorders>
            <w:vAlign w:val="center"/>
          </w:tcPr>
          <w:p>
            <w:pPr>
              <w:rPr>
                <w:rFonts w:ascii="Calibri" w:hAnsi="Calibri"/>
                <w:color w:val="auto"/>
                <w:sz w:val="21"/>
                <w:szCs w:val="21"/>
                <w:highlight w:val="none"/>
              </w:rPr>
            </w:pPr>
          </w:p>
        </w:tc>
        <w:tc>
          <w:tcPr>
            <w:tcW w:w="1418"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4252" w:type="dxa"/>
            <w:tcBorders>
              <w:top w:val="single" w:color="auto" w:sz="6" w:space="0"/>
              <w:left w:val="single" w:color="auto" w:sz="6" w:space="0"/>
              <w:bottom w:val="single" w:color="auto" w:sz="6" w:space="0"/>
              <w:right w:val="single" w:color="auto" w:sz="12"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jc w:val="center"/>
        </w:trPr>
        <w:tc>
          <w:tcPr>
            <w:tcW w:w="1871" w:type="dxa"/>
            <w:vMerge w:val="continue"/>
            <w:tcBorders>
              <w:top w:val="nil"/>
              <w:left w:val="single" w:color="auto" w:sz="12" w:space="0"/>
              <w:bottom w:val="single" w:color="auto" w:sz="6" w:space="0"/>
              <w:right w:val="single" w:color="auto" w:sz="6" w:space="0"/>
            </w:tcBorders>
            <w:vAlign w:val="center"/>
          </w:tcPr>
          <w:p>
            <w:pPr>
              <w:rPr>
                <w:rFonts w:ascii="Calibri" w:hAnsi="Calibri"/>
                <w:color w:val="auto"/>
                <w:sz w:val="21"/>
                <w:szCs w:val="21"/>
                <w:highlight w:val="none"/>
              </w:rPr>
            </w:pPr>
          </w:p>
        </w:tc>
        <w:tc>
          <w:tcPr>
            <w:tcW w:w="1418"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4252" w:type="dxa"/>
            <w:tcBorders>
              <w:top w:val="single" w:color="auto" w:sz="6" w:space="0"/>
              <w:left w:val="single" w:color="auto" w:sz="6" w:space="0"/>
              <w:bottom w:val="single" w:color="auto" w:sz="6" w:space="0"/>
              <w:right w:val="single" w:color="auto" w:sz="12"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jc w:val="center"/>
        </w:trPr>
        <w:tc>
          <w:tcPr>
            <w:tcW w:w="1871" w:type="dxa"/>
            <w:vMerge w:val="continue"/>
            <w:tcBorders>
              <w:top w:val="nil"/>
              <w:left w:val="single" w:color="auto" w:sz="12" w:space="0"/>
              <w:bottom w:val="single" w:color="auto" w:sz="6" w:space="0"/>
              <w:right w:val="single" w:color="auto" w:sz="6" w:space="0"/>
            </w:tcBorders>
            <w:vAlign w:val="center"/>
          </w:tcPr>
          <w:p>
            <w:pPr>
              <w:rPr>
                <w:rFonts w:ascii="Calibri" w:hAnsi="Calibri"/>
                <w:color w:val="auto"/>
                <w:sz w:val="21"/>
                <w:szCs w:val="21"/>
                <w:highlight w:val="none"/>
              </w:rPr>
            </w:pPr>
          </w:p>
        </w:tc>
        <w:tc>
          <w:tcPr>
            <w:tcW w:w="1418"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4252" w:type="dxa"/>
            <w:tcBorders>
              <w:top w:val="single" w:color="auto" w:sz="6" w:space="0"/>
              <w:left w:val="single" w:color="auto" w:sz="6" w:space="0"/>
              <w:bottom w:val="single" w:color="auto" w:sz="6" w:space="0"/>
              <w:right w:val="single" w:color="auto" w:sz="12"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jc w:val="center"/>
        </w:trPr>
        <w:tc>
          <w:tcPr>
            <w:tcW w:w="1871" w:type="dxa"/>
            <w:vMerge w:val="continue"/>
            <w:tcBorders>
              <w:top w:val="nil"/>
              <w:left w:val="single" w:color="auto" w:sz="12" w:space="0"/>
              <w:bottom w:val="single" w:color="auto" w:sz="6" w:space="0"/>
              <w:right w:val="single" w:color="auto" w:sz="6" w:space="0"/>
            </w:tcBorders>
            <w:vAlign w:val="center"/>
          </w:tcPr>
          <w:p>
            <w:pPr>
              <w:rPr>
                <w:rFonts w:ascii="Calibri" w:hAnsi="Calibri"/>
                <w:color w:val="auto"/>
                <w:sz w:val="21"/>
                <w:szCs w:val="21"/>
                <w:highlight w:val="none"/>
              </w:rPr>
            </w:pPr>
          </w:p>
        </w:tc>
        <w:tc>
          <w:tcPr>
            <w:tcW w:w="1418" w:type="dxa"/>
            <w:tcBorders>
              <w:top w:val="single" w:color="auto" w:sz="6" w:space="0"/>
              <w:left w:val="single" w:color="auto" w:sz="6" w:space="0"/>
              <w:bottom w:val="single" w:color="auto" w:sz="12"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12"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12"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4252" w:type="dxa"/>
            <w:tcBorders>
              <w:top w:val="single" w:color="auto" w:sz="6" w:space="0"/>
              <w:left w:val="single" w:color="auto" w:sz="6" w:space="0"/>
              <w:bottom w:val="single" w:color="auto" w:sz="12" w:space="0"/>
              <w:right w:val="single" w:color="auto" w:sz="12"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r>
    </w:tbl>
    <w:p>
      <w:pPr>
        <w:adjustRightInd w:val="0"/>
        <w:spacing w:afterLines="50"/>
        <w:jc w:val="left"/>
        <w:textAlignment w:val="baseline"/>
        <w:outlineLvl w:val="3"/>
        <w:rPr>
          <w:rFonts w:hAnsi="Arial" w:cs="宋体"/>
          <w:b/>
          <w:color w:val="auto"/>
          <w:sz w:val="28"/>
          <w:szCs w:val="28"/>
          <w:highlight w:val="none"/>
        </w:rPr>
      </w:pPr>
      <w:r>
        <w:rPr>
          <w:rFonts w:hint="eastAsia" w:hAnsi="Arial" w:cs="宋体"/>
          <w:b/>
          <w:color w:val="auto"/>
          <w:sz w:val="28"/>
          <w:szCs w:val="28"/>
          <w:highlight w:val="none"/>
        </w:rPr>
        <w:br w:type="page"/>
      </w:r>
      <w:bookmarkStart w:id="1437" w:name="_Toc63471494"/>
      <w:bookmarkEnd w:id="1437"/>
      <w:r>
        <w:rPr>
          <w:rFonts w:hint="eastAsia" w:ascii="黑体" w:eastAsia="黑体" w:cs="黑体"/>
          <w:color w:val="auto"/>
          <w:sz w:val="21"/>
          <w:szCs w:val="21"/>
          <w:highlight w:val="none"/>
        </w:rPr>
        <w:t>附件7：</w:t>
      </w:r>
    </w:p>
    <w:p>
      <w:pPr>
        <w:adjustRightInd w:val="0"/>
        <w:spacing w:beforeLines="50" w:afterLines="50" w:line="300" w:lineRule="auto"/>
        <w:jc w:val="center"/>
        <w:textAlignment w:val="baseline"/>
        <w:rPr>
          <w:rFonts w:cs="宋体"/>
          <w:b/>
          <w:color w:val="auto"/>
          <w:sz w:val="28"/>
          <w:szCs w:val="28"/>
          <w:highlight w:val="none"/>
        </w:rPr>
      </w:pPr>
      <w:r>
        <w:rPr>
          <w:rFonts w:hint="eastAsia" w:cs="宋体"/>
          <w:b/>
          <w:color w:val="auto"/>
          <w:sz w:val="28"/>
          <w:szCs w:val="28"/>
          <w:highlight w:val="none"/>
        </w:rPr>
        <w:t>分包人主要施工管理人员表</w:t>
      </w:r>
    </w:p>
    <w:tbl>
      <w:tblPr>
        <w:tblStyle w:val="60"/>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871"/>
        <w:gridCol w:w="1418"/>
        <w:gridCol w:w="1134"/>
        <w:gridCol w:w="1134"/>
        <w:gridCol w:w="425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12" w:space="0"/>
              <w:left w:val="single" w:color="auto" w:sz="12" w:space="0"/>
              <w:bottom w:val="double" w:color="auto" w:sz="2"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名    称</w:t>
            </w:r>
          </w:p>
        </w:tc>
        <w:tc>
          <w:tcPr>
            <w:tcW w:w="1418" w:type="dxa"/>
            <w:tcBorders>
              <w:top w:val="single" w:color="auto" w:sz="12" w:space="0"/>
              <w:left w:val="single" w:color="auto" w:sz="6" w:space="0"/>
              <w:bottom w:val="double" w:color="auto" w:sz="2"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姓名</w:t>
            </w:r>
          </w:p>
        </w:tc>
        <w:tc>
          <w:tcPr>
            <w:tcW w:w="1134" w:type="dxa"/>
            <w:tcBorders>
              <w:top w:val="single" w:color="auto" w:sz="12" w:space="0"/>
              <w:left w:val="single" w:color="auto" w:sz="6" w:space="0"/>
              <w:bottom w:val="double" w:color="auto" w:sz="2"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职务</w:t>
            </w:r>
          </w:p>
        </w:tc>
        <w:tc>
          <w:tcPr>
            <w:tcW w:w="1134" w:type="dxa"/>
            <w:tcBorders>
              <w:top w:val="single" w:color="auto" w:sz="12" w:space="0"/>
              <w:left w:val="single" w:color="auto" w:sz="6" w:space="0"/>
              <w:bottom w:val="double" w:color="auto" w:sz="2"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职称</w:t>
            </w:r>
          </w:p>
        </w:tc>
        <w:tc>
          <w:tcPr>
            <w:tcW w:w="4252" w:type="dxa"/>
            <w:tcBorders>
              <w:top w:val="single" w:color="auto" w:sz="12" w:space="0"/>
              <w:left w:val="single" w:color="auto" w:sz="6" w:space="0"/>
              <w:bottom w:val="double" w:color="auto" w:sz="2" w:space="0"/>
              <w:right w:val="single" w:color="auto" w:sz="12"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主要资历、经验及承担过的项目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809" w:type="dxa"/>
            <w:gridSpan w:val="5"/>
            <w:tcBorders>
              <w:top w:val="double" w:color="auto" w:sz="2" w:space="0"/>
              <w:left w:val="single" w:color="auto" w:sz="12" w:space="0"/>
              <w:bottom w:val="single" w:color="auto" w:sz="6" w:space="0"/>
              <w:right w:val="single" w:color="auto" w:sz="12"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一、总部人员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nil"/>
              <w:left w:val="single" w:color="auto" w:sz="12" w:space="0"/>
              <w:bottom w:val="nil"/>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项目主管</w:t>
            </w:r>
          </w:p>
        </w:tc>
        <w:tc>
          <w:tcPr>
            <w:tcW w:w="1418"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nil"/>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4252" w:type="dxa"/>
            <w:tcBorders>
              <w:top w:val="nil"/>
              <w:left w:val="single" w:color="auto" w:sz="6" w:space="0"/>
              <w:bottom w:val="single" w:color="auto" w:sz="6" w:space="0"/>
              <w:right w:val="single" w:color="auto" w:sz="12"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jc w:val="center"/>
        </w:trPr>
        <w:tc>
          <w:tcPr>
            <w:tcW w:w="1871" w:type="dxa"/>
            <w:vMerge w:val="restart"/>
            <w:tcBorders>
              <w:top w:val="single" w:color="auto" w:sz="6" w:space="0"/>
              <w:left w:val="single" w:color="auto" w:sz="12" w:space="0"/>
              <w:bottom w:val="single" w:color="auto" w:sz="6" w:space="0"/>
              <w:right w:val="single" w:color="auto" w:sz="6" w:space="0"/>
            </w:tcBorders>
            <w:vAlign w:val="center"/>
          </w:tcPr>
          <w:p>
            <w:pPr>
              <w:keepNext/>
              <w:adjustRightInd w:val="0"/>
              <w:spacing w:after="120"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其他人员</w:t>
            </w:r>
          </w:p>
        </w:tc>
        <w:tc>
          <w:tcPr>
            <w:tcW w:w="1418"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4252" w:type="dxa"/>
            <w:tcBorders>
              <w:top w:val="single" w:color="auto" w:sz="6" w:space="0"/>
              <w:left w:val="single" w:color="auto" w:sz="6" w:space="0"/>
              <w:bottom w:val="single" w:color="auto" w:sz="6" w:space="0"/>
              <w:right w:val="single" w:color="auto" w:sz="12"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jc w:val="center"/>
        </w:trPr>
        <w:tc>
          <w:tcPr>
            <w:tcW w:w="1871" w:type="dxa"/>
            <w:vMerge w:val="continue"/>
            <w:tcBorders>
              <w:top w:val="single" w:color="auto" w:sz="6" w:space="0"/>
              <w:left w:val="single" w:color="auto" w:sz="12" w:space="0"/>
              <w:bottom w:val="single" w:color="auto" w:sz="6" w:space="0"/>
              <w:right w:val="single" w:color="auto" w:sz="6" w:space="0"/>
            </w:tcBorders>
            <w:vAlign w:val="center"/>
          </w:tcPr>
          <w:p>
            <w:pPr>
              <w:rPr>
                <w:rFonts w:ascii="Calibri" w:hAnsi="Calibri"/>
                <w:color w:val="auto"/>
                <w:sz w:val="21"/>
                <w:szCs w:val="21"/>
                <w:highlight w:val="none"/>
              </w:rPr>
            </w:pPr>
          </w:p>
        </w:tc>
        <w:tc>
          <w:tcPr>
            <w:tcW w:w="1418"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4252" w:type="dxa"/>
            <w:tcBorders>
              <w:top w:val="single" w:color="auto" w:sz="6" w:space="0"/>
              <w:left w:val="single" w:color="auto" w:sz="6" w:space="0"/>
              <w:bottom w:val="single" w:color="auto" w:sz="6" w:space="0"/>
              <w:right w:val="single" w:color="auto" w:sz="12"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jc w:val="center"/>
        </w:trPr>
        <w:tc>
          <w:tcPr>
            <w:tcW w:w="1871" w:type="dxa"/>
            <w:vMerge w:val="continue"/>
            <w:tcBorders>
              <w:top w:val="single" w:color="auto" w:sz="6" w:space="0"/>
              <w:left w:val="single" w:color="auto" w:sz="12" w:space="0"/>
              <w:bottom w:val="single" w:color="auto" w:sz="6" w:space="0"/>
              <w:right w:val="single" w:color="auto" w:sz="6" w:space="0"/>
            </w:tcBorders>
            <w:vAlign w:val="center"/>
          </w:tcPr>
          <w:p>
            <w:pPr>
              <w:rPr>
                <w:rFonts w:ascii="Calibri" w:hAnsi="Calibri"/>
                <w:color w:val="auto"/>
                <w:sz w:val="21"/>
                <w:szCs w:val="21"/>
                <w:highlight w:val="none"/>
              </w:rPr>
            </w:pPr>
          </w:p>
        </w:tc>
        <w:tc>
          <w:tcPr>
            <w:tcW w:w="1418"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4252" w:type="dxa"/>
            <w:tcBorders>
              <w:top w:val="single" w:color="auto" w:sz="6" w:space="0"/>
              <w:left w:val="single" w:color="auto" w:sz="6" w:space="0"/>
              <w:bottom w:val="single" w:color="auto" w:sz="6" w:space="0"/>
              <w:right w:val="single" w:color="auto" w:sz="12"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809" w:type="dxa"/>
            <w:gridSpan w:val="5"/>
            <w:tcBorders>
              <w:top w:val="single" w:color="auto" w:sz="6" w:space="0"/>
              <w:left w:val="single" w:color="auto" w:sz="12" w:space="0"/>
              <w:bottom w:val="single" w:color="auto" w:sz="6" w:space="0"/>
              <w:right w:val="single" w:color="auto" w:sz="12"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二、现场人员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6" w:space="0"/>
              <w:left w:val="single" w:color="auto" w:sz="12"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项目负责人</w:t>
            </w:r>
          </w:p>
        </w:tc>
        <w:tc>
          <w:tcPr>
            <w:tcW w:w="1418"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4252" w:type="dxa"/>
            <w:tcBorders>
              <w:top w:val="single" w:color="auto" w:sz="6" w:space="0"/>
              <w:left w:val="single" w:color="auto" w:sz="6" w:space="0"/>
              <w:bottom w:val="single" w:color="auto" w:sz="6" w:space="0"/>
              <w:right w:val="single" w:color="auto" w:sz="12"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6" w:space="0"/>
              <w:left w:val="single" w:color="auto" w:sz="12"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项目副经理</w:t>
            </w:r>
          </w:p>
        </w:tc>
        <w:tc>
          <w:tcPr>
            <w:tcW w:w="1418"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4252" w:type="dxa"/>
            <w:tcBorders>
              <w:top w:val="single" w:color="auto" w:sz="6" w:space="0"/>
              <w:left w:val="single" w:color="auto" w:sz="6" w:space="0"/>
              <w:bottom w:val="single" w:color="auto" w:sz="6" w:space="0"/>
              <w:right w:val="single" w:color="auto" w:sz="12"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6" w:space="0"/>
              <w:left w:val="single" w:color="auto" w:sz="12"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技术负责人</w:t>
            </w:r>
          </w:p>
        </w:tc>
        <w:tc>
          <w:tcPr>
            <w:tcW w:w="1418"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4252" w:type="dxa"/>
            <w:tcBorders>
              <w:top w:val="single" w:color="auto" w:sz="6" w:space="0"/>
              <w:left w:val="single" w:color="auto" w:sz="6" w:space="0"/>
              <w:bottom w:val="single" w:color="auto" w:sz="6" w:space="0"/>
              <w:right w:val="single" w:color="auto" w:sz="12"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6" w:space="0"/>
              <w:left w:val="single" w:color="auto" w:sz="12"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造价管理</w:t>
            </w:r>
          </w:p>
        </w:tc>
        <w:tc>
          <w:tcPr>
            <w:tcW w:w="1418"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4252" w:type="dxa"/>
            <w:tcBorders>
              <w:top w:val="single" w:color="auto" w:sz="6" w:space="0"/>
              <w:left w:val="single" w:color="auto" w:sz="6" w:space="0"/>
              <w:bottom w:val="single" w:color="auto" w:sz="6" w:space="0"/>
              <w:right w:val="single" w:color="auto" w:sz="12"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6" w:space="0"/>
              <w:left w:val="single" w:color="auto" w:sz="12"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质量管理</w:t>
            </w:r>
          </w:p>
        </w:tc>
        <w:tc>
          <w:tcPr>
            <w:tcW w:w="1418"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4252" w:type="dxa"/>
            <w:tcBorders>
              <w:top w:val="single" w:color="auto" w:sz="6" w:space="0"/>
              <w:left w:val="single" w:color="auto" w:sz="6" w:space="0"/>
              <w:bottom w:val="single" w:color="auto" w:sz="6" w:space="0"/>
              <w:right w:val="single" w:color="auto" w:sz="12"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6" w:space="0"/>
              <w:left w:val="single" w:color="auto" w:sz="12"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材料管理</w:t>
            </w:r>
          </w:p>
        </w:tc>
        <w:tc>
          <w:tcPr>
            <w:tcW w:w="1418"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4252" w:type="dxa"/>
            <w:tcBorders>
              <w:top w:val="single" w:color="auto" w:sz="6" w:space="0"/>
              <w:left w:val="single" w:color="auto" w:sz="6" w:space="0"/>
              <w:bottom w:val="single" w:color="auto" w:sz="6" w:space="0"/>
              <w:right w:val="single" w:color="auto" w:sz="12"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6" w:space="0"/>
              <w:left w:val="single" w:color="auto" w:sz="12"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计划管理</w:t>
            </w:r>
          </w:p>
        </w:tc>
        <w:tc>
          <w:tcPr>
            <w:tcW w:w="1418"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4252" w:type="dxa"/>
            <w:tcBorders>
              <w:top w:val="single" w:color="auto" w:sz="6" w:space="0"/>
              <w:left w:val="single" w:color="auto" w:sz="6" w:space="0"/>
              <w:bottom w:val="single" w:color="auto" w:sz="6" w:space="0"/>
              <w:right w:val="single" w:color="auto" w:sz="12"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6" w:space="0"/>
              <w:left w:val="single" w:color="auto" w:sz="12"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安全管理</w:t>
            </w:r>
          </w:p>
        </w:tc>
        <w:tc>
          <w:tcPr>
            <w:tcW w:w="1418"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4252" w:type="dxa"/>
            <w:tcBorders>
              <w:top w:val="single" w:color="auto" w:sz="6" w:space="0"/>
              <w:left w:val="single" w:color="auto" w:sz="6" w:space="0"/>
              <w:bottom w:val="single" w:color="auto" w:sz="6" w:space="0"/>
              <w:right w:val="single" w:color="auto" w:sz="12"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jc w:val="center"/>
        </w:trPr>
        <w:tc>
          <w:tcPr>
            <w:tcW w:w="1871" w:type="dxa"/>
            <w:vMerge w:val="restart"/>
            <w:tcBorders>
              <w:top w:val="nil"/>
              <w:left w:val="single" w:color="auto" w:sz="12"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其他人员</w:t>
            </w:r>
          </w:p>
        </w:tc>
        <w:tc>
          <w:tcPr>
            <w:tcW w:w="1418"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4252" w:type="dxa"/>
            <w:tcBorders>
              <w:top w:val="single" w:color="auto" w:sz="6" w:space="0"/>
              <w:left w:val="single" w:color="auto" w:sz="6" w:space="0"/>
              <w:bottom w:val="single" w:color="auto" w:sz="6" w:space="0"/>
              <w:right w:val="single" w:color="auto" w:sz="12"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jc w:val="center"/>
        </w:trPr>
        <w:tc>
          <w:tcPr>
            <w:tcW w:w="1871" w:type="dxa"/>
            <w:vMerge w:val="continue"/>
            <w:tcBorders>
              <w:top w:val="nil"/>
              <w:left w:val="single" w:color="auto" w:sz="12" w:space="0"/>
              <w:bottom w:val="single" w:color="auto" w:sz="6" w:space="0"/>
              <w:right w:val="single" w:color="auto" w:sz="6" w:space="0"/>
            </w:tcBorders>
            <w:vAlign w:val="center"/>
          </w:tcPr>
          <w:p>
            <w:pPr>
              <w:rPr>
                <w:rFonts w:ascii="Calibri" w:hAnsi="Calibri"/>
                <w:color w:val="auto"/>
                <w:sz w:val="21"/>
                <w:szCs w:val="21"/>
                <w:highlight w:val="none"/>
              </w:rPr>
            </w:pPr>
          </w:p>
        </w:tc>
        <w:tc>
          <w:tcPr>
            <w:tcW w:w="1418" w:type="dxa"/>
            <w:tcBorders>
              <w:top w:val="single" w:color="auto" w:sz="6" w:space="0"/>
              <w:left w:val="single" w:color="auto" w:sz="6" w:space="0"/>
              <w:bottom w:val="nil"/>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nil"/>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nil"/>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4252" w:type="dxa"/>
            <w:tcBorders>
              <w:top w:val="single" w:color="auto" w:sz="6" w:space="0"/>
              <w:left w:val="single" w:color="auto" w:sz="6" w:space="0"/>
              <w:bottom w:val="nil"/>
              <w:right w:val="single" w:color="auto" w:sz="12"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jc w:val="center"/>
        </w:trPr>
        <w:tc>
          <w:tcPr>
            <w:tcW w:w="1871" w:type="dxa"/>
            <w:vMerge w:val="continue"/>
            <w:tcBorders>
              <w:top w:val="nil"/>
              <w:left w:val="single" w:color="auto" w:sz="12" w:space="0"/>
              <w:bottom w:val="single" w:color="auto" w:sz="6" w:space="0"/>
              <w:right w:val="single" w:color="auto" w:sz="6" w:space="0"/>
            </w:tcBorders>
            <w:vAlign w:val="center"/>
          </w:tcPr>
          <w:p>
            <w:pPr>
              <w:rPr>
                <w:rFonts w:ascii="Calibri" w:hAnsi="Calibri"/>
                <w:color w:val="auto"/>
                <w:sz w:val="21"/>
                <w:szCs w:val="21"/>
                <w:highlight w:val="none"/>
              </w:rPr>
            </w:pPr>
          </w:p>
        </w:tc>
        <w:tc>
          <w:tcPr>
            <w:tcW w:w="1418"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c>
          <w:tcPr>
            <w:tcW w:w="4252" w:type="dxa"/>
            <w:tcBorders>
              <w:top w:val="single" w:color="auto" w:sz="6" w:space="0"/>
              <w:left w:val="single" w:color="auto" w:sz="6" w:space="0"/>
              <w:bottom w:val="single" w:color="auto" w:sz="6" w:space="0"/>
              <w:right w:val="single" w:color="auto" w:sz="12" w:space="0"/>
            </w:tcBorders>
            <w:vAlign w:val="center"/>
          </w:tcPr>
          <w:p>
            <w:pPr>
              <w:keepNext/>
              <w:adjustRightInd w:val="0"/>
              <w:spacing w:line="300" w:lineRule="auto"/>
              <w:ind w:left="63" w:right="63"/>
              <w:jc w:val="center"/>
              <w:textAlignment w:val="baseline"/>
              <w:rPr>
                <w:rFonts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jc w:val="center"/>
        </w:trPr>
        <w:tc>
          <w:tcPr>
            <w:tcW w:w="1871" w:type="dxa"/>
            <w:vMerge w:val="continue"/>
            <w:tcBorders>
              <w:top w:val="nil"/>
              <w:left w:val="single" w:color="auto" w:sz="12" w:space="0"/>
              <w:bottom w:val="single" w:color="auto" w:sz="6" w:space="0"/>
              <w:right w:val="single" w:color="auto" w:sz="6" w:space="0"/>
            </w:tcBorders>
            <w:vAlign w:val="center"/>
          </w:tcPr>
          <w:p>
            <w:pPr>
              <w:rPr>
                <w:rFonts w:ascii="Calibri" w:hAnsi="Calibri"/>
                <w:color w:val="auto"/>
                <w:sz w:val="21"/>
                <w:szCs w:val="21"/>
                <w:highlight w:val="none"/>
              </w:rPr>
            </w:pPr>
          </w:p>
        </w:tc>
        <w:tc>
          <w:tcPr>
            <w:tcW w:w="1418"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4"/>
                <w:szCs w:val="24"/>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4"/>
                <w:szCs w:val="24"/>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4"/>
                <w:szCs w:val="24"/>
                <w:highlight w:val="none"/>
              </w:rPr>
            </w:pPr>
          </w:p>
        </w:tc>
        <w:tc>
          <w:tcPr>
            <w:tcW w:w="4252" w:type="dxa"/>
            <w:tcBorders>
              <w:top w:val="single" w:color="auto" w:sz="6" w:space="0"/>
              <w:left w:val="single" w:color="auto" w:sz="6" w:space="0"/>
              <w:bottom w:val="single" w:color="auto" w:sz="6" w:space="0"/>
              <w:right w:val="single" w:color="auto" w:sz="12" w:space="0"/>
            </w:tcBorders>
            <w:vAlign w:val="center"/>
          </w:tcPr>
          <w:p>
            <w:pPr>
              <w:keepNext/>
              <w:adjustRightInd w:val="0"/>
              <w:spacing w:line="300" w:lineRule="auto"/>
              <w:ind w:left="63" w:right="63"/>
              <w:jc w:val="center"/>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jc w:val="center"/>
        </w:trPr>
        <w:tc>
          <w:tcPr>
            <w:tcW w:w="1871" w:type="dxa"/>
            <w:vMerge w:val="continue"/>
            <w:tcBorders>
              <w:top w:val="nil"/>
              <w:left w:val="single" w:color="auto" w:sz="12" w:space="0"/>
              <w:bottom w:val="single" w:color="auto" w:sz="6" w:space="0"/>
              <w:right w:val="single" w:color="auto" w:sz="6" w:space="0"/>
            </w:tcBorders>
            <w:vAlign w:val="center"/>
          </w:tcPr>
          <w:p>
            <w:pPr>
              <w:rPr>
                <w:rFonts w:ascii="Calibri" w:hAnsi="Calibri"/>
                <w:color w:val="auto"/>
                <w:sz w:val="21"/>
                <w:szCs w:val="21"/>
                <w:highlight w:val="none"/>
              </w:rPr>
            </w:pPr>
          </w:p>
        </w:tc>
        <w:tc>
          <w:tcPr>
            <w:tcW w:w="1418"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4"/>
                <w:szCs w:val="24"/>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4"/>
                <w:szCs w:val="24"/>
                <w:highlight w:val="none"/>
              </w:rPr>
            </w:pPr>
          </w:p>
        </w:tc>
        <w:tc>
          <w:tcPr>
            <w:tcW w:w="1134" w:type="dxa"/>
            <w:tcBorders>
              <w:top w:val="single" w:color="auto" w:sz="6" w:space="0"/>
              <w:left w:val="single" w:color="auto" w:sz="6" w:space="0"/>
              <w:bottom w:val="single" w:color="auto" w:sz="6" w:space="0"/>
              <w:right w:val="single" w:color="auto" w:sz="6" w:space="0"/>
            </w:tcBorders>
            <w:vAlign w:val="center"/>
          </w:tcPr>
          <w:p>
            <w:pPr>
              <w:keepNext/>
              <w:adjustRightInd w:val="0"/>
              <w:spacing w:line="300" w:lineRule="auto"/>
              <w:ind w:left="63" w:right="63"/>
              <w:jc w:val="center"/>
              <w:textAlignment w:val="baseline"/>
              <w:rPr>
                <w:rFonts w:cs="宋体"/>
                <w:color w:val="auto"/>
                <w:sz w:val="24"/>
                <w:szCs w:val="24"/>
                <w:highlight w:val="none"/>
              </w:rPr>
            </w:pPr>
          </w:p>
        </w:tc>
        <w:tc>
          <w:tcPr>
            <w:tcW w:w="4252" w:type="dxa"/>
            <w:tcBorders>
              <w:top w:val="single" w:color="auto" w:sz="6" w:space="0"/>
              <w:left w:val="single" w:color="auto" w:sz="6" w:space="0"/>
              <w:bottom w:val="single" w:color="auto" w:sz="6" w:space="0"/>
              <w:right w:val="single" w:color="auto" w:sz="12" w:space="0"/>
            </w:tcBorders>
            <w:vAlign w:val="center"/>
          </w:tcPr>
          <w:p>
            <w:pPr>
              <w:keepNext/>
              <w:adjustRightInd w:val="0"/>
              <w:spacing w:line="300" w:lineRule="auto"/>
              <w:ind w:left="63" w:right="63"/>
              <w:jc w:val="center"/>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jc w:val="center"/>
        </w:trPr>
        <w:tc>
          <w:tcPr>
            <w:tcW w:w="1871" w:type="dxa"/>
            <w:vMerge w:val="continue"/>
            <w:tcBorders>
              <w:top w:val="nil"/>
              <w:left w:val="single" w:color="auto" w:sz="12" w:space="0"/>
              <w:bottom w:val="single" w:color="auto" w:sz="6" w:space="0"/>
              <w:right w:val="single" w:color="auto" w:sz="6" w:space="0"/>
            </w:tcBorders>
            <w:vAlign w:val="center"/>
          </w:tcPr>
          <w:p>
            <w:pPr>
              <w:rPr>
                <w:rFonts w:ascii="Calibri" w:hAnsi="Calibri"/>
                <w:color w:val="auto"/>
                <w:sz w:val="21"/>
                <w:szCs w:val="21"/>
                <w:highlight w:val="none"/>
              </w:rPr>
            </w:pPr>
          </w:p>
        </w:tc>
        <w:tc>
          <w:tcPr>
            <w:tcW w:w="1418" w:type="dxa"/>
            <w:tcBorders>
              <w:top w:val="single" w:color="auto" w:sz="6" w:space="0"/>
              <w:left w:val="single" w:color="auto" w:sz="6" w:space="0"/>
              <w:bottom w:val="single" w:color="auto" w:sz="12" w:space="0"/>
              <w:right w:val="single" w:color="auto" w:sz="6" w:space="0"/>
            </w:tcBorders>
            <w:vAlign w:val="center"/>
          </w:tcPr>
          <w:p>
            <w:pPr>
              <w:keepNext/>
              <w:adjustRightInd w:val="0"/>
              <w:spacing w:line="300" w:lineRule="auto"/>
              <w:ind w:left="63" w:right="63"/>
              <w:jc w:val="center"/>
              <w:textAlignment w:val="baseline"/>
              <w:rPr>
                <w:rFonts w:cs="宋体"/>
                <w:color w:val="auto"/>
                <w:sz w:val="24"/>
                <w:szCs w:val="24"/>
                <w:highlight w:val="none"/>
              </w:rPr>
            </w:pPr>
          </w:p>
        </w:tc>
        <w:tc>
          <w:tcPr>
            <w:tcW w:w="1134" w:type="dxa"/>
            <w:tcBorders>
              <w:top w:val="single" w:color="auto" w:sz="6" w:space="0"/>
              <w:left w:val="single" w:color="auto" w:sz="6" w:space="0"/>
              <w:bottom w:val="single" w:color="auto" w:sz="12" w:space="0"/>
              <w:right w:val="single" w:color="auto" w:sz="6" w:space="0"/>
            </w:tcBorders>
            <w:vAlign w:val="center"/>
          </w:tcPr>
          <w:p>
            <w:pPr>
              <w:keepNext/>
              <w:adjustRightInd w:val="0"/>
              <w:spacing w:line="300" w:lineRule="auto"/>
              <w:ind w:left="63" w:right="63"/>
              <w:jc w:val="center"/>
              <w:textAlignment w:val="baseline"/>
              <w:rPr>
                <w:rFonts w:cs="宋体"/>
                <w:color w:val="auto"/>
                <w:sz w:val="24"/>
                <w:szCs w:val="24"/>
                <w:highlight w:val="none"/>
              </w:rPr>
            </w:pPr>
          </w:p>
        </w:tc>
        <w:tc>
          <w:tcPr>
            <w:tcW w:w="1134" w:type="dxa"/>
            <w:tcBorders>
              <w:top w:val="single" w:color="auto" w:sz="6" w:space="0"/>
              <w:left w:val="single" w:color="auto" w:sz="6" w:space="0"/>
              <w:bottom w:val="single" w:color="auto" w:sz="12" w:space="0"/>
              <w:right w:val="single" w:color="auto" w:sz="6" w:space="0"/>
            </w:tcBorders>
            <w:vAlign w:val="center"/>
          </w:tcPr>
          <w:p>
            <w:pPr>
              <w:keepNext/>
              <w:adjustRightInd w:val="0"/>
              <w:spacing w:line="300" w:lineRule="auto"/>
              <w:ind w:left="63" w:right="63"/>
              <w:jc w:val="center"/>
              <w:textAlignment w:val="baseline"/>
              <w:rPr>
                <w:rFonts w:cs="宋体"/>
                <w:color w:val="auto"/>
                <w:sz w:val="24"/>
                <w:szCs w:val="24"/>
                <w:highlight w:val="none"/>
              </w:rPr>
            </w:pPr>
          </w:p>
        </w:tc>
        <w:tc>
          <w:tcPr>
            <w:tcW w:w="4252" w:type="dxa"/>
            <w:tcBorders>
              <w:top w:val="single" w:color="auto" w:sz="6" w:space="0"/>
              <w:left w:val="single" w:color="auto" w:sz="6" w:space="0"/>
              <w:bottom w:val="single" w:color="auto" w:sz="12" w:space="0"/>
              <w:right w:val="single" w:color="auto" w:sz="12" w:space="0"/>
            </w:tcBorders>
            <w:vAlign w:val="center"/>
          </w:tcPr>
          <w:p>
            <w:pPr>
              <w:keepNext/>
              <w:adjustRightInd w:val="0"/>
              <w:spacing w:line="300" w:lineRule="auto"/>
              <w:ind w:left="63" w:right="63"/>
              <w:jc w:val="center"/>
              <w:textAlignment w:val="baseline"/>
              <w:rPr>
                <w:rFonts w:cs="宋体"/>
                <w:color w:val="auto"/>
                <w:sz w:val="24"/>
                <w:szCs w:val="24"/>
                <w:highlight w:val="none"/>
              </w:rPr>
            </w:pPr>
          </w:p>
        </w:tc>
      </w:tr>
    </w:tbl>
    <w:p>
      <w:pPr>
        <w:adjustRightInd w:val="0"/>
        <w:spacing w:afterLines="50"/>
        <w:jc w:val="left"/>
        <w:textAlignment w:val="baseline"/>
        <w:outlineLvl w:val="3"/>
        <w:rPr>
          <w:rFonts w:hAnsi="Arial" w:cs="宋体"/>
          <w:b/>
          <w:color w:val="auto"/>
          <w:sz w:val="28"/>
          <w:szCs w:val="28"/>
          <w:highlight w:val="none"/>
        </w:rPr>
      </w:pPr>
      <w:r>
        <w:rPr>
          <w:rFonts w:hint="eastAsia" w:eastAsia="黑体" w:cs="宋体"/>
          <w:b/>
          <w:color w:val="auto"/>
          <w:sz w:val="24"/>
          <w:szCs w:val="24"/>
          <w:highlight w:val="none"/>
        </w:rPr>
        <w:br w:type="page"/>
      </w:r>
      <w:bookmarkStart w:id="1438" w:name="_Toc63471495"/>
      <w:bookmarkEnd w:id="1438"/>
      <w:bookmarkStart w:id="1439" w:name="_Toc267261701"/>
      <w:r>
        <w:rPr>
          <w:rFonts w:hint="eastAsia" w:ascii="黑体" w:eastAsia="黑体" w:cs="黑体"/>
          <w:color w:val="auto"/>
          <w:sz w:val="21"/>
          <w:szCs w:val="21"/>
          <w:highlight w:val="none"/>
        </w:rPr>
        <w:t>附</w:t>
      </w:r>
      <w:bookmarkEnd w:id="1439"/>
      <w:bookmarkStart w:id="1440" w:name="_Toc296891271"/>
      <w:bookmarkEnd w:id="1440"/>
      <w:bookmarkStart w:id="1441" w:name="_Toc296347230"/>
      <w:bookmarkEnd w:id="1441"/>
      <w:bookmarkStart w:id="1442" w:name="_Toc296503231"/>
      <w:bookmarkEnd w:id="1442"/>
      <w:bookmarkStart w:id="1443" w:name="_Toc296891059"/>
      <w:bookmarkEnd w:id="1443"/>
      <w:bookmarkStart w:id="1444" w:name="_Toc296944570"/>
      <w:bookmarkEnd w:id="1444"/>
      <w:bookmarkStart w:id="1445" w:name="_Toc296346732"/>
      <w:r>
        <w:rPr>
          <w:rFonts w:hint="eastAsia" w:ascii="黑体" w:eastAsia="黑体" w:cs="黑体"/>
          <w:color w:val="auto"/>
          <w:sz w:val="21"/>
          <w:szCs w:val="21"/>
          <w:highlight w:val="none"/>
        </w:rPr>
        <w:t>件8：</w:t>
      </w:r>
      <w:bookmarkEnd w:id="1445"/>
    </w:p>
    <w:p>
      <w:pPr>
        <w:spacing w:line="360" w:lineRule="auto"/>
        <w:jc w:val="center"/>
        <w:rPr>
          <w:b/>
          <w:bCs/>
          <w:color w:val="auto"/>
          <w:sz w:val="21"/>
          <w:szCs w:val="21"/>
          <w:highlight w:val="none"/>
        </w:rPr>
      </w:pPr>
      <w:r>
        <w:rPr>
          <w:rFonts w:hint="eastAsia"/>
          <w:b/>
          <w:bCs/>
          <w:color w:val="auto"/>
          <w:sz w:val="21"/>
          <w:szCs w:val="21"/>
          <w:highlight w:val="none"/>
        </w:rPr>
        <w:t>履约保函示范文本</w:t>
      </w:r>
    </w:p>
    <w:p>
      <w:pPr>
        <w:spacing w:line="360" w:lineRule="auto"/>
        <w:jc w:val="center"/>
        <w:rPr>
          <w:color w:val="auto"/>
          <w:sz w:val="21"/>
          <w:szCs w:val="21"/>
          <w:highlight w:val="none"/>
        </w:rPr>
      </w:pPr>
      <w:r>
        <w:rPr>
          <w:rFonts w:hint="eastAsia"/>
          <w:color w:val="auto"/>
          <w:sz w:val="21"/>
          <w:szCs w:val="21"/>
          <w:highlight w:val="none"/>
        </w:rPr>
        <w:t>（非独立保函）</w:t>
      </w:r>
    </w:p>
    <w:p>
      <w:pPr>
        <w:wordWrap w:val="0"/>
        <w:spacing w:line="360" w:lineRule="auto"/>
        <w:jc w:val="right"/>
        <w:rPr>
          <w:color w:val="auto"/>
          <w:sz w:val="21"/>
          <w:szCs w:val="21"/>
          <w:highlight w:val="none"/>
        </w:rPr>
      </w:pPr>
      <w:r>
        <w:rPr>
          <w:rFonts w:hint="eastAsia"/>
          <w:color w:val="auto"/>
          <w:sz w:val="21"/>
          <w:szCs w:val="21"/>
          <w:highlight w:val="none"/>
        </w:rPr>
        <w:t xml:space="preserve">编号： </w:t>
      </w:r>
      <w:r>
        <w:rPr>
          <w:color w:val="auto"/>
          <w:sz w:val="21"/>
          <w:szCs w:val="21"/>
          <w:highlight w:val="none"/>
        </w:rPr>
        <w:t xml:space="preserve">          </w:t>
      </w:r>
    </w:p>
    <w:p>
      <w:pPr>
        <w:spacing w:line="360" w:lineRule="auto"/>
        <w:rPr>
          <w:color w:val="auto"/>
          <w:sz w:val="21"/>
          <w:szCs w:val="21"/>
          <w:highlight w:val="none"/>
        </w:rPr>
      </w:pPr>
      <w:r>
        <w:rPr>
          <w:rFonts w:hint="eastAsia"/>
          <w:color w:val="auto"/>
          <w:sz w:val="21"/>
          <w:szCs w:val="21"/>
          <w:highlight w:val="none"/>
        </w:rPr>
        <w:t>承包人：</w:t>
      </w:r>
    </w:p>
    <w:p>
      <w:pPr>
        <w:spacing w:line="360" w:lineRule="auto"/>
        <w:rPr>
          <w:color w:val="auto"/>
          <w:sz w:val="21"/>
          <w:szCs w:val="21"/>
          <w:highlight w:val="none"/>
        </w:rPr>
      </w:pPr>
      <w:r>
        <w:rPr>
          <w:rFonts w:hint="eastAsia"/>
          <w:color w:val="auto"/>
          <w:sz w:val="21"/>
          <w:szCs w:val="21"/>
          <w:highlight w:val="none"/>
        </w:rPr>
        <w:t>地址</w:t>
      </w:r>
      <w:r>
        <w:rPr>
          <w:color w:val="auto"/>
          <w:sz w:val="21"/>
          <w:szCs w:val="21"/>
          <w:highlight w:val="none"/>
        </w:rPr>
        <w:t>：</w:t>
      </w:r>
    </w:p>
    <w:p>
      <w:pPr>
        <w:spacing w:line="360" w:lineRule="auto"/>
        <w:rPr>
          <w:color w:val="auto"/>
          <w:sz w:val="21"/>
          <w:szCs w:val="21"/>
          <w:highlight w:val="none"/>
        </w:rPr>
      </w:pPr>
      <w:r>
        <w:rPr>
          <w:rFonts w:hint="eastAsia"/>
          <w:color w:val="auto"/>
          <w:sz w:val="21"/>
          <w:szCs w:val="21"/>
          <w:highlight w:val="none"/>
        </w:rPr>
        <w:t>担保权人/发包人：</w:t>
      </w:r>
      <w:r>
        <w:rPr>
          <w:color w:val="auto"/>
          <w:sz w:val="21"/>
          <w:szCs w:val="21"/>
          <w:highlight w:val="none"/>
        </w:rPr>
        <w:t xml:space="preserve"> </w:t>
      </w:r>
    </w:p>
    <w:p>
      <w:pPr>
        <w:spacing w:line="360" w:lineRule="auto"/>
        <w:rPr>
          <w:color w:val="auto"/>
          <w:sz w:val="21"/>
          <w:szCs w:val="21"/>
          <w:highlight w:val="none"/>
        </w:rPr>
      </w:pPr>
      <w:r>
        <w:rPr>
          <w:rFonts w:hint="eastAsia"/>
          <w:color w:val="auto"/>
          <w:sz w:val="21"/>
          <w:szCs w:val="21"/>
          <w:highlight w:val="none"/>
        </w:rPr>
        <w:t>地址：</w:t>
      </w:r>
    </w:p>
    <w:p>
      <w:pPr>
        <w:spacing w:line="360" w:lineRule="auto"/>
        <w:rPr>
          <w:color w:val="auto"/>
          <w:sz w:val="21"/>
          <w:szCs w:val="21"/>
          <w:highlight w:val="none"/>
        </w:rPr>
      </w:pPr>
      <w:r>
        <w:rPr>
          <w:rFonts w:hint="eastAsia"/>
          <w:color w:val="auto"/>
          <w:sz w:val="21"/>
          <w:szCs w:val="21"/>
          <w:highlight w:val="none"/>
        </w:rPr>
        <w:t>保证人：</w:t>
      </w:r>
    </w:p>
    <w:p>
      <w:pPr>
        <w:spacing w:line="360" w:lineRule="auto"/>
        <w:rPr>
          <w:color w:val="auto"/>
          <w:sz w:val="21"/>
          <w:szCs w:val="21"/>
          <w:highlight w:val="none"/>
        </w:rPr>
      </w:pPr>
      <w:r>
        <w:rPr>
          <w:rFonts w:hint="eastAsia"/>
          <w:color w:val="auto"/>
          <w:sz w:val="21"/>
          <w:szCs w:val="21"/>
          <w:highlight w:val="none"/>
        </w:rPr>
        <w:t>地址：</w:t>
      </w:r>
    </w:p>
    <w:p>
      <w:pPr>
        <w:spacing w:line="360" w:lineRule="auto"/>
        <w:rPr>
          <w:color w:val="auto"/>
          <w:sz w:val="21"/>
          <w:szCs w:val="21"/>
          <w:highlight w:val="none"/>
        </w:rPr>
      </w:pPr>
      <w:r>
        <w:rPr>
          <w:color w:val="auto"/>
          <w:sz w:val="21"/>
          <w:szCs w:val="21"/>
          <w:highlight w:val="none"/>
          <w:u w:val="single"/>
        </w:rPr>
        <w:t xml:space="preserve">              </w:t>
      </w:r>
      <w:r>
        <w:rPr>
          <w:color w:val="auto"/>
          <w:sz w:val="21"/>
          <w:szCs w:val="21"/>
          <w:highlight w:val="none"/>
        </w:rPr>
        <w:t>（</w:t>
      </w:r>
      <w:r>
        <w:rPr>
          <w:rFonts w:hint="eastAsia"/>
          <w:color w:val="auto"/>
          <w:sz w:val="21"/>
          <w:szCs w:val="21"/>
          <w:highlight w:val="none"/>
        </w:rPr>
        <w:t>发包人</w:t>
      </w:r>
      <w:r>
        <w:rPr>
          <w:color w:val="auto"/>
          <w:sz w:val="21"/>
          <w:szCs w:val="21"/>
          <w:highlight w:val="none"/>
        </w:rPr>
        <w:t xml:space="preserve">名称）： </w:t>
      </w:r>
    </w:p>
    <w:p>
      <w:pPr>
        <w:spacing w:line="360" w:lineRule="auto"/>
        <w:ind w:firstLine="420" w:firstLineChars="200"/>
        <w:rPr>
          <w:color w:val="auto"/>
          <w:sz w:val="21"/>
          <w:szCs w:val="21"/>
          <w:highlight w:val="none"/>
        </w:rPr>
      </w:pPr>
      <w:r>
        <w:rPr>
          <w:rFonts w:hint="eastAsia"/>
          <w:color w:val="auto"/>
          <w:sz w:val="21"/>
          <w:szCs w:val="21"/>
          <w:highlight w:val="none"/>
        </w:rPr>
        <w:t>鉴于</w:t>
      </w:r>
      <w:r>
        <w:rPr>
          <w:color w:val="auto"/>
          <w:sz w:val="21"/>
          <w:szCs w:val="21"/>
          <w:highlight w:val="none"/>
          <w:u w:val="single"/>
        </w:rPr>
        <w:t xml:space="preserve">        </w:t>
      </w:r>
      <w:r>
        <w:rPr>
          <w:color w:val="auto"/>
          <w:sz w:val="21"/>
          <w:szCs w:val="21"/>
          <w:highlight w:val="none"/>
        </w:rPr>
        <w:t>（以下简称“</w:t>
      </w:r>
      <w:r>
        <w:rPr>
          <w:rFonts w:hint="eastAsia"/>
          <w:color w:val="auto"/>
          <w:sz w:val="21"/>
          <w:szCs w:val="21"/>
          <w:highlight w:val="none"/>
        </w:rPr>
        <w:t>发包人</w:t>
      </w:r>
      <w:r>
        <w:rPr>
          <w:color w:val="auto"/>
          <w:sz w:val="21"/>
          <w:szCs w:val="21"/>
          <w:highlight w:val="none"/>
        </w:rPr>
        <w:t>”）</w:t>
      </w:r>
      <w:r>
        <w:rPr>
          <w:rFonts w:hint="eastAsia"/>
          <w:color w:val="auto"/>
          <w:sz w:val="21"/>
          <w:szCs w:val="21"/>
          <w:highlight w:val="none"/>
        </w:rPr>
        <w:t>与</w:t>
      </w:r>
      <w:r>
        <w:rPr>
          <w:rFonts w:hint="eastAsia"/>
          <w:color w:val="auto"/>
          <w:sz w:val="21"/>
          <w:szCs w:val="21"/>
          <w:highlight w:val="none"/>
          <w:u w:val="single"/>
        </w:rPr>
        <w:t xml:space="preserve"> </w:t>
      </w:r>
      <w:r>
        <w:rPr>
          <w:color w:val="auto"/>
          <w:sz w:val="21"/>
          <w:szCs w:val="21"/>
          <w:highlight w:val="none"/>
          <w:u w:val="single"/>
        </w:rPr>
        <w:t xml:space="preserve">        </w:t>
      </w:r>
      <w:r>
        <w:rPr>
          <w:color w:val="auto"/>
          <w:sz w:val="21"/>
          <w:szCs w:val="21"/>
          <w:highlight w:val="none"/>
        </w:rPr>
        <w:t>（以下简称“</w:t>
      </w:r>
      <w:r>
        <w:rPr>
          <w:rFonts w:hint="eastAsia"/>
          <w:color w:val="auto"/>
          <w:sz w:val="21"/>
          <w:szCs w:val="21"/>
          <w:highlight w:val="none"/>
        </w:rPr>
        <w:t>承包人</w:t>
      </w:r>
      <w:r>
        <w:rPr>
          <w:color w:val="auto"/>
          <w:sz w:val="21"/>
          <w:szCs w:val="21"/>
          <w:highlight w:val="none"/>
        </w:rPr>
        <w:t>”）</w:t>
      </w:r>
      <w:r>
        <w:rPr>
          <w:rFonts w:hint="eastAsia"/>
          <w:color w:val="auto"/>
          <w:sz w:val="21"/>
          <w:szCs w:val="21"/>
          <w:highlight w:val="none"/>
        </w:rPr>
        <w:t>于</w:t>
      </w:r>
      <w:r>
        <w:rPr>
          <w:rFonts w:hint="eastAsia"/>
          <w:color w:val="auto"/>
          <w:sz w:val="21"/>
          <w:szCs w:val="21"/>
          <w:highlight w:val="none"/>
          <w:u w:val="single"/>
        </w:rPr>
        <w:t xml:space="preserve">     </w:t>
      </w:r>
      <w:r>
        <w:rPr>
          <w:rFonts w:hint="eastAsia"/>
          <w:color w:val="auto"/>
          <w:sz w:val="21"/>
          <w:szCs w:val="21"/>
          <w:highlight w:val="none"/>
        </w:rPr>
        <w:t>年</w:t>
      </w:r>
      <w:r>
        <w:rPr>
          <w:rFonts w:hint="eastAsia"/>
          <w:color w:val="auto"/>
          <w:sz w:val="21"/>
          <w:szCs w:val="21"/>
          <w:highlight w:val="none"/>
          <w:u w:val="single"/>
        </w:rPr>
        <w:t xml:space="preserve">     </w:t>
      </w:r>
      <w:r>
        <w:rPr>
          <w:rFonts w:hint="eastAsia"/>
          <w:color w:val="auto"/>
          <w:sz w:val="21"/>
          <w:szCs w:val="21"/>
          <w:highlight w:val="none"/>
        </w:rPr>
        <w:t>月</w:t>
      </w:r>
      <w:r>
        <w:rPr>
          <w:rFonts w:hint="eastAsia"/>
          <w:color w:val="auto"/>
          <w:sz w:val="21"/>
          <w:szCs w:val="21"/>
          <w:highlight w:val="none"/>
          <w:u w:val="single"/>
        </w:rPr>
        <w:t xml:space="preserve">   </w:t>
      </w:r>
      <w:r>
        <w:rPr>
          <w:rFonts w:hint="eastAsia"/>
          <w:color w:val="auto"/>
          <w:sz w:val="21"/>
          <w:szCs w:val="21"/>
          <w:highlight w:val="none"/>
        </w:rPr>
        <w:t>日就</w:t>
      </w:r>
      <w:r>
        <w:rPr>
          <w:rFonts w:hint="eastAsia"/>
          <w:color w:val="auto"/>
          <w:sz w:val="21"/>
          <w:szCs w:val="21"/>
          <w:highlight w:val="none"/>
          <w:u w:val="single"/>
        </w:rPr>
        <w:t xml:space="preserve"> </w:t>
      </w:r>
      <w:r>
        <w:rPr>
          <w:color w:val="auto"/>
          <w:sz w:val="21"/>
          <w:szCs w:val="21"/>
          <w:highlight w:val="none"/>
          <w:u w:val="single"/>
        </w:rPr>
        <w:t xml:space="preserve">      </w:t>
      </w:r>
      <w:r>
        <w:rPr>
          <w:rFonts w:hint="eastAsia"/>
          <w:color w:val="auto"/>
          <w:sz w:val="21"/>
          <w:szCs w:val="21"/>
          <w:highlight w:val="none"/>
          <w:u w:val="single"/>
        </w:rPr>
        <w:t xml:space="preserve">   </w:t>
      </w:r>
      <w:r>
        <w:rPr>
          <w:color w:val="auto"/>
          <w:sz w:val="21"/>
          <w:szCs w:val="21"/>
          <w:highlight w:val="none"/>
          <w:u w:val="single"/>
        </w:rPr>
        <w:t xml:space="preserve">    </w:t>
      </w:r>
      <w:r>
        <w:rPr>
          <w:rFonts w:hint="eastAsia"/>
          <w:color w:val="auto"/>
          <w:sz w:val="21"/>
          <w:szCs w:val="21"/>
          <w:highlight w:val="none"/>
        </w:rPr>
        <w:t>工程（以下简称“本工程”）施工和有关事项协商一致共同签订</w:t>
      </w:r>
      <w:r>
        <w:rPr>
          <w:rFonts w:hint="eastAsia"/>
          <w:color w:val="auto"/>
          <w:sz w:val="21"/>
          <w:szCs w:val="21"/>
          <w:highlight w:val="none"/>
          <w:u w:val="single"/>
        </w:rPr>
        <w:t xml:space="preserve">《 </w:t>
      </w:r>
      <w:r>
        <w:rPr>
          <w:color w:val="auto"/>
          <w:sz w:val="21"/>
          <w:szCs w:val="21"/>
          <w:highlight w:val="none"/>
          <w:u w:val="single"/>
        </w:rPr>
        <w:t xml:space="preserve">       </w:t>
      </w:r>
      <w:r>
        <w:rPr>
          <w:rFonts w:hint="eastAsia"/>
          <w:color w:val="auto"/>
          <w:sz w:val="21"/>
          <w:szCs w:val="21"/>
          <w:highlight w:val="none"/>
          <w:u w:val="single"/>
        </w:rPr>
        <w:t>》</w:t>
      </w:r>
      <w:r>
        <w:rPr>
          <w:rFonts w:hint="eastAsia"/>
          <w:color w:val="auto"/>
          <w:sz w:val="21"/>
          <w:szCs w:val="21"/>
          <w:highlight w:val="none"/>
        </w:rPr>
        <w:t>（以下简称“主合同”），我方即保证人基于承包人</w:t>
      </w:r>
      <w:r>
        <w:rPr>
          <w:color w:val="auto"/>
          <w:sz w:val="21"/>
          <w:szCs w:val="21"/>
          <w:highlight w:val="none"/>
        </w:rPr>
        <w:t>的请求，同意就</w:t>
      </w:r>
      <w:r>
        <w:rPr>
          <w:rFonts w:hint="eastAsia"/>
          <w:color w:val="auto"/>
          <w:sz w:val="21"/>
          <w:szCs w:val="21"/>
          <w:highlight w:val="none"/>
        </w:rPr>
        <w:t>承包人</w:t>
      </w:r>
      <w:r>
        <w:rPr>
          <w:color w:val="auto"/>
          <w:sz w:val="21"/>
          <w:szCs w:val="21"/>
          <w:highlight w:val="none"/>
        </w:rPr>
        <w:t>履行</w:t>
      </w:r>
      <w:r>
        <w:rPr>
          <w:rFonts w:hint="eastAsia"/>
          <w:color w:val="auto"/>
          <w:sz w:val="21"/>
          <w:szCs w:val="21"/>
          <w:highlight w:val="none"/>
        </w:rPr>
        <w:t>与贵方签订的主合同</w:t>
      </w:r>
      <w:r>
        <w:rPr>
          <w:color w:val="auto"/>
          <w:sz w:val="21"/>
          <w:szCs w:val="21"/>
          <w:highlight w:val="none"/>
        </w:rPr>
        <w:t>项下的义务</w:t>
      </w:r>
      <w:r>
        <w:rPr>
          <w:rFonts w:hint="eastAsia"/>
          <w:color w:val="auto"/>
          <w:sz w:val="21"/>
          <w:szCs w:val="21"/>
          <w:highlight w:val="none"/>
        </w:rPr>
        <w:t>，</w:t>
      </w:r>
      <w:r>
        <w:rPr>
          <w:color w:val="auto"/>
          <w:sz w:val="21"/>
          <w:szCs w:val="21"/>
          <w:highlight w:val="none"/>
        </w:rPr>
        <w:t>向贵方提供</w:t>
      </w:r>
      <w:r>
        <w:rPr>
          <w:rFonts w:hint="eastAsia"/>
          <w:color w:val="auto"/>
          <w:sz w:val="21"/>
          <w:szCs w:val="21"/>
          <w:highlight w:val="none"/>
        </w:rPr>
        <w:t>如下保证担保（以下简称“本保证担保”）</w:t>
      </w:r>
      <w:r>
        <w:rPr>
          <w:color w:val="auto"/>
          <w:sz w:val="21"/>
          <w:szCs w:val="21"/>
          <w:highlight w:val="none"/>
        </w:rPr>
        <w:t xml:space="preserve">。 </w:t>
      </w:r>
    </w:p>
    <w:p>
      <w:pPr>
        <w:spacing w:line="360" w:lineRule="auto"/>
        <w:rPr>
          <w:b/>
          <w:bCs/>
          <w:color w:val="auto"/>
          <w:sz w:val="21"/>
          <w:szCs w:val="21"/>
          <w:highlight w:val="none"/>
        </w:rPr>
      </w:pPr>
      <w:r>
        <w:rPr>
          <w:rFonts w:hint="eastAsia"/>
          <w:color w:val="auto"/>
          <w:sz w:val="21"/>
          <w:szCs w:val="21"/>
          <w:highlight w:val="none"/>
        </w:rPr>
        <w:t xml:space="preserve">    </w:t>
      </w:r>
      <w:r>
        <w:rPr>
          <w:rFonts w:hint="eastAsia"/>
          <w:b/>
          <w:bCs/>
          <w:color w:val="auto"/>
          <w:sz w:val="21"/>
          <w:szCs w:val="21"/>
          <w:highlight w:val="none"/>
        </w:rPr>
        <w:t>一、保证担保的范围及保证担保金额</w:t>
      </w:r>
    </w:p>
    <w:p>
      <w:pPr>
        <w:spacing w:line="360" w:lineRule="auto"/>
        <w:ind w:firstLine="420" w:firstLineChars="200"/>
        <w:rPr>
          <w:color w:val="auto"/>
          <w:sz w:val="21"/>
          <w:szCs w:val="21"/>
          <w:highlight w:val="none"/>
        </w:rPr>
      </w:pPr>
      <w:r>
        <w:rPr>
          <w:rFonts w:hint="eastAsia"/>
          <w:color w:val="auto"/>
          <w:sz w:val="21"/>
          <w:szCs w:val="21"/>
          <w:highlight w:val="none"/>
        </w:rPr>
        <w:t>1</w:t>
      </w:r>
      <w:r>
        <w:rPr>
          <w:color w:val="auto"/>
          <w:sz w:val="21"/>
          <w:szCs w:val="21"/>
          <w:highlight w:val="none"/>
        </w:rPr>
        <w:t>.</w:t>
      </w:r>
      <w:r>
        <w:rPr>
          <w:rFonts w:hint="eastAsia"/>
          <w:color w:val="auto"/>
          <w:sz w:val="21"/>
          <w:szCs w:val="21"/>
          <w:highlight w:val="none"/>
        </w:rPr>
        <w:t>保证担保范围：承包人未按照主合同的约定履行义务，应当向贵方承担的违约责任和赔偿因此造成的损失、利息、律师费、诉讼费用等实现债权的费用。</w:t>
      </w:r>
    </w:p>
    <w:p>
      <w:pPr>
        <w:spacing w:line="360" w:lineRule="auto"/>
        <w:ind w:firstLine="420" w:firstLineChars="200"/>
        <w:rPr>
          <w:color w:val="auto"/>
          <w:sz w:val="21"/>
          <w:szCs w:val="21"/>
          <w:highlight w:val="none"/>
        </w:rPr>
      </w:pPr>
      <w:r>
        <w:rPr>
          <w:rFonts w:hint="eastAsia"/>
          <w:color w:val="auto"/>
          <w:sz w:val="21"/>
          <w:szCs w:val="21"/>
          <w:highlight w:val="none"/>
        </w:rPr>
        <w:t>2</w:t>
      </w:r>
      <w:r>
        <w:rPr>
          <w:color w:val="auto"/>
          <w:sz w:val="21"/>
          <w:szCs w:val="21"/>
          <w:highlight w:val="none"/>
        </w:rPr>
        <w:t>.</w:t>
      </w:r>
      <w:r>
        <w:rPr>
          <w:rFonts w:hint="eastAsia"/>
          <w:color w:val="auto"/>
          <w:sz w:val="21"/>
          <w:szCs w:val="21"/>
          <w:highlight w:val="none"/>
        </w:rPr>
        <w:t>保证担保金额最高不超过</w:t>
      </w:r>
      <w:r>
        <w:rPr>
          <w:color w:val="auto"/>
          <w:sz w:val="21"/>
          <w:szCs w:val="21"/>
          <w:highlight w:val="none"/>
        </w:rPr>
        <w:t>人民币（大写）</w:t>
      </w:r>
      <w:r>
        <w:rPr>
          <w:color w:val="auto"/>
          <w:sz w:val="21"/>
          <w:szCs w:val="21"/>
          <w:highlight w:val="none"/>
          <w:u w:val="single"/>
        </w:rPr>
        <w:t xml:space="preserve">          </w:t>
      </w:r>
      <w:r>
        <w:rPr>
          <w:color w:val="auto"/>
          <w:sz w:val="21"/>
          <w:szCs w:val="21"/>
          <w:highlight w:val="none"/>
        </w:rPr>
        <w:t>元（¥</w:t>
      </w:r>
      <w:r>
        <w:rPr>
          <w:color w:val="auto"/>
          <w:sz w:val="21"/>
          <w:szCs w:val="21"/>
          <w:highlight w:val="none"/>
          <w:u w:val="single"/>
        </w:rPr>
        <w:t xml:space="preserve">       </w:t>
      </w:r>
      <w:r>
        <w:rPr>
          <w:color w:val="auto"/>
          <w:sz w:val="21"/>
          <w:szCs w:val="21"/>
          <w:highlight w:val="none"/>
        </w:rPr>
        <w:t xml:space="preserve">）。 </w:t>
      </w:r>
    </w:p>
    <w:p>
      <w:pPr>
        <w:spacing w:line="360" w:lineRule="auto"/>
        <w:ind w:firstLine="422" w:firstLineChars="200"/>
        <w:rPr>
          <w:b/>
          <w:bCs/>
          <w:color w:val="auto"/>
          <w:sz w:val="21"/>
          <w:szCs w:val="21"/>
          <w:highlight w:val="none"/>
        </w:rPr>
      </w:pPr>
      <w:r>
        <w:rPr>
          <w:rFonts w:hint="eastAsia"/>
          <w:b/>
          <w:bCs/>
          <w:color w:val="auto"/>
          <w:sz w:val="21"/>
          <w:szCs w:val="21"/>
          <w:highlight w:val="none"/>
        </w:rPr>
        <w:t>二、保证担保的方式及保证期间</w:t>
      </w:r>
      <w:r>
        <w:rPr>
          <w:b/>
          <w:bCs/>
          <w:color w:val="auto"/>
          <w:sz w:val="21"/>
          <w:szCs w:val="21"/>
          <w:highlight w:val="none"/>
        </w:rPr>
        <w:t xml:space="preserve"> </w:t>
      </w:r>
    </w:p>
    <w:p>
      <w:pPr>
        <w:spacing w:line="360" w:lineRule="auto"/>
        <w:ind w:firstLine="420" w:firstLineChars="200"/>
        <w:rPr>
          <w:color w:val="auto"/>
          <w:sz w:val="21"/>
          <w:szCs w:val="21"/>
          <w:highlight w:val="none"/>
        </w:rPr>
      </w:pPr>
      <w:r>
        <w:rPr>
          <w:rFonts w:hint="eastAsia"/>
          <w:color w:val="auto"/>
          <w:sz w:val="21"/>
          <w:szCs w:val="21"/>
          <w:highlight w:val="none"/>
        </w:rPr>
        <w:t>1.保证担保方式：连带责任保证。</w:t>
      </w:r>
    </w:p>
    <w:p>
      <w:pPr>
        <w:spacing w:line="360" w:lineRule="auto"/>
        <w:ind w:firstLine="420" w:firstLineChars="200"/>
        <w:rPr>
          <w:color w:val="auto"/>
          <w:sz w:val="21"/>
          <w:szCs w:val="21"/>
          <w:highlight w:val="none"/>
        </w:rPr>
      </w:pPr>
      <w:r>
        <w:rPr>
          <w:rFonts w:hint="eastAsia"/>
          <w:color w:val="auto"/>
          <w:sz w:val="21"/>
          <w:szCs w:val="21"/>
          <w:highlight w:val="none"/>
        </w:rPr>
        <w:t>2</w:t>
      </w:r>
      <w:r>
        <w:rPr>
          <w:color w:val="auto"/>
          <w:sz w:val="21"/>
          <w:szCs w:val="21"/>
          <w:highlight w:val="none"/>
        </w:rPr>
        <w:t>.</w:t>
      </w:r>
      <w:r>
        <w:rPr>
          <w:rFonts w:hint="eastAsia"/>
          <w:color w:val="auto"/>
          <w:sz w:val="21"/>
          <w:szCs w:val="21"/>
          <w:highlight w:val="none"/>
        </w:rPr>
        <w:t>保证期间：</w:t>
      </w:r>
      <w:r>
        <w:rPr>
          <w:color w:val="auto"/>
          <w:sz w:val="21"/>
          <w:szCs w:val="21"/>
          <w:highlight w:val="none"/>
        </w:rPr>
        <w:t>自</w:t>
      </w:r>
      <w:r>
        <w:rPr>
          <w:rFonts w:hint="eastAsia"/>
          <w:color w:val="auto"/>
          <w:sz w:val="21"/>
          <w:szCs w:val="21"/>
          <w:highlight w:val="none"/>
        </w:rPr>
        <w:t>出具之日起</w:t>
      </w:r>
      <w:r>
        <w:rPr>
          <w:color w:val="auto"/>
          <w:sz w:val="21"/>
          <w:szCs w:val="21"/>
          <w:highlight w:val="none"/>
        </w:rPr>
        <w:t>至</w:t>
      </w:r>
      <w:r>
        <w:rPr>
          <w:rFonts w:hint="eastAsia"/>
          <w:color w:val="auto"/>
          <w:sz w:val="21"/>
          <w:szCs w:val="21"/>
          <w:highlight w:val="none"/>
        </w:rPr>
        <w:t>主合同约定的缺陷责任期</w:t>
      </w:r>
      <w:r>
        <w:rPr>
          <w:color w:val="auto"/>
          <w:sz w:val="21"/>
          <w:szCs w:val="21"/>
          <w:highlight w:val="none"/>
        </w:rPr>
        <w:t>后</w:t>
      </w:r>
      <w:r>
        <w:rPr>
          <w:color w:val="auto"/>
          <w:sz w:val="21"/>
          <w:szCs w:val="21"/>
          <w:highlight w:val="none"/>
          <w:u w:val="single"/>
        </w:rPr>
        <w:t xml:space="preserve">   </w:t>
      </w:r>
      <w:r>
        <w:rPr>
          <w:color w:val="auto"/>
          <w:sz w:val="21"/>
          <w:szCs w:val="21"/>
          <w:highlight w:val="none"/>
        </w:rPr>
        <w:t>日</w:t>
      </w:r>
      <w:r>
        <w:rPr>
          <w:rFonts w:hint="eastAsia"/>
          <w:color w:val="auto"/>
          <w:sz w:val="21"/>
          <w:szCs w:val="21"/>
          <w:highlight w:val="none"/>
        </w:rPr>
        <w:t>止，最迟不超过</w:t>
      </w:r>
      <w:r>
        <w:rPr>
          <w:rFonts w:hint="eastAsia"/>
          <w:color w:val="auto"/>
          <w:sz w:val="21"/>
          <w:szCs w:val="21"/>
          <w:highlight w:val="none"/>
          <w:u w:val="single"/>
        </w:rPr>
        <w:t xml:space="preserve"> </w:t>
      </w:r>
      <w:r>
        <w:rPr>
          <w:color w:val="auto"/>
          <w:sz w:val="21"/>
          <w:szCs w:val="21"/>
          <w:highlight w:val="none"/>
          <w:u w:val="single"/>
        </w:rPr>
        <w:t xml:space="preserve">   </w:t>
      </w:r>
      <w:r>
        <w:rPr>
          <w:rFonts w:hint="eastAsia"/>
          <w:color w:val="auto"/>
          <w:sz w:val="21"/>
          <w:szCs w:val="21"/>
          <w:highlight w:val="none"/>
        </w:rPr>
        <w:t>年</w:t>
      </w:r>
      <w:r>
        <w:rPr>
          <w:rFonts w:hint="eastAsia"/>
          <w:color w:val="auto"/>
          <w:sz w:val="21"/>
          <w:szCs w:val="21"/>
          <w:highlight w:val="none"/>
          <w:u w:val="single"/>
        </w:rPr>
        <w:t xml:space="preserve"> </w:t>
      </w:r>
      <w:r>
        <w:rPr>
          <w:color w:val="auto"/>
          <w:sz w:val="21"/>
          <w:szCs w:val="21"/>
          <w:highlight w:val="none"/>
          <w:u w:val="single"/>
        </w:rPr>
        <w:t xml:space="preserve">   </w:t>
      </w:r>
      <w:r>
        <w:rPr>
          <w:rFonts w:hint="eastAsia"/>
          <w:color w:val="auto"/>
          <w:sz w:val="21"/>
          <w:szCs w:val="21"/>
          <w:highlight w:val="none"/>
        </w:rPr>
        <w:t>月</w:t>
      </w:r>
      <w:r>
        <w:rPr>
          <w:rFonts w:hint="eastAsia"/>
          <w:color w:val="auto"/>
          <w:sz w:val="21"/>
          <w:szCs w:val="21"/>
          <w:highlight w:val="none"/>
          <w:u w:val="single"/>
        </w:rPr>
        <w:t xml:space="preserve"> </w:t>
      </w:r>
      <w:r>
        <w:rPr>
          <w:color w:val="auto"/>
          <w:sz w:val="21"/>
          <w:szCs w:val="21"/>
          <w:highlight w:val="none"/>
          <w:u w:val="single"/>
        </w:rPr>
        <w:t xml:space="preserve">   </w:t>
      </w:r>
      <w:r>
        <w:rPr>
          <w:rFonts w:hint="eastAsia"/>
          <w:color w:val="auto"/>
          <w:sz w:val="21"/>
          <w:szCs w:val="21"/>
          <w:highlight w:val="none"/>
        </w:rPr>
        <w:t>日</w:t>
      </w:r>
      <w:r>
        <w:rPr>
          <w:color w:val="auto"/>
          <w:sz w:val="21"/>
          <w:szCs w:val="21"/>
          <w:highlight w:val="none"/>
        </w:rPr>
        <w:t xml:space="preserve">。 </w:t>
      </w:r>
    </w:p>
    <w:p>
      <w:pPr>
        <w:spacing w:line="360" w:lineRule="auto"/>
        <w:ind w:firstLine="422" w:firstLineChars="200"/>
        <w:rPr>
          <w:b/>
          <w:bCs/>
          <w:color w:val="auto"/>
          <w:sz w:val="21"/>
          <w:szCs w:val="21"/>
          <w:highlight w:val="none"/>
        </w:rPr>
      </w:pPr>
      <w:r>
        <w:rPr>
          <w:rFonts w:hint="eastAsia"/>
          <w:b/>
          <w:bCs/>
          <w:color w:val="auto"/>
          <w:sz w:val="21"/>
          <w:szCs w:val="21"/>
          <w:highlight w:val="none"/>
        </w:rPr>
        <w:t>三、承担保证担保责任的形式</w:t>
      </w:r>
    </w:p>
    <w:p>
      <w:pPr>
        <w:spacing w:line="360" w:lineRule="auto"/>
        <w:ind w:firstLine="420" w:firstLineChars="200"/>
        <w:rPr>
          <w:color w:val="auto"/>
          <w:sz w:val="21"/>
          <w:szCs w:val="21"/>
          <w:highlight w:val="none"/>
        </w:rPr>
      </w:pPr>
      <w:r>
        <w:rPr>
          <w:rFonts w:hint="eastAsia"/>
          <w:color w:val="auto"/>
          <w:sz w:val="21"/>
          <w:szCs w:val="21"/>
          <w:highlight w:val="none"/>
        </w:rPr>
        <w:t>我方按照贵方的要求以下列方式之一承担保证担保责任：</w:t>
      </w:r>
      <w:r>
        <w:rPr>
          <w:color w:val="auto"/>
          <w:sz w:val="21"/>
          <w:szCs w:val="21"/>
          <w:highlight w:val="none"/>
        </w:rPr>
        <w:t xml:space="preserve"> </w:t>
      </w:r>
    </w:p>
    <w:p>
      <w:pPr>
        <w:spacing w:line="360" w:lineRule="auto"/>
        <w:ind w:firstLine="420" w:firstLineChars="200"/>
        <w:rPr>
          <w:color w:val="auto"/>
          <w:sz w:val="21"/>
          <w:szCs w:val="21"/>
          <w:highlight w:val="none"/>
        </w:rPr>
      </w:pPr>
      <w:r>
        <w:rPr>
          <w:rFonts w:hint="eastAsia"/>
          <w:color w:val="auto"/>
          <w:sz w:val="21"/>
          <w:szCs w:val="21"/>
          <w:highlight w:val="none"/>
        </w:rPr>
        <w:t>1.向承包人资金、设备或者技术援助，使其能继续履行合同义务；</w:t>
      </w:r>
    </w:p>
    <w:p>
      <w:pPr>
        <w:spacing w:line="360" w:lineRule="auto"/>
        <w:ind w:firstLine="420" w:firstLineChars="200"/>
        <w:rPr>
          <w:color w:val="auto"/>
          <w:sz w:val="21"/>
          <w:szCs w:val="21"/>
          <w:highlight w:val="none"/>
        </w:rPr>
      </w:pPr>
      <w:r>
        <w:rPr>
          <w:rFonts w:hint="eastAsia"/>
          <w:color w:val="auto"/>
          <w:sz w:val="21"/>
          <w:szCs w:val="21"/>
          <w:highlight w:val="none"/>
        </w:rPr>
        <w:t>2.直接接管该项工程或者委托经贵方同意的其他承包商，继续履行合同义务；</w:t>
      </w:r>
    </w:p>
    <w:p>
      <w:pPr>
        <w:spacing w:line="360" w:lineRule="auto"/>
        <w:ind w:firstLine="420" w:firstLineChars="200"/>
        <w:rPr>
          <w:color w:val="auto"/>
          <w:sz w:val="21"/>
          <w:szCs w:val="21"/>
          <w:highlight w:val="none"/>
        </w:rPr>
      </w:pPr>
      <w:r>
        <w:rPr>
          <w:rFonts w:hint="eastAsia"/>
          <w:color w:val="auto"/>
          <w:sz w:val="21"/>
          <w:szCs w:val="21"/>
          <w:highlight w:val="none"/>
        </w:rPr>
        <w:t>3.在保证担保金额最高限额内，按照合同约定，向贵方承担违约责任和赔偿因此造成的损失，以及利息和律师费、诉讼费用等实现债权的费用。</w:t>
      </w:r>
    </w:p>
    <w:p>
      <w:pPr>
        <w:spacing w:line="360" w:lineRule="auto"/>
        <w:ind w:firstLine="422" w:firstLineChars="200"/>
        <w:rPr>
          <w:b/>
          <w:bCs/>
          <w:color w:val="auto"/>
          <w:sz w:val="21"/>
          <w:szCs w:val="21"/>
          <w:highlight w:val="none"/>
        </w:rPr>
      </w:pPr>
      <w:r>
        <w:rPr>
          <w:rFonts w:hint="eastAsia"/>
          <w:b/>
          <w:bCs/>
          <w:color w:val="auto"/>
          <w:sz w:val="21"/>
          <w:szCs w:val="21"/>
          <w:highlight w:val="none"/>
        </w:rPr>
        <w:t>四、代偿的安排</w:t>
      </w:r>
      <w:r>
        <w:rPr>
          <w:b/>
          <w:bCs/>
          <w:color w:val="auto"/>
          <w:sz w:val="21"/>
          <w:szCs w:val="21"/>
          <w:highlight w:val="none"/>
        </w:rPr>
        <w:t xml:space="preserve"> </w:t>
      </w:r>
    </w:p>
    <w:p>
      <w:pPr>
        <w:spacing w:line="360" w:lineRule="auto"/>
        <w:ind w:firstLine="420" w:firstLineChars="200"/>
        <w:rPr>
          <w:color w:val="auto"/>
          <w:sz w:val="21"/>
          <w:szCs w:val="21"/>
          <w:highlight w:val="none"/>
        </w:rPr>
      </w:pPr>
      <w:r>
        <w:rPr>
          <w:rFonts w:hint="eastAsia"/>
          <w:color w:val="auto"/>
          <w:sz w:val="21"/>
          <w:szCs w:val="21"/>
          <w:highlight w:val="none"/>
        </w:rPr>
        <w:t>1.贵方要求我方承担保证责任的，应向我方发出书面索赔通知及承包人未履行主合同约定义务的证明材料。索赔通知应写明要求索赔的金额，支付款项应到达的帐号，并附有说明承包人违反主合同造成贵方损失情况的证明材料。</w:t>
      </w:r>
    </w:p>
    <w:p>
      <w:pPr>
        <w:spacing w:line="360" w:lineRule="auto"/>
        <w:ind w:firstLine="420" w:firstLineChars="200"/>
        <w:rPr>
          <w:color w:val="auto"/>
          <w:sz w:val="21"/>
          <w:szCs w:val="21"/>
          <w:highlight w:val="none"/>
        </w:rPr>
      </w:pPr>
      <w:r>
        <w:rPr>
          <w:rFonts w:hint="eastAsia"/>
          <w:color w:val="auto"/>
          <w:sz w:val="21"/>
          <w:szCs w:val="21"/>
          <w:highlight w:val="none"/>
        </w:rPr>
        <w:t>2.贵方以工程质量不符合主合同约定标准为由，向我方提出违约索赔的，还需同时提供符合相应条件要求的工程质量检测部门出具的质量说明材料。</w:t>
      </w:r>
    </w:p>
    <w:p>
      <w:pPr>
        <w:spacing w:line="360" w:lineRule="auto"/>
        <w:ind w:firstLine="420" w:firstLineChars="200"/>
        <w:rPr>
          <w:color w:val="auto"/>
          <w:sz w:val="21"/>
          <w:szCs w:val="21"/>
          <w:highlight w:val="none"/>
        </w:rPr>
      </w:pPr>
      <w:r>
        <w:rPr>
          <w:rFonts w:hint="eastAsia"/>
          <w:color w:val="auto"/>
          <w:sz w:val="21"/>
          <w:szCs w:val="21"/>
          <w:highlight w:val="none"/>
        </w:rPr>
        <w:t>3.我方收到贵方的书面索赔通知及相应证明材料后，在</w:t>
      </w:r>
      <w:r>
        <w:rPr>
          <w:color w:val="auto"/>
          <w:sz w:val="21"/>
          <w:szCs w:val="21"/>
          <w:highlight w:val="none"/>
          <w:u w:val="single"/>
        </w:rPr>
        <w:t xml:space="preserve">   </w:t>
      </w:r>
      <w:r>
        <w:rPr>
          <w:rFonts w:hint="eastAsia"/>
          <w:color w:val="auto"/>
          <w:sz w:val="21"/>
          <w:szCs w:val="21"/>
          <w:highlight w:val="none"/>
        </w:rPr>
        <w:t>工作日内进行核定后按照本保函的承诺承担保证责任。</w:t>
      </w:r>
    </w:p>
    <w:p>
      <w:pPr>
        <w:spacing w:line="360" w:lineRule="auto"/>
        <w:ind w:firstLine="422" w:firstLineChars="200"/>
        <w:rPr>
          <w:b/>
          <w:bCs/>
          <w:color w:val="auto"/>
          <w:sz w:val="21"/>
          <w:szCs w:val="21"/>
          <w:highlight w:val="none"/>
        </w:rPr>
      </w:pPr>
      <w:r>
        <w:rPr>
          <w:rFonts w:hint="eastAsia"/>
          <w:b/>
          <w:bCs/>
          <w:color w:val="auto"/>
          <w:sz w:val="21"/>
          <w:szCs w:val="21"/>
          <w:highlight w:val="none"/>
        </w:rPr>
        <w:t>五、保证担保责任的解除</w:t>
      </w:r>
      <w:r>
        <w:rPr>
          <w:b/>
          <w:bCs/>
          <w:color w:val="auto"/>
          <w:sz w:val="21"/>
          <w:szCs w:val="21"/>
          <w:highlight w:val="none"/>
        </w:rPr>
        <w:t xml:space="preserve"> </w:t>
      </w:r>
    </w:p>
    <w:p>
      <w:pPr>
        <w:spacing w:line="360" w:lineRule="auto"/>
        <w:ind w:firstLine="420" w:firstLineChars="200"/>
        <w:rPr>
          <w:color w:val="auto"/>
          <w:sz w:val="21"/>
          <w:szCs w:val="21"/>
          <w:highlight w:val="none"/>
        </w:rPr>
      </w:pPr>
      <w:r>
        <w:rPr>
          <w:rFonts w:hint="eastAsia"/>
          <w:color w:val="auto"/>
          <w:sz w:val="21"/>
          <w:szCs w:val="21"/>
          <w:highlight w:val="none"/>
        </w:rPr>
        <w:t>1.</w:t>
      </w:r>
      <w:r>
        <w:rPr>
          <w:color w:val="auto"/>
          <w:sz w:val="21"/>
          <w:szCs w:val="21"/>
          <w:highlight w:val="none"/>
        </w:rPr>
        <w:t xml:space="preserve">保证期间届满贵方未向我方书面主张保证责任的，自保证期间届满次日起，我方解除保证责任。 </w:t>
      </w:r>
    </w:p>
    <w:p>
      <w:pPr>
        <w:spacing w:line="360" w:lineRule="auto"/>
        <w:ind w:firstLine="420" w:firstLineChars="200"/>
        <w:rPr>
          <w:color w:val="auto"/>
          <w:sz w:val="21"/>
          <w:szCs w:val="21"/>
          <w:highlight w:val="none"/>
        </w:rPr>
      </w:pPr>
      <w:r>
        <w:rPr>
          <w:rFonts w:hint="eastAsia"/>
          <w:color w:val="auto"/>
          <w:sz w:val="21"/>
          <w:szCs w:val="21"/>
          <w:highlight w:val="none"/>
        </w:rPr>
        <w:t>2.</w:t>
      </w:r>
      <w:r>
        <w:rPr>
          <w:color w:val="auto"/>
          <w:sz w:val="21"/>
          <w:szCs w:val="21"/>
          <w:highlight w:val="none"/>
        </w:rPr>
        <w:t>我方按照本</w:t>
      </w:r>
      <w:r>
        <w:rPr>
          <w:rFonts w:hint="eastAsia"/>
          <w:color w:val="auto"/>
          <w:sz w:val="21"/>
          <w:szCs w:val="21"/>
          <w:highlight w:val="none"/>
        </w:rPr>
        <w:t>保证担保</w:t>
      </w:r>
      <w:r>
        <w:rPr>
          <w:color w:val="auto"/>
          <w:sz w:val="21"/>
          <w:szCs w:val="21"/>
          <w:highlight w:val="none"/>
        </w:rPr>
        <w:t>向贵方履行了</w:t>
      </w:r>
      <w:r>
        <w:rPr>
          <w:rFonts w:hint="eastAsia"/>
          <w:color w:val="auto"/>
          <w:sz w:val="21"/>
          <w:szCs w:val="21"/>
          <w:highlight w:val="none"/>
        </w:rPr>
        <w:t>保证担保责任</w:t>
      </w:r>
      <w:r>
        <w:rPr>
          <w:color w:val="auto"/>
          <w:sz w:val="21"/>
          <w:szCs w:val="21"/>
          <w:highlight w:val="none"/>
        </w:rPr>
        <w:t>后，自我方向贵方支付</w:t>
      </w:r>
      <w:r>
        <w:rPr>
          <w:rFonts w:hint="eastAsia"/>
          <w:color w:val="auto"/>
          <w:sz w:val="21"/>
          <w:szCs w:val="21"/>
          <w:highlight w:val="none"/>
        </w:rPr>
        <w:t>的金额达到最高保证担保金额</w:t>
      </w:r>
      <w:r>
        <w:rPr>
          <w:color w:val="auto"/>
          <w:sz w:val="21"/>
          <w:szCs w:val="21"/>
          <w:highlight w:val="none"/>
        </w:rPr>
        <w:t>之日起，</w:t>
      </w:r>
      <w:r>
        <w:rPr>
          <w:rFonts w:hint="eastAsia"/>
          <w:color w:val="auto"/>
          <w:sz w:val="21"/>
          <w:szCs w:val="21"/>
          <w:highlight w:val="none"/>
        </w:rPr>
        <w:t>保证担保责任</w:t>
      </w:r>
      <w:r>
        <w:rPr>
          <w:color w:val="auto"/>
          <w:sz w:val="21"/>
          <w:szCs w:val="21"/>
          <w:highlight w:val="none"/>
        </w:rPr>
        <w:t xml:space="preserve">解除。 </w:t>
      </w:r>
    </w:p>
    <w:p>
      <w:pPr>
        <w:spacing w:line="360" w:lineRule="auto"/>
        <w:ind w:firstLine="420" w:firstLineChars="200"/>
        <w:rPr>
          <w:color w:val="auto"/>
          <w:sz w:val="21"/>
          <w:szCs w:val="21"/>
          <w:highlight w:val="none"/>
        </w:rPr>
      </w:pPr>
      <w:r>
        <w:rPr>
          <w:rFonts w:hint="eastAsia"/>
          <w:color w:val="auto"/>
          <w:sz w:val="21"/>
          <w:szCs w:val="21"/>
          <w:highlight w:val="none"/>
        </w:rPr>
        <w:t>3.</w:t>
      </w:r>
      <w:r>
        <w:rPr>
          <w:color w:val="auto"/>
          <w:sz w:val="21"/>
          <w:szCs w:val="21"/>
          <w:highlight w:val="none"/>
        </w:rPr>
        <w:t>按照法律法规的规定应解除我方保证</w:t>
      </w:r>
      <w:r>
        <w:rPr>
          <w:rFonts w:hint="eastAsia"/>
          <w:color w:val="auto"/>
          <w:sz w:val="21"/>
          <w:szCs w:val="21"/>
          <w:highlight w:val="none"/>
        </w:rPr>
        <w:t>担保</w:t>
      </w:r>
      <w:r>
        <w:rPr>
          <w:color w:val="auto"/>
          <w:sz w:val="21"/>
          <w:szCs w:val="21"/>
          <w:highlight w:val="none"/>
        </w:rPr>
        <w:t>责任的其它情形的，我方在本保证担保项下的保证</w:t>
      </w:r>
      <w:r>
        <w:rPr>
          <w:rFonts w:hint="eastAsia"/>
          <w:color w:val="auto"/>
          <w:sz w:val="21"/>
          <w:szCs w:val="21"/>
          <w:highlight w:val="none"/>
        </w:rPr>
        <w:t>担保</w:t>
      </w:r>
      <w:r>
        <w:rPr>
          <w:color w:val="auto"/>
          <w:sz w:val="21"/>
          <w:szCs w:val="21"/>
          <w:highlight w:val="none"/>
        </w:rPr>
        <w:t xml:space="preserve">责任亦解除。 </w:t>
      </w:r>
    </w:p>
    <w:p>
      <w:pPr>
        <w:spacing w:line="360" w:lineRule="auto"/>
        <w:ind w:firstLine="420" w:firstLineChars="200"/>
        <w:rPr>
          <w:color w:val="auto"/>
          <w:sz w:val="21"/>
          <w:szCs w:val="21"/>
          <w:highlight w:val="none"/>
        </w:rPr>
      </w:pPr>
      <w:r>
        <w:rPr>
          <w:rFonts w:hint="eastAsia"/>
          <w:color w:val="auto"/>
          <w:sz w:val="21"/>
          <w:szCs w:val="21"/>
          <w:highlight w:val="none"/>
        </w:rPr>
        <w:t>4.我方解除保证责任后，贵方应按上述约定，自我方保证担保责任解除之日起七</w:t>
      </w:r>
      <w:r>
        <w:rPr>
          <w:color w:val="auto"/>
          <w:sz w:val="21"/>
          <w:szCs w:val="21"/>
          <w:highlight w:val="none"/>
        </w:rPr>
        <w:t>日内，将本保证担保原件返还我方。但是不论贵方是否按此要求将本保证担保</w:t>
      </w:r>
      <w:r>
        <w:rPr>
          <w:rFonts w:hint="eastAsia"/>
          <w:color w:val="auto"/>
          <w:sz w:val="21"/>
          <w:szCs w:val="21"/>
          <w:highlight w:val="none"/>
        </w:rPr>
        <w:t>原件</w:t>
      </w:r>
      <w:r>
        <w:rPr>
          <w:color w:val="auto"/>
          <w:sz w:val="21"/>
          <w:szCs w:val="21"/>
          <w:highlight w:val="none"/>
        </w:rPr>
        <w:t>退回我方，我方在本保证担保项下的义务和责任均</w:t>
      </w:r>
      <w:r>
        <w:rPr>
          <w:rFonts w:hint="eastAsia"/>
          <w:color w:val="auto"/>
          <w:sz w:val="21"/>
          <w:szCs w:val="21"/>
          <w:highlight w:val="none"/>
        </w:rPr>
        <w:t>自保证担保责任解除之日</w:t>
      </w:r>
      <w:r>
        <w:rPr>
          <w:color w:val="auto"/>
          <w:sz w:val="21"/>
          <w:szCs w:val="21"/>
          <w:highlight w:val="none"/>
        </w:rPr>
        <w:t>自动消灭。</w:t>
      </w:r>
    </w:p>
    <w:p>
      <w:pPr>
        <w:spacing w:line="360" w:lineRule="auto"/>
        <w:ind w:firstLine="422" w:firstLineChars="200"/>
        <w:rPr>
          <w:b/>
          <w:bCs/>
          <w:color w:val="auto"/>
          <w:sz w:val="21"/>
          <w:szCs w:val="21"/>
          <w:highlight w:val="none"/>
        </w:rPr>
      </w:pPr>
      <w:r>
        <w:rPr>
          <w:rFonts w:hint="eastAsia"/>
          <w:b/>
          <w:bCs/>
          <w:color w:val="auto"/>
          <w:sz w:val="21"/>
          <w:szCs w:val="21"/>
          <w:highlight w:val="none"/>
        </w:rPr>
        <w:t>六、免责条款</w:t>
      </w:r>
      <w:r>
        <w:rPr>
          <w:b/>
          <w:bCs/>
          <w:color w:val="auto"/>
          <w:sz w:val="21"/>
          <w:szCs w:val="21"/>
          <w:highlight w:val="none"/>
        </w:rPr>
        <w:t xml:space="preserve"> </w:t>
      </w:r>
    </w:p>
    <w:p>
      <w:pPr>
        <w:spacing w:line="360" w:lineRule="auto"/>
        <w:ind w:firstLine="420" w:firstLineChars="200"/>
        <w:rPr>
          <w:color w:val="auto"/>
          <w:sz w:val="21"/>
          <w:szCs w:val="21"/>
          <w:highlight w:val="none"/>
        </w:rPr>
      </w:pPr>
      <w:r>
        <w:rPr>
          <w:rFonts w:hint="eastAsia"/>
          <w:color w:val="auto"/>
          <w:sz w:val="21"/>
          <w:szCs w:val="21"/>
          <w:highlight w:val="none"/>
        </w:rPr>
        <w:t>1.</w:t>
      </w:r>
      <w:r>
        <w:rPr>
          <w:color w:val="auto"/>
          <w:sz w:val="21"/>
          <w:szCs w:val="21"/>
          <w:highlight w:val="none"/>
        </w:rPr>
        <w:t>因贵方</w:t>
      </w:r>
      <w:r>
        <w:rPr>
          <w:rFonts w:hint="eastAsia"/>
          <w:color w:val="auto"/>
          <w:sz w:val="21"/>
          <w:szCs w:val="21"/>
          <w:highlight w:val="none"/>
        </w:rPr>
        <w:t>原因</w:t>
      </w:r>
      <w:r>
        <w:rPr>
          <w:color w:val="auto"/>
          <w:sz w:val="21"/>
          <w:szCs w:val="21"/>
          <w:highlight w:val="none"/>
        </w:rPr>
        <w:t>致使</w:t>
      </w:r>
      <w:r>
        <w:rPr>
          <w:rFonts w:hint="eastAsia"/>
          <w:color w:val="auto"/>
          <w:sz w:val="21"/>
          <w:szCs w:val="21"/>
          <w:highlight w:val="none"/>
        </w:rPr>
        <w:t>承包人未按照主合同约定履行义务的</w:t>
      </w:r>
      <w:r>
        <w:rPr>
          <w:color w:val="auto"/>
          <w:sz w:val="21"/>
          <w:szCs w:val="21"/>
          <w:highlight w:val="none"/>
        </w:rPr>
        <w:t>，我方不承担保证</w:t>
      </w:r>
      <w:r>
        <w:rPr>
          <w:rFonts w:hint="eastAsia"/>
          <w:color w:val="auto"/>
          <w:sz w:val="21"/>
          <w:szCs w:val="21"/>
          <w:highlight w:val="none"/>
        </w:rPr>
        <w:t>担保</w:t>
      </w:r>
      <w:r>
        <w:rPr>
          <w:color w:val="auto"/>
          <w:sz w:val="21"/>
          <w:szCs w:val="21"/>
          <w:highlight w:val="none"/>
        </w:rPr>
        <w:t xml:space="preserve">责任。 </w:t>
      </w:r>
    </w:p>
    <w:p>
      <w:pPr>
        <w:spacing w:line="360" w:lineRule="auto"/>
        <w:ind w:firstLine="420" w:firstLineChars="200"/>
        <w:rPr>
          <w:color w:val="auto"/>
          <w:sz w:val="21"/>
          <w:szCs w:val="21"/>
          <w:highlight w:val="none"/>
        </w:rPr>
      </w:pPr>
      <w:r>
        <w:rPr>
          <w:rFonts w:hint="eastAsia"/>
          <w:color w:val="auto"/>
          <w:sz w:val="21"/>
          <w:szCs w:val="21"/>
          <w:highlight w:val="none"/>
        </w:rPr>
        <w:t>2.</w:t>
      </w:r>
      <w:r>
        <w:rPr>
          <w:color w:val="auto"/>
          <w:sz w:val="21"/>
          <w:szCs w:val="21"/>
          <w:highlight w:val="none"/>
        </w:rPr>
        <w:t>依照法律规定或贵方与</w:t>
      </w:r>
      <w:r>
        <w:rPr>
          <w:rFonts w:hint="eastAsia"/>
          <w:color w:val="auto"/>
          <w:sz w:val="21"/>
          <w:szCs w:val="21"/>
          <w:highlight w:val="none"/>
        </w:rPr>
        <w:t>发包</w:t>
      </w:r>
      <w:r>
        <w:rPr>
          <w:color w:val="auto"/>
          <w:sz w:val="21"/>
          <w:szCs w:val="21"/>
          <w:highlight w:val="none"/>
        </w:rPr>
        <w:t>人的另行约定，免除</w:t>
      </w:r>
      <w:r>
        <w:rPr>
          <w:rFonts w:hint="eastAsia"/>
          <w:color w:val="auto"/>
          <w:sz w:val="21"/>
          <w:szCs w:val="21"/>
          <w:highlight w:val="none"/>
        </w:rPr>
        <w:t>承包</w:t>
      </w:r>
      <w:r>
        <w:rPr>
          <w:color w:val="auto"/>
          <w:sz w:val="21"/>
          <w:szCs w:val="21"/>
          <w:highlight w:val="none"/>
        </w:rPr>
        <w:t>人部分或全部义务的，我方亦免除其相应的保证</w:t>
      </w:r>
      <w:r>
        <w:rPr>
          <w:rFonts w:hint="eastAsia"/>
          <w:color w:val="auto"/>
          <w:sz w:val="21"/>
          <w:szCs w:val="21"/>
          <w:highlight w:val="none"/>
        </w:rPr>
        <w:t>担保</w:t>
      </w:r>
      <w:r>
        <w:rPr>
          <w:color w:val="auto"/>
          <w:sz w:val="21"/>
          <w:szCs w:val="21"/>
          <w:highlight w:val="none"/>
        </w:rPr>
        <w:t xml:space="preserve">责任。 </w:t>
      </w:r>
    </w:p>
    <w:p>
      <w:pPr>
        <w:spacing w:line="360" w:lineRule="auto"/>
        <w:ind w:firstLine="420" w:firstLineChars="200"/>
        <w:rPr>
          <w:color w:val="auto"/>
          <w:sz w:val="21"/>
          <w:szCs w:val="21"/>
          <w:highlight w:val="none"/>
        </w:rPr>
      </w:pPr>
      <w:r>
        <w:rPr>
          <w:rFonts w:hint="eastAsia"/>
          <w:color w:val="auto"/>
          <w:sz w:val="21"/>
          <w:szCs w:val="21"/>
          <w:highlight w:val="none"/>
        </w:rPr>
        <w:t>3.</w:t>
      </w:r>
      <w:r>
        <w:rPr>
          <w:color w:val="auto"/>
          <w:sz w:val="21"/>
          <w:szCs w:val="21"/>
          <w:highlight w:val="none"/>
        </w:rPr>
        <w:t>因不可抗力造成</w:t>
      </w:r>
      <w:r>
        <w:rPr>
          <w:rFonts w:hint="eastAsia"/>
          <w:color w:val="auto"/>
          <w:sz w:val="21"/>
          <w:szCs w:val="21"/>
          <w:highlight w:val="none"/>
        </w:rPr>
        <w:t>承包人未按照主合同约定履行义务的</w:t>
      </w:r>
      <w:r>
        <w:rPr>
          <w:color w:val="auto"/>
          <w:sz w:val="21"/>
          <w:szCs w:val="21"/>
          <w:highlight w:val="none"/>
        </w:rPr>
        <w:t>，我方不承担保证</w:t>
      </w:r>
      <w:r>
        <w:rPr>
          <w:rFonts w:hint="eastAsia"/>
          <w:color w:val="auto"/>
          <w:sz w:val="21"/>
          <w:szCs w:val="21"/>
          <w:highlight w:val="none"/>
        </w:rPr>
        <w:t>担保</w:t>
      </w:r>
      <w:r>
        <w:rPr>
          <w:color w:val="auto"/>
          <w:sz w:val="21"/>
          <w:szCs w:val="21"/>
          <w:highlight w:val="none"/>
        </w:rPr>
        <w:t>责任。</w:t>
      </w:r>
    </w:p>
    <w:p>
      <w:pPr>
        <w:spacing w:line="360" w:lineRule="auto"/>
        <w:ind w:firstLine="422" w:firstLineChars="200"/>
        <w:rPr>
          <w:b/>
          <w:bCs/>
          <w:color w:val="auto"/>
          <w:sz w:val="21"/>
          <w:szCs w:val="21"/>
          <w:highlight w:val="none"/>
        </w:rPr>
      </w:pPr>
      <w:r>
        <w:rPr>
          <w:rFonts w:hint="eastAsia"/>
          <w:b/>
          <w:bCs/>
          <w:color w:val="auto"/>
          <w:sz w:val="21"/>
          <w:szCs w:val="21"/>
          <w:highlight w:val="none"/>
        </w:rPr>
        <w:t>七、其他</w:t>
      </w:r>
    </w:p>
    <w:p>
      <w:pPr>
        <w:spacing w:line="360" w:lineRule="auto"/>
        <w:ind w:firstLine="420" w:firstLineChars="200"/>
        <w:rPr>
          <w:color w:val="auto"/>
          <w:sz w:val="21"/>
          <w:szCs w:val="21"/>
          <w:highlight w:val="none"/>
        </w:rPr>
      </w:pPr>
      <w:r>
        <w:rPr>
          <w:rFonts w:hint="eastAsia"/>
          <w:color w:val="auto"/>
          <w:sz w:val="21"/>
          <w:szCs w:val="21"/>
          <w:highlight w:val="none"/>
        </w:rPr>
        <w:t>1.</w:t>
      </w:r>
      <w:r>
        <w:rPr>
          <w:color w:val="auto"/>
          <w:sz w:val="21"/>
          <w:szCs w:val="21"/>
          <w:highlight w:val="none"/>
        </w:rPr>
        <w:t>本保证担保项下的权利不得转让，不得设定担保。贵方未经我方书面同意转让本保证担保或其项下任何权利，</w:t>
      </w:r>
      <w:r>
        <w:rPr>
          <w:rFonts w:hint="eastAsia"/>
          <w:color w:val="auto"/>
          <w:sz w:val="21"/>
          <w:szCs w:val="21"/>
          <w:highlight w:val="none"/>
        </w:rPr>
        <w:t>对我方不发生法律效力</w:t>
      </w:r>
      <w:r>
        <w:rPr>
          <w:color w:val="auto"/>
          <w:sz w:val="21"/>
          <w:szCs w:val="21"/>
          <w:highlight w:val="none"/>
        </w:rPr>
        <w:t xml:space="preserve">。 </w:t>
      </w:r>
    </w:p>
    <w:p>
      <w:pPr>
        <w:spacing w:line="360" w:lineRule="auto"/>
        <w:ind w:firstLine="420" w:firstLineChars="200"/>
        <w:rPr>
          <w:color w:val="auto"/>
          <w:sz w:val="21"/>
          <w:szCs w:val="21"/>
          <w:highlight w:val="none"/>
        </w:rPr>
      </w:pPr>
      <w:r>
        <w:rPr>
          <w:rFonts w:hint="eastAsia"/>
          <w:color w:val="auto"/>
          <w:sz w:val="21"/>
          <w:szCs w:val="21"/>
          <w:highlight w:val="none"/>
        </w:rPr>
        <w:t>2</w:t>
      </w:r>
      <w:r>
        <w:rPr>
          <w:color w:val="auto"/>
          <w:sz w:val="21"/>
          <w:szCs w:val="21"/>
          <w:highlight w:val="none"/>
        </w:rPr>
        <w:t>.本</w:t>
      </w:r>
      <w:r>
        <w:rPr>
          <w:rFonts w:hint="eastAsia"/>
          <w:color w:val="auto"/>
          <w:sz w:val="21"/>
          <w:szCs w:val="21"/>
          <w:highlight w:val="none"/>
        </w:rPr>
        <w:t>保证担保适用的法律为中华人民共和国法律。对本担保保证存在争议的，按下列第</w:t>
      </w:r>
      <w:r>
        <w:rPr>
          <w:rFonts w:hint="eastAsia"/>
          <w:color w:val="auto"/>
          <w:sz w:val="21"/>
          <w:szCs w:val="21"/>
          <w:highlight w:val="none"/>
          <w:u w:val="single"/>
        </w:rPr>
        <w:t xml:space="preserve">        </w:t>
      </w:r>
      <w:r>
        <w:rPr>
          <w:rFonts w:hint="eastAsia"/>
          <w:color w:val="auto"/>
          <w:sz w:val="21"/>
          <w:szCs w:val="21"/>
          <w:highlight w:val="none"/>
        </w:rPr>
        <w:t>种方式解决。</w:t>
      </w:r>
    </w:p>
    <w:p>
      <w:pPr>
        <w:pStyle w:val="59"/>
        <w:spacing w:line="400" w:lineRule="exact"/>
        <w:ind w:left="0" w:firstLineChars="200"/>
        <w:rPr>
          <w:rFonts w:ascii="宋体" w:hAnsi="宋体"/>
          <w:color w:val="auto"/>
          <w:szCs w:val="21"/>
          <w:highlight w:val="none"/>
        </w:rPr>
      </w:pPr>
      <w:r>
        <w:rPr>
          <w:rFonts w:hint="eastAsia" w:ascii="宋体" w:hAnsi="宋体"/>
          <w:color w:val="auto"/>
          <w:szCs w:val="21"/>
          <w:highlight w:val="none"/>
        </w:rPr>
        <w:t>（1）向本工程所在地的人民法院提起诉讼。</w:t>
      </w:r>
    </w:p>
    <w:p>
      <w:pPr>
        <w:pStyle w:val="59"/>
        <w:spacing w:line="400" w:lineRule="exact"/>
        <w:ind w:left="0" w:firstLineChars="200"/>
        <w:rPr>
          <w:rFonts w:ascii="宋体" w:hAnsi="宋体"/>
          <w:color w:val="auto"/>
          <w:szCs w:val="21"/>
          <w:highlight w:val="none"/>
        </w:rPr>
      </w:pPr>
      <w:r>
        <w:rPr>
          <w:rFonts w:hint="eastAsia" w:ascii="宋体" w:hAnsi="宋体"/>
          <w:color w:val="auto"/>
          <w:szCs w:val="21"/>
          <w:highlight w:val="none"/>
        </w:rPr>
        <w:t>（2）向</w:t>
      </w:r>
      <w:r>
        <w:rPr>
          <w:rFonts w:hint="eastAsia" w:ascii="宋体" w:hAnsi="宋体"/>
          <w:color w:val="auto"/>
          <w:szCs w:val="21"/>
          <w:highlight w:val="none"/>
          <w:u w:val="single"/>
        </w:rPr>
        <w:t xml:space="preserve">      </w:t>
      </w:r>
      <w:r>
        <w:rPr>
          <w:rFonts w:hint="eastAsia" w:ascii="宋体" w:hAnsi="宋体"/>
          <w:color w:val="auto"/>
          <w:szCs w:val="21"/>
          <w:highlight w:val="none"/>
        </w:rPr>
        <w:t>仲裁委员会申请仲裁。</w:t>
      </w:r>
    </w:p>
    <w:p>
      <w:pPr>
        <w:spacing w:line="360" w:lineRule="auto"/>
        <w:ind w:firstLine="420" w:firstLineChars="200"/>
        <w:rPr>
          <w:color w:val="auto"/>
          <w:sz w:val="21"/>
          <w:szCs w:val="21"/>
          <w:highlight w:val="none"/>
        </w:rPr>
      </w:pPr>
      <w:r>
        <w:rPr>
          <w:rFonts w:hint="eastAsia"/>
          <w:color w:val="auto"/>
          <w:sz w:val="21"/>
          <w:szCs w:val="21"/>
          <w:highlight w:val="none"/>
        </w:rPr>
        <w:t>3</w:t>
      </w:r>
      <w:r>
        <w:rPr>
          <w:color w:val="auto"/>
          <w:sz w:val="21"/>
          <w:szCs w:val="21"/>
          <w:highlight w:val="none"/>
        </w:rPr>
        <w:t>.本</w:t>
      </w:r>
      <w:r>
        <w:rPr>
          <w:rFonts w:hint="eastAsia"/>
          <w:color w:val="auto"/>
          <w:sz w:val="21"/>
          <w:szCs w:val="21"/>
          <w:highlight w:val="none"/>
        </w:rPr>
        <w:t>保证担保</w:t>
      </w:r>
      <w:r>
        <w:rPr>
          <w:color w:val="auto"/>
          <w:sz w:val="21"/>
          <w:szCs w:val="21"/>
          <w:highlight w:val="none"/>
        </w:rPr>
        <w:t>自我方法定代表</w:t>
      </w:r>
      <w:r>
        <w:rPr>
          <w:rFonts w:hint="eastAsia"/>
          <w:color w:val="auto"/>
          <w:sz w:val="21"/>
          <w:szCs w:val="21"/>
          <w:highlight w:val="none"/>
        </w:rPr>
        <w:t>人或授权代表</w:t>
      </w:r>
      <w:r>
        <w:rPr>
          <w:color w:val="auto"/>
          <w:sz w:val="21"/>
          <w:szCs w:val="21"/>
          <w:highlight w:val="none"/>
        </w:rPr>
        <w:t>签字</w:t>
      </w:r>
      <w:r>
        <w:rPr>
          <w:rFonts w:hint="eastAsia"/>
          <w:color w:val="auto"/>
          <w:sz w:val="21"/>
          <w:szCs w:val="21"/>
          <w:highlight w:val="none"/>
        </w:rPr>
        <w:t>并</w:t>
      </w:r>
      <w:r>
        <w:rPr>
          <w:color w:val="auto"/>
          <w:sz w:val="21"/>
          <w:szCs w:val="21"/>
          <w:highlight w:val="none"/>
        </w:rPr>
        <w:t xml:space="preserve">加盖公章之日起生效。 </w:t>
      </w:r>
    </w:p>
    <w:p>
      <w:pPr>
        <w:spacing w:line="360" w:lineRule="auto"/>
        <w:ind w:firstLine="420" w:firstLineChars="200"/>
        <w:rPr>
          <w:color w:val="auto"/>
          <w:sz w:val="21"/>
          <w:szCs w:val="21"/>
          <w:highlight w:val="none"/>
        </w:rPr>
      </w:pPr>
      <w:r>
        <w:rPr>
          <w:rFonts w:hint="eastAsia"/>
          <w:color w:val="auto"/>
          <w:sz w:val="21"/>
          <w:szCs w:val="21"/>
          <w:highlight w:val="none"/>
        </w:rPr>
        <w:t>保 证 人</w:t>
      </w:r>
      <w:r>
        <w:rPr>
          <w:color w:val="auto"/>
          <w:sz w:val="21"/>
          <w:szCs w:val="21"/>
          <w:highlight w:val="none"/>
        </w:rPr>
        <w:t xml:space="preserve">：                 </w:t>
      </w:r>
      <w:r>
        <w:rPr>
          <w:rFonts w:hint="eastAsia"/>
          <w:color w:val="auto"/>
          <w:sz w:val="21"/>
          <w:szCs w:val="21"/>
          <w:highlight w:val="none"/>
        </w:rPr>
        <w:t xml:space="preserve">             （公</w:t>
      </w:r>
      <w:r>
        <w:rPr>
          <w:color w:val="auto"/>
          <w:sz w:val="21"/>
          <w:szCs w:val="21"/>
          <w:highlight w:val="none"/>
        </w:rPr>
        <w:t xml:space="preserve">章） </w:t>
      </w:r>
    </w:p>
    <w:p>
      <w:pPr>
        <w:spacing w:line="360" w:lineRule="auto"/>
        <w:ind w:firstLine="420" w:firstLineChars="200"/>
        <w:rPr>
          <w:color w:val="auto"/>
          <w:sz w:val="21"/>
          <w:szCs w:val="21"/>
          <w:highlight w:val="none"/>
        </w:rPr>
      </w:pPr>
      <w:r>
        <w:rPr>
          <w:rFonts w:hint="eastAsia"/>
          <w:color w:val="auto"/>
          <w:sz w:val="21"/>
          <w:szCs w:val="21"/>
          <w:highlight w:val="none"/>
        </w:rPr>
        <w:t>法定代表人（或授权代表）：</w:t>
      </w:r>
      <w:r>
        <w:rPr>
          <w:color w:val="auto"/>
          <w:sz w:val="21"/>
          <w:szCs w:val="21"/>
          <w:highlight w:val="none"/>
        </w:rPr>
        <w:t xml:space="preserve">               （签字） </w:t>
      </w:r>
    </w:p>
    <w:p>
      <w:pPr>
        <w:spacing w:line="360" w:lineRule="auto"/>
        <w:ind w:firstLine="420" w:firstLineChars="200"/>
        <w:rPr>
          <w:color w:val="auto"/>
          <w:sz w:val="21"/>
          <w:szCs w:val="21"/>
          <w:highlight w:val="none"/>
        </w:rPr>
      </w:pPr>
      <w:r>
        <w:rPr>
          <w:rFonts w:hint="eastAsia"/>
          <w:color w:val="auto"/>
          <w:sz w:val="21"/>
          <w:szCs w:val="21"/>
          <w:highlight w:val="none"/>
        </w:rPr>
        <w:t>地</w:t>
      </w:r>
      <w:r>
        <w:rPr>
          <w:color w:val="auto"/>
          <w:sz w:val="21"/>
          <w:szCs w:val="21"/>
          <w:highlight w:val="none"/>
        </w:rPr>
        <w:t xml:space="preserve">    址：                                       </w:t>
      </w:r>
    </w:p>
    <w:p>
      <w:pPr>
        <w:spacing w:line="360" w:lineRule="auto"/>
        <w:ind w:firstLine="420" w:firstLineChars="200"/>
        <w:rPr>
          <w:color w:val="auto"/>
          <w:sz w:val="21"/>
          <w:szCs w:val="21"/>
          <w:highlight w:val="none"/>
        </w:rPr>
      </w:pPr>
      <w:r>
        <w:rPr>
          <w:rFonts w:hint="eastAsia"/>
          <w:color w:val="auto"/>
          <w:sz w:val="21"/>
          <w:szCs w:val="21"/>
          <w:highlight w:val="none"/>
        </w:rPr>
        <w:t>邮政编码：</w:t>
      </w:r>
      <w:r>
        <w:rPr>
          <w:color w:val="auto"/>
          <w:sz w:val="21"/>
          <w:szCs w:val="21"/>
          <w:highlight w:val="none"/>
        </w:rPr>
        <w:t xml:space="preserve">                 </w:t>
      </w:r>
    </w:p>
    <w:p>
      <w:pPr>
        <w:spacing w:line="360" w:lineRule="auto"/>
        <w:ind w:firstLine="420" w:firstLineChars="200"/>
        <w:rPr>
          <w:color w:val="auto"/>
          <w:sz w:val="21"/>
          <w:szCs w:val="21"/>
          <w:highlight w:val="none"/>
        </w:rPr>
      </w:pPr>
      <w:r>
        <w:rPr>
          <w:rFonts w:hint="eastAsia"/>
          <w:color w:val="auto"/>
          <w:sz w:val="21"/>
          <w:szCs w:val="21"/>
          <w:highlight w:val="none"/>
        </w:rPr>
        <w:t>电</w:t>
      </w:r>
      <w:r>
        <w:rPr>
          <w:color w:val="auto"/>
          <w:sz w:val="21"/>
          <w:szCs w:val="21"/>
          <w:highlight w:val="none"/>
        </w:rPr>
        <w:t xml:space="preserve">    话：                 </w:t>
      </w:r>
    </w:p>
    <w:p>
      <w:pPr>
        <w:spacing w:line="360" w:lineRule="auto"/>
        <w:ind w:firstLine="420" w:firstLineChars="200"/>
        <w:rPr>
          <w:color w:val="auto"/>
          <w:sz w:val="21"/>
          <w:szCs w:val="21"/>
          <w:highlight w:val="none"/>
        </w:rPr>
      </w:pPr>
      <w:r>
        <w:rPr>
          <w:rFonts w:hint="eastAsia"/>
          <w:color w:val="auto"/>
          <w:sz w:val="21"/>
          <w:szCs w:val="21"/>
          <w:highlight w:val="none"/>
        </w:rPr>
        <w:t>传</w:t>
      </w:r>
      <w:r>
        <w:rPr>
          <w:color w:val="auto"/>
          <w:sz w:val="21"/>
          <w:szCs w:val="21"/>
          <w:highlight w:val="none"/>
        </w:rPr>
        <w:t xml:space="preserve">    真：                 </w:t>
      </w:r>
    </w:p>
    <w:p>
      <w:pPr>
        <w:spacing w:line="360" w:lineRule="auto"/>
        <w:ind w:firstLine="420" w:firstLineChars="200"/>
        <w:rPr>
          <w:color w:val="auto"/>
          <w:sz w:val="21"/>
          <w:szCs w:val="21"/>
          <w:highlight w:val="none"/>
        </w:rPr>
      </w:pPr>
      <w:r>
        <w:rPr>
          <w:rFonts w:hint="eastAsia"/>
          <w:color w:val="auto"/>
          <w:sz w:val="21"/>
          <w:szCs w:val="21"/>
          <w:highlight w:val="none"/>
        </w:rPr>
        <w:t xml:space="preserve">时 </w:t>
      </w:r>
      <w:r>
        <w:rPr>
          <w:color w:val="auto"/>
          <w:sz w:val="21"/>
          <w:szCs w:val="21"/>
          <w:highlight w:val="none"/>
        </w:rPr>
        <w:t xml:space="preserve">   </w:t>
      </w:r>
      <w:r>
        <w:rPr>
          <w:rFonts w:hint="eastAsia"/>
          <w:color w:val="auto"/>
          <w:sz w:val="21"/>
          <w:szCs w:val="21"/>
          <w:highlight w:val="none"/>
        </w:rPr>
        <w:t>间：</w:t>
      </w:r>
      <w:r>
        <w:rPr>
          <w:color w:val="auto"/>
          <w:sz w:val="21"/>
          <w:szCs w:val="21"/>
          <w:highlight w:val="none"/>
        </w:rPr>
        <w:t xml:space="preserve">      年      月        日</w:t>
      </w:r>
    </w:p>
    <w:p>
      <w:pPr>
        <w:adjustRightInd w:val="0"/>
        <w:spacing w:afterLines="50"/>
        <w:jc w:val="left"/>
        <w:textAlignment w:val="baseline"/>
        <w:outlineLvl w:val="3"/>
        <w:rPr>
          <w:rFonts w:cs="宋体"/>
          <w:color w:val="auto"/>
          <w:sz w:val="24"/>
          <w:szCs w:val="24"/>
          <w:highlight w:val="none"/>
        </w:rPr>
      </w:pPr>
      <w:r>
        <w:rPr>
          <w:rFonts w:hint="eastAsia" w:cs="宋体"/>
          <w:b/>
          <w:bCs/>
          <w:color w:val="auto"/>
          <w:sz w:val="21"/>
          <w:szCs w:val="21"/>
          <w:highlight w:val="none"/>
        </w:rPr>
        <w:t>备注：</w:t>
      </w:r>
      <w:r>
        <w:rPr>
          <w:rFonts w:hint="eastAsia" w:cs="宋体"/>
          <w:color w:val="auto"/>
          <w:sz w:val="21"/>
          <w:szCs w:val="21"/>
          <w:highlight w:val="none"/>
        </w:rPr>
        <w:t>本履约担保格式可以采用经发包人同意的其他格式，但相关内容不得违背合同约定的实质性内容</w:t>
      </w:r>
      <w:r>
        <w:rPr>
          <w:rFonts w:hint="eastAsia" w:cs="宋体"/>
          <w:color w:val="auto"/>
          <w:sz w:val="24"/>
          <w:szCs w:val="24"/>
          <w:highlight w:val="none"/>
        </w:rPr>
        <w:t>。</w:t>
      </w:r>
    </w:p>
    <w:p>
      <w:pPr>
        <w:adjustRightInd w:val="0"/>
        <w:spacing w:line="300" w:lineRule="auto"/>
        <w:ind w:left="1519" w:hanging="1519" w:hangingChars="633"/>
        <w:textAlignment w:val="baseline"/>
        <w:rPr>
          <w:rFonts w:cs="宋体"/>
          <w:color w:val="auto"/>
          <w:sz w:val="24"/>
          <w:szCs w:val="24"/>
          <w:highlight w:val="none"/>
        </w:rPr>
      </w:pPr>
      <w:r>
        <w:rPr>
          <w:rFonts w:hint="eastAsia" w:cs="宋体"/>
          <w:color w:val="auto"/>
          <w:sz w:val="24"/>
          <w:szCs w:val="24"/>
          <w:highlight w:val="none"/>
        </w:rPr>
        <w:t xml:space="preserve"> </w:t>
      </w:r>
    </w:p>
    <w:p>
      <w:pPr>
        <w:adjustRightInd w:val="0"/>
        <w:spacing w:afterLines="50"/>
        <w:jc w:val="left"/>
        <w:textAlignment w:val="baseline"/>
        <w:outlineLvl w:val="3"/>
        <w:rPr>
          <w:rFonts w:cs="宋体"/>
          <w:color w:val="auto"/>
          <w:sz w:val="11"/>
          <w:szCs w:val="11"/>
          <w:highlight w:val="none"/>
        </w:rPr>
      </w:pPr>
      <w:bookmarkStart w:id="1446" w:name="_Toc63471496"/>
      <w:bookmarkEnd w:id="1446"/>
      <w:bookmarkStart w:id="1447" w:name="_Toc63471499"/>
      <w:bookmarkEnd w:id="1447"/>
    </w:p>
    <w:p>
      <w:pPr>
        <w:adjustRightInd w:val="0"/>
        <w:spacing w:afterLines="50"/>
        <w:jc w:val="left"/>
        <w:textAlignment w:val="baseline"/>
        <w:outlineLvl w:val="3"/>
        <w:rPr>
          <w:rFonts w:ascii="黑体" w:eastAsia="黑体" w:cs="黑体"/>
          <w:color w:val="auto"/>
          <w:sz w:val="21"/>
          <w:szCs w:val="21"/>
          <w:highlight w:val="none"/>
        </w:rPr>
      </w:pPr>
      <w:r>
        <w:rPr>
          <w:rFonts w:hint="eastAsia" w:ascii="黑体" w:eastAsia="黑体" w:cs="黑体"/>
          <w:color w:val="auto"/>
          <w:sz w:val="21"/>
          <w:szCs w:val="21"/>
          <w:highlight w:val="none"/>
        </w:rPr>
        <w:t>附</w:t>
      </w:r>
      <w:bookmarkStart w:id="1448" w:name="_Toc296503233"/>
      <w:bookmarkEnd w:id="1448"/>
      <w:bookmarkStart w:id="1449" w:name="_Toc296891273"/>
      <w:bookmarkEnd w:id="1449"/>
      <w:bookmarkStart w:id="1450" w:name="_Toc296346734"/>
      <w:bookmarkEnd w:id="1450"/>
      <w:bookmarkStart w:id="1451" w:name="_Toc296891061"/>
      <w:bookmarkEnd w:id="1451"/>
      <w:bookmarkStart w:id="1452" w:name="_Toc296347232"/>
      <w:bookmarkEnd w:id="1452"/>
      <w:bookmarkStart w:id="1453" w:name="_Toc296944572"/>
      <w:r>
        <w:rPr>
          <w:rFonts w:hint="eastAsia" w:ascii="黑体" w:eastAsia="黑体" w:cs="黑体"/>
          <w:color w:val="auto"/>
          <w:sz w:val="21"/>
          <w:szCs w:val="21"/>
          <w:highlight w:val="none"/>
        </w:rPr>
        <w:t xml:space="preserve">件9:  </w:t>
      </w:r>
      <w:bookmarkEnd w:id="1453"/>
    </w:p>
    <w:p>
      <w:pPr>
        <w:spacing w:line="360" w:lineRule="auto"/>
        <w:jc w:val="center"/>
        <w:rPr>
          <w:b/>
          <w:bCs/>
          <w:color w:val="auto"/>
          <w:sz w:val="21"/>
          <w:szCs w:val="21"/>
          <w:highlight w:val="none"/>
        </w:rPr>
      </w:pPr>
      <w:r>
        <w:rPr>
          <w:rFonts w:hint="eastAsia"/>
          <w:b/>
          <w:bCs/>
          <w:color w:val="auto"/>
          <w:sz w:val="21"/>
          <w:szCs w:val="21"/>
          <w:highlight w:val="none"/>
        </w:rPr>
        <w:t>支付保函示范文本</w:t>
      </w:r>
    </w:p>
    <w:p>
      <w:pPr>
        <w:spacing w:line="360" w:lineRule="auto"/>
        <w:jc w:val="center"/>
        <w:rPr>
          <w:color w:val="auto"/>
          <w:sz w:val="21"/>
          <w:szCs w:val="21"/>
          <w:highlight w:val="none"/>
        </w:rPr>
      </w:pPr>
      <w:r>
        <w:rPr>
          <w:rFonts w:hint="eastAsia"/>
          <w:color w:val="auto"/>
          <w:sz w:val="21"/>
          <w:szCs w:val="21"/>
          <w:highlight w:val="none"/>
        </w:rPr>
        <w:t>（非独立保函）</w:t>
      </w:r>
    </w:p>
    <w:p>
      <w:pPr>
        <w:wordWrap w:val="0"/>
        <w:spacing w:line="360" w:lineRule="auto"/>
        <w:jc w:val="center"/>
        <w:rPr>
          <w:color w:val="auto"/>
          <w:sz w:val="21"/>
          <w:szCs w:val="21"/>
          <w:highlight w:val="none"/>
        </w:rPr>
      </w:pPr>
      <w:r>
        <w:rPr>
          <w:rFonts w:hint="eastAsia"/>
          <w:color w:val="auto"/>
          <w:sz w:val="21"/>
          <w:szCs w:val="21"/>
          <w:highlight w:val="none"/>
        </w:rPr>
        <w:t xml:space="preserve">                                                   编号： </w:t>
      </w:r>
      <w:r>
        <w:rPr>
          <w:color w:val="auto"/>
          <w:sz w:val="21"/>
          <w:szCs w:val="21"/>
          <w:highlight w:val="none"/>
        </w:rPr>
        <w:t xml:space="preserve">     </w:t>
      </w:r>
    </w:p>
    <w:p>
      <w:pPr>
        <w:wordWrap w:val="0"/>
        <w:spacing w:line="360" w:lineRule="auto"/>
        <w:ind w:right="420"/>
        <w:jc w:val="center"/>
        <w:rPr>
          <w:color w:val="auto"/>
          <w:sz w:val="21"/>
          <w:szCs w:val="21"/>
          <w:highlight w:val="none"/>
        </w:rPr>
      </w:pPr>
      <w:r>
        <w:rPr>
          <w:color w:val="auto"/>
          <w:sz w:val="21"/>
          <w:szCs w:val="21"/>
          <w:highlight w:val="none"/>
        </w:rPr>
        <w:t xml:space="preserve">     </w:t>
      </w:r>
    </w:p>
    <w:p>
      <w:pPr>
        <w:spacing w:line="360" w:lineRule="auto"/>
        <w:rPr>
          <w:color w:val="auto"/>
          <w:sz w:val="21"/>
          <w:szCs w:val="21"/>
          <w:highlight w:val="none"/>
        </w:rPr>
      </w:pPr>
      <w:r>
        <w:rPr>
          <w:rFonts w:hint="eastAsia"/>
          <w:color w:val="auto"/>
          <w:sz w:val="21"/>
          <w:szCs w:val="21"/>
          <w:highlight w:val="none"/>
        </w:rPr>
        <w:t>发包人：</w:t>
      </w:r>
    </w:p>
    <w:p>
      <w:pPr>
        <w:spacing w:line="360" w:lineRule="auto"/>
        <w:rPr>
          <w:color w:val="auto"/>
          <w:sz w:val="21"/>
          <w:szCs w:val="21"/>
          <w:highlight w:val="none"/>
        </w:rPr>
      </w:pPr>
      <w:r>
        <w:rPr>
          <w:rFonts w:hint="eastAsia"/>
          <w:color w:val="auto"/>
          <w:sz w:val="21"/>
          <w:szCs w:val="21"/>
          <w:highlight w:val="none"/>
        </w:rPr>
        <w:t>地址</w:t>
      </w:r>
      <w:r>
        <w:rPr>
          <w:color w:val="auto"/>
          <w:sz w:val="21"/>
          <w:szCs w:val="21"/>
          <w:highlight w:val="none"/>
        </w:rPr>
        <w:t>：</w:t>
      </w:r>
    </w:p>
    <w:p>
      <w:pPr>
        <w:spacing w:line="360" w:lineRule="auto"/>
        <w:rPr>
          <w:color w:val="auto"/>
          <w:sz w:val="21"/>
          <w:szCs w:val="21"/>
          <w:highlight w:val="none"/>
        </w:rPr>
      </w:pPr>
      <w:r>
        <w:rPr>
          <w:rFonts w:hint="eastAsia"/>
          <w:color w:val="auto"/>
          <w:sz w:val="21"/>
          <w:szCs w:val="21"/>
          <w:highlight w:val="none"/>
        </w:rPr>
        <w:t>担保权人/承包人：</w:t>
      </w:r>
      <w:r>
        <w:rPr>
          <w:color w:val="auto"/>
          <w:sz w:val="21"/>
          <w:szCs w:val="21"/>
          <w:highlight w:val="none"/>
        </w:rPr>
        <w:t xml:space="preserve"> </w:t>
      </w:r>
    </w:p>
    <w:p>
      <w:pPr>
        <w:spacing w:line="360" w:lineRule="auto"/>
        <w:rPr>
          <w:color w:val="auto"/>
          <w:sz w:val="21"/>
          <w:szCs w:val="21"/>
          <w:highlight w:val="none"/>
        </w:rPr>
      </w:pPr>
      <w:r>
        <w:rPr>
          <w:rFonts w:hint="eastAsia"/>
          <w:color w:val="auto"/>
          <w:sz w:val="21"/>
          <w:szCs w:val="21"/>
          <w:highlight w:val="none"/>
        </w:rPr>
        <w:t>地址：</w:t>
      </w:r>
    </w:p>
    <w:p>
      <w:pPr>
        <w:spacing w:line="360" w:lineRule="auto"/>
        <w:rPr>
          <w:color w:val="auto"/>
          <w:sz w:val="21"/>
          <w:szCs w:val="21"/>
          <w:highlight w:val="none"/>
        </w:rPr>
      </w:pPr>
      <w:r>
        <w:rPr>
          <w:rFonts w:hint="eastAsia"/>
          <w:color w:val="auto"/>
          <w:sz w:val="21"/>
          <w:szCs w:val="21"/>
          <w:highlight w:val="none"/>
        </w:rPr>
        <w:t>保证人：</w:t>
      </w:r>
    </w:p>
    <w:p>
      <w:pPr>
        <w:spacing w:line="360" w:lineRule="auto"/>
        <w:rPr>
          <w:color w:val="auto"/>
          <w:sz w:val="21"/>
          <w:szCs w:val="21"/>
          <w:highlight w:val="none"/>
        </w:rPr>
      </w:pPr>
      <w:r>
        <w:rPr>
          <w:rFonts w:hint="eastAsia"/>
          <w:color w:val="auto"/>
          <w:sz w:val="21"/>
          <w:szCs w:val="21"/>
          <w:highlight w:val="none"/>
        </w:rPr>
        <w:t>地址：</w:t>
      </w:r>
    </w:p>
    <w:p>
      <w:pPr>
        <w:spacing w:line="360" w:lineRule="auto"/>
        <w:rPr>
          <w:color w:val="auto"/>
          <w:sz w:val="21"/>
          <w:szCs w:val="21"/>
          <w:highlight w:val="none"/>
        </w:rPr>
      </w:pPr>
      <w:r>
        <w:rPr>
          <w:color w:val="auto"/>
          <w:sz w:val="21"/>
          <w:szCs w:val="21"/>
          <w:highlight w:val="none"/>
          <w:u w:val="single"/>
        </w:rPr>
        <w:t xml:space="preserve">              </w:t>
      </w:r>
      <w:r>
        <w:rPr>
          <w:color w:val="auto"/>
          <w:sz w:val="21"/>
          <w:szCs w:val="21"/>
          <w:highlight w:val="none"/>
        </w:rPr>
        <w:t>（</w:t>
      </w:r>
      <w:r>
        <w:rPr>
          <w:rFonts w:hint="eastAsia"/>
          <w:color w:val="auto"/>
          <w:sz w:val="21"/>
          <w:szCs w:val="21"/>
          <w:highlight w:val="none"/>
        </w:rPr>
        <w:t>承包人</w:t>
      </w:r>
      <w:r>
        <w:rPr>
          <w:color w:val="auto"/>
          <w:sz w:val="21"/>
          <w:szCs w:val="21"/>
          <w:highlight w:val="none"/>
        </w:rPr>
        <w:t xml:space="preserve">名称）： </w:t>
      </w:r>
    </w:p>
    <w:p>
      <w:pPr>
        <w:spacing w:line="360" w:lineRule="auto"/>
        <w:ind w:firstLine="420" w:firstLineChars="200"/>
        <w:rPr>
          <w:color w:val="auto"/>
          <w:sz w:val="21"/>
          <w:szCs w:val="21"/>
          <w:highlight w:val="none"/>
        </w:rPr>
      </w:pPr>
      <w:r>
        <w:rPr>
          <w:rFonts w:hint="eastAsia"/>
          <w:color w:val="auto"/>
          <w:sz w:val="21"/>
          <w:szCs w:val="21"/>
          <w:highlight w:val="none"/>
        </w:rPr>
        <w:t>鉴于</w:t>
      </w:r>
      <w:r>
        <w:rPr>
          <w:color w:val="auto"/>
          <w:sz w:val="21"/>
          <w:szCs w:val="21"/>
          <w:highlight w:val="none"/>
          <w:u w:val="single"/>
        </w:rPr>
        <w:t xml:space="preserve">        </w:t>
      </w:r>
      <w:r>
        <w:rPr>
          <w:color w:val="auto"/>
          <w:sz w:val="21"/>
          <w:szCs w:val="21"/>
          <w:highlight w:val="none"/>
        </w:rPr>
        <w:t>（以下简称“</w:t>
      </w:r>
      <w:r>
        <w:rPr>
          <w:rFonts w:hint="eastAsia"/>
          <w:color w:val="auto"/>
          <w:sz w:val="21"/>
          <w:szCs w:val="21"/>
          <w:highlight w:val="none"/>
        </w:rPr>
        <w:t>发包人</w:t>
      </w:r>
      <w:r>
        <w:rPr>
          <w:color w:val="auto"/>
          <w:sz w:val="21"/>
          <w:szCs w:val="21"/>
          <w:highlight w:val="none"/>
        </w:rPr>
        <w:t>”）</w:t>
      </w:r>
      <w:r>
        <w:rPr>
          <w:rFonts w:hint="eastAsia"/>
          <w:color w:val="auto"/>
          <w:sz w:val="21"/>
          <w:szCs w:val="21"/>
          <w:highlight w:val="none"/>
        </w:rPr>
        <w:t>与</w:t>
      </w:r>
      <w:r>
        <w:rPr>
          <w:rFonts w:hint="eastAsia"/>
          <w:color w:val="auto"/>
          <w:sz w:val="21"/>
          <w:szCs w:val="21"/>
          <w:highlight w:val="none"/>
          <w:u w:val="single"/>
        </w:rPr>
        <w:t xml:space="preserve"> </w:t>
      </w:r>
      <w:r>
        <w:rPr>
          <w:color w:val="auto"/>
          <w:sz w:val="21"/>
          <w:szCs w:val="21"/>
          <w:highlight w:val="none"/>
          <w:u w:val="single"/>
        </w:rPr>
        <w:t xml:space="preserve">        </w:t>
      </w:r>
      <w:r>
        <w:rPr>
          <w:color w:val="auto"/>
          <w:sz w:val="21"/>
          <w:szCs w:val="21"/>
          <w:highlight w:val="none"/>
        </w:rPr>
        <w:t>（以下简称“</w:t>
      </w:r>
      <w:r>
        <w:rPr>
          <w:rFonts w:hint="eastAsia"/>
          <w:color w:val="auto"/>
          <w:sz w:val="21"/>
          <w:szCs w:val="21"/>
          <w:highlight w:val="none"/>
        </w:rPr>
        <w:t>承包人</w:t>
      </w:r>
      <w:r>
        <w:rPr>
          <w:color w:val="auto"/>
          <w:sz w:val="21"/>
          <w:szCs w:val="21"/>
          <w:highlight w:val="none"/>
        </w:rPr>
        <w:t>”）</w:t>
      </w:r>
      <w:r>
        <w:rPr>
          <w:rFonts w:hint="eastAsia"/>
          <w:color w:val="auto"/>
          <w:sz w:val="21"/>
          <w:szCs w:val="21"/>
          <w:highlight w:val="none"/>
        </w:rPr>
        <w:t>于</w:t>
      </w:r>
      <w:r>
        <w:rPr>
          <w:rFonts w:hint="eastAsia"/>
          <w:color w:val="auto"/>
          <w:sz w:val="21"/>
          <w:szCs w:val="21"/>
          <w:highlight w:val="none"/>
          <w:u w:val="single"/>
        </w:rPr>
        <w:t xml:space="preserve">     </w:t>
      </w:r>
      <w:r>
        <w:rPr>
          <w:rFonts w:hint="eastAsia"/>
          <w:color w:val="auto"/>
          <w:sz w:val="21"/>
          <w:szCs w:val="21"/>
          <w:highlight w:val="none"/>
        </w:rPr>
        <w:t>年</w:t>
      </w:r>
      <w:r>
        <w:rPr>
          <w:rFonts w:hint="eastAsia"/>
          <w:color w:val="auto"/>
          <w:sz w:val="21"/>
          <w:szCs w:val="21"/>
          <w:highlight w:val="none"/>
          <w:u w:val="single"/>
        </w:rPr>
        <w:t xml:space="preserve">     </w:t>
      </w:r>
      <w:r>
        <w:rPr>
          <w:rFonts w:hint="eastAsia"/>
          <w:color w:val="auto"/>
          <w:sz w:val="21"/>
          <w:szCs w:val="21"/>
          <w:highlight w:val="none"/>
        </w:rPr>
        <w:t>月</w:t>
      </w:r>
      <w:r>
        <w:rPr>
          <w:rFonts w:hint="eastAsia"/>
          <w:color w:val="auto"/>
          <w:sz w:val="21"/>
          <w:szCs w:val="21"/>
          <w:highlight w:val="none"/>
          <w:u w:val="single"/>
        </w:rPr>
        <w:t xml:space="preserve">    </w:t>
      </w:r>
      <w:r>
        <w:rPr>
          <w:rFonts w:hint="eastAsia"/>
          <w:color w:val="auto"/>
          <w:sz w:val="21"/>
          <w:szCs w:val="21"/>
          <w:highlight w:val="none"/>
        </w:rPr>
        <w:t>日就</w:t>
      </w:r>
      <w:r>
        <w:rPr>
          <w:rFonts w:hint="eastAsia"/>
          <w:color w:val="auto"/>
          <w:sz w:val="21"/>
          <w:szCs w:val="21"/>
          <w:highlight w:val="none"/>
          <w:u w:val="single"/>
        </w:rPr>
        <w:t xml:space="preserve"> </w:t>
      </w:r>
      <w:r>
        <w:rPr>
          <w:color w:val="auto"/>
          <w:sz w:val="21"/>
          <w:szCs w:val="21"/>
          <w:highlight w:val="none"/>
          <w:u w:val="single"/>
        </w:rPr>
        <w:t xml:space="preserve">      </w:t>
      </w:r>
      <w:r>
        <w:rPr>
          <w:rFonts w:hint="eastAsia"/>
          <w:color w:val="auto"/>
          <w:sz w:val="21"/>
          <w:szCs w:val="21"/>
          <w:highlight w:val="none"/>
          <w:u w:val="single"/>
        </w:rPr>
        <w:t xml:space="preserve"> </w:t>
      </w:r>
      <w:r>
        <w:rPr>
          <w:color w:val="auto"/>
          <w:sz w:val="21"/>
          <w:szCs w:val="21"/>
          <w:highlight w:val="none"/>
          <w:u w:val="single"/>
        </w:rPr>
        <w:t xml:space="preserve">    </w:t>
      </w:r>
      <w:r>
        <w:rPr>
          <w:rFonts w:hint="eastAsia"/>
          <w:color w:val="auto"/>
          <w:sz w:val="21"/>
          <w:szCs w:val="21"/>
          <w:highlight w:val="none"/>
        </w:rPr>
        <w:t>工程（以下简称“本工程”）施工和有关事项协商一致共同签订</w:t>
      </w:r>
      <w:r>
        <w:rPr>
          <w:rFonts w:hint="eastAsia"/>
          <w:color w:val="auto"/>
          <w:sz w:val="21"/>
          <w:szCs w:val="21"/>
          <w:highlight w:val="none"/>
          <w:u w:val="single"/>
        </w:rPr>
        <w:t xml:space="preserve">《 </w:t>
      </w:r>
      <w:r>
        <w:rPr>
          <w:color w:val="auto"/>
          <w:sz w:val="21"/>
          <w:szCs w:val="21"/>
          <w:highlight w:val="none"/>
          <w:u w:val="single"/>
        </w:rPr>
        <w:t xml:space="preserve">       </w:t>
      </w:r>
      <w:r>
        <w:rPr>
          <w:rFonts w:hint="eastAsia"/>
          <w:color w:val="auto"/>
          <w:sz w:val="21"/>
          <w:szCs w:val="21"/>
          <w:highlight w:val="none"/>
          <w:u w:val="single"/>
        </w:rPr>
        <w:t>》</w:t>
      </w:r>
      <w:r>
        <w:rPr>
          <w:rFonts w:hint="eastAsia"/>
          <w:color w:val="auto"/>
          <w:sz w:val="21"/>
          <w:szCs w:val="21"/>
          <w:highlight w:val="none"/>
        </w:rPr>
        <w:t>（以下简称“主合同”），我方即保证人基于发包人</w:t>
      </w:r>
      <w:r>
        <w:rPr>
          <w:color w:val="auto"/>
          <w:sz w:val="21"/>
          <w:szCs w:val="21"/>
          <w:highlight w:val="none"/>
        </w:rPr>
        <w:t>的请求，同意就</w:t>
      </w:r>
      <w:r>
        <w:rPr>
          <w:rFonts w:hint="eastAsia"/>
          <w:color w:val="auto"/>
          <w:sz w:val="21"/>
          <w:szCs w:val="21"/>
          <w:highlight w:val="none"/>
        </w:rPr>
        <w:t>发包人</w:t>
      </w:r>
      <w:r>
        <w:rPr>
          <w:color w:val="auto"/>
          <w:sz w:val="21"/>
          <w:szCs w:val="21"/>
          <w:highlight w:val="none"/>
        </w:rPr>
        <w:t>履行</w:t>
      </w:r>
      <w:r>
        <w:rPr>
          <w:rFonts w:hint="eastAsia"/>
          <w:color w:val="auto"/>
          <w:sz w:val="21"/>
          <w:szCs w:val="21"/>
          <w:highlight w:val="none"/>
        </w:rPr>
        <w:t>与贵方签订的主合同</w:t>
      </w:r>
      <w:r>
        <w:rPr>
          <w:color w:val="auto"/>
          <w:sz w:val="21"/>
          <w:szCs w:val="21"/>
          <w:highlight w:val="none"/>
        </w:rPr>
        <w:t>项下的</w:t>
      </w:r>
      <w:r>
        <w:rPr>
          <w:rFonts w:hint="eastAsia"/>
          <w:color w:val="auto"/>
          <w:sz w:val="21"/>
          <w:szCs w:val="21"/>
          <w:highlight w:val="none"/>
        </w:rPr>
        <w:t>工程款（指主合同约定的除工程质量保修金以外的全部工程结算款项）付款</w:t>
      </w:r>
      <w:r>
        <w:rPr>
          <w:color w:val="auto"/>
          <w:sz w:val="21"/>
          <w:szCs w:val="21"/>
          <w:highlight w:val="none"/>
        </w:rPr>
        <w:t>义务</w:t>
      </w:r>
      <w:r>
        <w:rPr>
          <w:rFonts w:hint="eastAsia"/>
          <w:color w:val="auto"/>
          <w:sz w:val="21"/>
          <w:szCs w:val="21"/>
          <w:highlight w:val="none"/>
        </w:rPr>
        <w:t>，</w:t>
      </w:r>
      <w:r>
        <w:rPr>
          <w:color w:val="auto"/>
          <w:sz w:val="21"/>
          <w:szCs w:val="21"/>
          <w:highlight w:val="none"/>
        </w:rPr>
        <w:t>向贵方提供</w:t>
      </w:r>
      <w:r>
        <w:rPr>
          <w:rFonts w:hint="eastAsia"/>
          <w:color w:val="auto"/>
          <w:sz w:val="21"/>
          <w:szCs w:val="21"/>
          <w:highlight w:val="none"/>
        </w:rPr>
        <w:t>如下保证担保（以下简称“本保证担保”）</w:t>
      </w:r>
      <w:r>
        <w:rPr>
          <w:color w:val="auto"/>
          <w:sz w:val="21"/>
          <w:szCs w:val="21"/>
          <w:highlight w:val="none"/>
        </w:rPr>
        <w:t xml:space="preserve">。 </w:t>
      </w:r>
    </w:p>
    <w:p>
      <w:pPr>
        <w:spacing w:line="360" w:lineRule="auto"/>
        <w:ind w:firstLine="422" w:firstLineChars="200"/>
        <w:rPr>
          <w:b/>
          <w:bCs/>
          <w:color w:val="auto"/>
          <w:sz w:val="21"/>
          <w:szCs w:val="21"/>
          <w:highlight w:val="none"/>
        </w:rPr>
      </w:pPr>
      <w:r>
        <w:rPr>
          <w:rFonts w:hint="eastAsia"/>
          <w:b/>
          <w:bCs/>
          <w:color w:val="auto"/>
          <w:sz w:val="21"/>
          <w:szCs w:val="21"/>
          <w:highlight w:val="none"/>
        </w:rPr>
        <w:t>一、保证担保的范围及保证担保金额</w:t>
      </w:r>
    </w:p>
    <w:p>
      <w:pPr>
        <w:spacing w:line="360" w:lineRule="auto"/>
        <w:ind w:firstLine="420" w:firstLineChars="200"/>
        <w:rPr>
          <w:color w:val="auto"/>
          <w:sz w:val="21"/>
          <w:szCs w:val="21"/>
          <w:highlight w:val="none"/>
        </w:rPr>
      </w:pPr>
      <w:r>
        <w:rPr>
          <w:rFonts w:hint="eastAsia"/>
          <w:color w:val="auto"/>
          <w:sz w:val="21"/>
          <w:szCs w:val="21"/>
          <w:highlight w:val="none"/>
        </w:rPr>
        <w:t>1</w:t>
      </w:r>
      <w:r>
        <w:rPr>
          <w:color w:val="auto"/>
          <w:sz w:val="21"/>
          <w:szCs w:val="21"/>
          <w:highlight w:val="none"/>
        </w:rPr>
        <w:t>.</w:t>
      </w:r>
      <w:r>
        <w:rPr>
          <w:rFonts w:hint="eastAsia"/>
          <w:color w:val="auto"/>
          <w:sz w:val="21"/>
          <w:szCs w:val="21"/>
          <w:highlight w:val="none"/>
        </w:rPr>
        <w:t>保证担保范围：申请人未履行主合同约定的工程款支付义务，应当向贵方承担的违约责任和赔偿因此造成的损失、利息、律师费、诉讼费用等实现债权的费用。</w:t>
      </w:r>
    </w:p>
    <w:p>
      <w:pPr>
        <w:spacing w:line="360" w:lineRule="auto"/>
        <w:ind w:firstLine="420" w:firstLineChars="200"/>
        <w:rPr>
          <w:color w:val="auto"/>
          <w:sz w:val="21"/>
          <w:szCs w:val="21"/>
          <w:highlight w:val="none"/>
        </w:rPr>
      </w:pPr>
      <w:r>
        <w:rPr>
          <w:rFonts w:hint="eastAsia"/>
          <w:color w:val="auto"/>
          <w:sz w:val="21"/>
          <w:szCs w:val="21"/>
          <w:highlight w:val="none"/>
        </w:rPr>
        <w:t>2</w:t>
      </w:r>
      <w:r>
        <w:rPr>
          <w:color w:val="auto"/>
          <w:sz w:val="21"/>
          <w:szCs w:val="21"/>
          <w:highlight w:val="none"/>
        </w:rPr>
        <w:t>.</w:t>
      </w:r>
      <w:r>
        <w:rPr>
          <w:rFonts w:hint="eastAsia"/>
          <w:color w:val="auto"/>
          <w:sz w:val="21"/>
          <w:szCs w:val="21"/>
          <w:highlight w:val="none"/>
        </w:rPr>
        <w:t>保证担保金额最高不超过</w:t>
      </w:r>
      <w:r>
        <w:rPr>
          <w:color w:val="auto"/>
          <w:sz w:val="21"/>
          <w:szCs w:val="21"/>
          <w:highlight w:val="none"/>
        </w:rPr>
        <w:t>人民币（大写）</w:t>
      </w:r>
      <w:r>
        <w:rPr>
          <w:color w:val="auto"/>
          <w:sz w:val="21"/>
          <w:szCs w:val="21"/>
          <w:highlight w:val="none"/>
          <w:u w:val="single"/>
        </w:rPr>
        <w:t xml:space="preserve">          </w:t>
      </w:r>
      <w:r>
        <w:rPr>
          <w:color w:val="auto"/>
          <w:sz w:val="21"/>
          <w:szCs w:val="21"/>
          <w:highlight w:val="none"/>
        </w:rPr>
        <w:t>元（¥</w:t>
      </w:r>
      <w:r>
        <w:rPr>
          <w:color w:val="auto"/>
          <w:sz w:val="21"/>
          <w:szCs w:val="21"/>
          <w:highlight w:val="none"/>
          <w:u w:val="single"/>
        </w:rPr>
        <w:t xml:space="preserve">       </w:t>
      </w:r>
      <w:r>
        <w:rPr>
          <w:color w:val="auto"/>
          <w:sz w:val="21"/>
          <w:szCs w:val="21"/>
          <w:highlight w:val="none"/>
        </w:rPr>
        <w:t xml:space="preserve">）。 </w:t>
      </w:r>
    </w:p>
    <w:p>
      <w:pPr>
        <w:spacing w:line="360" w:lineRule="auto"/>
        <w:ind w:firstLine="422" w:firstLineChars="200"/>
        <w:rPr>
          <w:b/>
          <w:bCs/>
          <w:color w:val="auto"/>
          <w:sz w:val="21"/>
          <w:szCs w:val="21"/>
          <w:highlight w:val="none"/>
        </w:rPr>
      </w:pPr>
      <w:r>
        <w:rPr>
          <w:rFonts w:hint="eastAsia"/>
          <w:b/>
          <w:bCs/>
          <w:color w:val="auto"/>
          <w:sz w:val="21"/>
          <w:szCs w:val="21"/>
          <w:highlight w:val="none"/>
        </w:rPr>
        <w:t>二、保证担保的方式及保证期间</w:t>
      </w:r>
      <w:r>
        <w:rPr>
          <w:b/>
          <w:bCs/>
          <w:color w:val="auto"/>
          <w:sz w:val="21"/>
          <w:szCs w:val="21"/>
          <w:highlight w:val="none"/>
        </w:rPr>
        <w:t xml:space="preserve"> </w:t>
      </w:r>
    </w:p>
    <w:p>
      <w:pPr>
        <w:spacing w:line="360" w:lineRule="auto"/>
        <w:ind w:firstLine="420" w:firstLineChars="200"/>
        <w:rPr>
          <w:color w:val="auto"/>
          <w:sz w:val="21"/>
          <w:szCs w:val="21"/>
          <w:highlight w:val="none"/>
        </w:rPr>
      </w:pPr>
      <w:r>
        <w:rPr>
          <w:rFonts w:hint="eastAsia"/>
          <w:color w:val="auto"/>
          <w:sz w:val="21"/>
          <w:szCs w:val="21"/>
          <w:highlight w:val="none"/>
        </w:rPr>
        <w:t>1.保证担保方式：连带责任保证。</w:t>
      </w:r>
    </w:p>
    <w:p>
      <w:pPr>
        <w:spacing w:line="360" w:lineRule="auto"/>
        <w:ind w:firstLine="420" w:firstLineChars="200"/>
        <w:rPr>
          <w:color w:val="auto"/>
          <w:sz w:val="21"/>
          <w:szCs w:val="21"/>
          <w:highlight w:val="none"/>
        </w:rPr>
      </w:pPr>
      <w:r>
        <w:rPr>
          <w:rFonts w:hint="eastAsia"/>
          <w:color w:val="auto"/>
          <w:sz w:val="21"/>
          <w:szCs w:val="21"/>
          <w:highlight w:val="none"/>
        </w:rPr>
        <w:t>2</w:t>
      </w:r>
      <w:r>
        <w:rPr>
          <w:color w:val="auto"/>
          <w:sz w:val="21"/>
          <w:szCs w:val="21"/>
          <w:highlight w:val="none"/>
        </w:rPr>
        <w:t>.</w:t>
      </w:r>
      <w:r>
        <w:rPr>
          <w:rFonts w:hint="eastAsia"/>
          <w:color w:val="auto"/>
          <w:sz w:val="21"/>
          <w:szCs w:val="21"/>
          <w:highlight w:val="none"/>
        </w:rPr>
        <w:t>保证期间：</w:t>
      </w:r>
      <w:r>
        <w:rPr>
          <w:color w:val="auto"/>
          <w:sz w:val="21"/>
          <w:szCs w:val="21"/>
          <w:highlight w:val="none"/>
        </w:rPr>
        <w:t>自</w:t>
      </w:r>
      <w:r>
        <w:rPr>
          <w:rFonts w:hint="eastAsia"/>
          <w:color w:val="auto"/>
          <w:sz w:val="21"/>
          <w:szCs w:val="21"/>
          <w:highlight w:val="none"/>
        </w:rPr>
        <w:t>出具之日起</w:t>
      </w:r>
      <w:r>
        <w:rPr>
          <w:color w:val="auto"/>
          <w:sz w:val="21"/>
          <w:szCs w:val="21"/>
          <w:highlight w:val="none"/>
        </w:rPr>
        <w:t>至</w:t>
      </w:r>
      <w:r>
        <w:rPr>
          <w:rFonts w:hint="eastAsia"/>
          <w:color w:val="auto"/>
          <w:sz w:val="21"/>
          <w:szCs w:val="21"/>
          <w:highlight w:val="none"/>
        </w:rPr>
        <w:t>主合同约定的除工程质量保修金以外的工程款支付之日后</w:t>
      </w:r>
      <w:r>
        <w:rPr>
          <w:color w:val="auto"/>
          <w:sz w:val="21"/>
          <w:szCs w:val="21"/>
          <w:highlight w:val="none"/>
          <w:u w:val="single"/>
        </w:rPr>
        <w:t xml:space="preserve">   </w:t>
      </w:r>
      <w:r>
        <w:rPr>
          <w:color w:val="auto"/>
          <w:sz w:val="21"/>
          <w:szCs w:val="21"/>
          <w:highlight w:val="none"/>
        </w:rPr>
        <w:t>日</w:t>
      </w:r>
      <w:r>
        <w:rPr>
          <w:rFonts w:hint="eastAsia"/>
          <w:color w:val="auto"/>
          <w:sz w:val="21"/>
          <w:szCs w:val="21"/>
          <w:highlight w:val="none"/>
        </w:rPr>
        <w:t>止，最迟不超过</w:t>
      </w:r>
      <w:r>
        <w:rPr>
          <w:rFonts w:hint="eastAsia"/>
          <w:color w:val="auto"/>
          <w:sz w:val="21"/>
          <w:szCs w:val="21"/>
          <w:highlight w:val="none"/>
          <w:u w:val="single"/>
        </w:rPr>
        <w:t xml:space="preserve"> </w:t>
      </w:r>
      <w:r>
        <w:rPr>
          <w:color w:val="auto"/>
          <w:sz w:val="21"/>
          <w:szCs w:val="21"/>
          <w:highlight w:val="none"/>
          <w:u w:val="single"/>
        </w:rPr>
        <w:t xml:space="preserve">   </w:t>
      </w:r>
      <w:r>
        <w:rPr>
          <w:rFonts w:hint="eastAsia"/>
          <w:color w:val="auto"/>
          <w:sz w:val="21"/>
          <w:szCs w:val="21"/>
          <w:highlight w:val="none"/>
        </w:rPr>
        <w:t>年</w:t>
      </w:r>
      <w:r>
        <w:rPr>
          <w:rFonts w:hint="eastAsia"/>
          <w:color w:val="auto"/>
          <w:sz w:val="21"/>
          <w:szCs w:val="21"/>
          <w:highlight w:val="none"/>
          <w:u w:val="single"/>
        </w:rPr>
        <w:t xml:space="preserve"> </w:t>
      </w:r>
      <w:r>
        <w:rPr>
          <w:color w:val="auto"/>
          <w:sz w:val="21"/>
          <w:szCs w:val="21"/>
          <w:highlight w:val="none"/>
          <w:u w:val="single"/>
        </w:rPr>
        <w:t xml:space="preserve">   </w:t>
      </w:r>
      <w:r>
        <w:rPr>
          <w:rFonts w:hint="eastAsia"/>
          <w:color w:val="auto"/>
          <w:sz w:val="21"/>
          <w:szCs w:val="21"/>
          <w:highlight w:val="none"/>
        </w:rPr>
        <w:t>月</w:t>
      </w:r>
      <w:r>
        <w:rPr>
          <w:rFonts w:hint="eastAsia"/>
          <w:color w:val="auto"/>
          <w:sz w:val="21"/>
          <w:szCs w:val="21"/>
          <w:highlight w:val="none"/>
          <w:u w:val="single"/>
        </w:rPr>
        <w:t xml:space="preserve"> </w:t>
      </w:r>
      <w:r>
        <w:rPr>
          <w:color w:val="auto"/>
          <w:sz w:val="21"/>
          <w:szCs w:val="21"/>
          <w:highlight w:val="none"/>
          <w:u w:val="single"/>
        </w:rPr>
        <w:t xml:space="preserve">   </w:t>
      </w:r>
      <w:r>
        <w:rPr>
          <w:rFonts w:hint="eastAsia"/>
          <w:color w:val="auto"/>
          <w:sz w:val="21"/>
          <w:szCs w:val="21"/>
          <w:highlight w:val="none"/>
        </w:rPr>
        <w:t>日</w:t>
      </w:r>
      <w:r>
        <w:rPr>
          <w:color w:val="auto"/>
          <w:sz w:val="21"/>
          <w:szCs w:val="21"/>
          <w:highlight w:val="none"/>
        </w:rPr>
        <w:t xml:space="preserve">。 </w:t>
      </w:r>
    </w:p>
    <w:p>
      <w:pPr>
        <w:spacing w:line="360" w:lineRule="auto"/>
        <w:ind w:firstLine="422" w:firstLineChars="200"/>
        <w:rPr>
          <w:b/>
          <w:bCs/>
          <w:color w:val="auto"/>
          <w:sz w:val="21"/>
          <w:szCs w:val="21"/>
          <w:highlight w:val="none"/>
        </w:rPr>
      </w:pPr>
      <w:r>
        <w:rPr>
          <w:rFonts w:hint="eastAsia"/>
          <w:b/>
          <w:bCs/>
          <w:color w:val="auto"/>
          <w:sz w:val="21"/>
          <w:szCs w:val="21"/>
          <w:highlight w:val="none"/>
        </w:rPr>
        <w:t>三、承担保证担保责任的形式</w:t>
      </w:r>
    </w:p>
    <w:p>
      <w:pPr>
        <w:spacing w:line="360" w:lineRule="auto"/>
        <w:ind w:firstLine="420" w:firstLineChars="200"/>
        <w:rPr>
          <w:color w:val="auto"/>
          <w:sz w:val="21"/>
          <w:szCs w:val="21"/>
          <w:highlight w:val="none"/>
        </w:rPr>
      </w:pPr>
      <w:r>
        <w:rPr>
          <w:rFonts w:hint="eastAsia"/>
          <w:color w:val="auto"/>
          <w:sz w:val="21"/>
          <w:szCs w:val="21"/>
          <w:highlight w:val="none"/>
        </w:rPr>
        <w:t>发包人未按合同约定向贵方支付主合同项下工程款的，由我方在保证金额内代为支付，并赔偿因此给贵方造成的损失，以及利息和律师费、诉讼费用等实现债权的费用。</w:t>
      </w:r>
    </w:p>
    <w:p>
      <w:pPr>
        <w:spacing w:line="360" w:lineRule="auto"/>
        <w:ind w:firstLine="422" w:firstLineChars="200"/>
        <w:rPr>
          <w:b/>
          <w:bCs/>
          <w:color w:val="auto"/>
          <w:sz w:val="21"/>
          <w:szCs w:val="21"/>
          <w:highlight w:val="none"/>
        </w:rPr>
      </w:pPr>
      <w:r>
        <w:rPr>
          <w:rFonts w:hint="eastAsia"/>
          <w:b/>
          <w:bCs/>
          <w:color w:val="auto"/>
          <w:sz w:val="21"/>
          <w:szCs w:val="21"/>
          <w:highlight w:val="none"/>
        </w:rPr>
        <w:t>四、代偿的安排</w:t>
      </w:r>
      <w:r>
        <w:rPr>
          <w:b/>
          <w:bCs/>
          <w:color w:val="auto"/>
          <w:sz w:val="21"/>
          <w:szCs w:val="21"/>
          <w:highlight w:val="none"/>
        </w:rPr>
        <w:t xml:space="preserve"> </w:t>
      </w:r>
    </w:p>
    <w:p>
      <w:pPr>
        <w:spacing w:line="360" w:lineRule="auto"/>
        <w:ind w:firstLine="420" w:firstLineChars="200"/>
        <w:rPr>
          <w:color w:val="auto"/>
          <w:sz w:val="21"/>
          <w:szCs w:val="21"/>
          <w:highlight w:val="none"/>
        </w:rPr>
      </w:pPr>
      <w:r>
        <w:rPr>
          <w:rFonts w:hint="eastAsia"/>
          <w:color w:val="auto"/>
          <w:sz w:val="21"/>
          <w:szCs w:val="21"/>
          <w:highlight w:val="none"/>
        </w:rPr>
        <w:t>1.贵方要求我方承担保证责任的，应向我方发出书面索赔通知及发包人未支付主合同约定工程款的证明材料。索赔通知应写明要求索赔的金额，支付款项应到达的帐号。</w:t>
      </w:r>
    </w:p>
    <w:p>
      <w:pPr>
        <w:spacing w:line="360" w:lineRule="auto"/>
        <w:ind w:firstLine="420" w:firstLineChars="200"/>
        <w:rPr>
          <w:color w:val="auto"/>
          <w:sz w:val="21"/>
          <w:szCs w:val="21"/>
          <w:highlight w:val="none"/>
        </w:rPr>
      </w:pPr>
      <w:r>
        <w:rPr>
          <w:rFonts w:hint="eastAsia"/>
          <w:color w:val="auto"/>
          <w:sz w:val="21"/>
          <w:szCs w:val="21"/>
          <w:highlight w:val="none"/>
        </w:rPr>
        <w:t>2.在出现贵方与发包人因工程质量发生争议，发包人拒绝向贵方支付工程款的情形时，贵方要求我方履行保证责任代为支付的，还需提供项目总监理工程师、监理单位或符合相应条件要求的工程质量检测机构出具的质量说明材料。</w:t>
      </w:r>
    </w:p>
    <w:p>
      <w:pPr>
        <w:spacing w:line="360" w:lineRule="auto"/>
        <w:ind w:firstLine="420" w:firstLineChars="200"/>
        <w:rPr>
          <w:color w:val="auto"/>
          <w:sz w:val="21"/>
          <w:szCs w:val="21"/>
          <w:highlight w:val="none"/>
        </w:rPr>
      </w:pPr>
      <w:r>
        <w:rPr>
          <w:rFonts w:hint="eastAsia"/>
          <w:color w:val="auto"/>
          <w:sz w:val="21"/>
          <w:szCs w:val="21"/>
          <w:highlight w:val="none"/>
        </w:rPr>
        <w:t>3.我方收到贵方的书面索赔通知及相应证明材料后，在</w:t>
      </w:r>
      <w:r>
        <w:rPr>
          <w:rFonts w:hint="eastAsia"/>
          <w:color w:val="auto"/>
          <w:sz w:val="21"/>
          <w:szCs w:val="21"/>
          <w:highlight w:val="none"/>
          <w:u w:val="single"/>
        </w:rPr>
        <w:t xml:space="preserve"> </w:t>
      </w:r>
      <w:r>
        <w:rPr>
          <w:color w:val="auto"/>
          <w:sz w:val="21"/>
          <w:szCs w:val="21"/>
          <w:highlight w:val="none"/>
          <w:u w:val="single"/>
        </w:rPr>
        <w:t xml:space="preserve">    </w:t>
      </w:r>
      <w:r>
        <w:rPr>
          <w:rFonts w:hint="eastAsia"/>
          <w:color w:val="auto"/>
          <w:sz w:val="21"/>
          <w:szCs w:val="21"/>
          <w:highlight w:val="none"/>
        </w:rPr>
        <w:t>工作日内进行核定后按照本保函的承诺承担保证责任。</w:t>
      </w:r>
    </w:p>
    <w:p>
      <w:pPr>
        <w:spacing w:line="360" w:lineRule="auto"/>
        <w:ind w:firstLine="422" w:firstLineChars="200"/>
        <w:rPr>
          <w:b/>
          <w:bCs/>
          <w:color w:val="auto"/>
          <w:sz w:val="21"/>
          <w:szCs w:val="21"/>
          <w:highlight w:val="none"/>
        </w:rPr>
      </w:pPr>
      <w:r>
        <w:rPr>
          <w:rFonts w:hint="eastAsia"/>
          <w:b/>
          <w:bCs/>
          <w:color w:val="auto"/>
          <w:sz w:val="21"/>
          <w:szCs w:val="21"/>
          <w:highlight w:val="none"/>
        </w:rPr>
        <w:t>五、保证担保责任的解除</w:t>
      </w:r>
      <w:r>
        <w:rPr>
          <w:b/>
          <w:bCs/>
          <w:color w:val="auto"/>
          <w:sz w:val="21"/>
          <w:szCs w:val="21"/>
          <w:highlight w:val="none"/>
        </w:rPr>
        <w:t xml:space="preserve"> </w:t>
      </w:r>
    </w:p>
    <w:p>
      <w:pPr>
        <w:spacing w:line="360" w:lineRule="auto"/>
        <w:ind w:firstLine="420" w:firstLineChars="200"/>
        <w:rPr>
          <w:color w:val="auto"/>
          <w:sz w:val="21"/>
          <w:szCs w:val="21"/>
          <w:highlight w:val="none"/>
        </w:rPr>
      </w:pPr>
      <w:r>
        <w:rPr>
          <w:rFonts w:hint="eastAsia"/>
          <w:color w:val="auto"/>
          <w:sz w:val="21"/>
          <w:szCs w:val="21"/>
          <w:highlight w:val="none"/>
        </w:rPr>
        <w:t>1.</w:t>
      </w:r>
      <w:r>
        <w:rPr>
          <w:color w:val="auto"/>
          <w:sz w:val="21"/>
          <w:szCs w:val="21"/>
          <w:highlight w:val="none"/>
        </w:rPr>
        <w:t xml:space="preserve">保证期间届满贵方未向我方书面主张保证责任的，自保证期间届满次日起，我方解除保证责任。 </w:t>
      </w:r>
    </w:p>
    <w:p>
      <w:pPr>
        <w:spacing w:line="360" w:lineRule="auto"/>
        <w:ind w:firstLine="420" w:firstLineChars="200"/>
        <w:rPr>
          <w:color w:val="auto"/>
          <w:sz w:val="21"/>
          <w:szCs w:val="21"/>
          <w:highlight w:val="none"/>
        </w:rPr>
      </w:pPr>
      <w:r>
        <w:rPr>
          <w:rFonts w:hint="eastAsia"/>
          <w:color w:val="auto"/>
          <w:sz w:val="21"/>
          <w:szCs w:val="21"/>
          <w:highlight w:val="none"/>
        </w:rPr>
        <w:t>2.</w:t>
      </w:r>
      <w:r>
        <w:rPr>
          <w:color w:val="auto"/>
          <w:sz w:val="21"/>
          <w:szCs w:val="21"/>
          <w:highlight w:val="none"/>
        </w:rPr>
        <w:t>我方按照本</w:t>
      </w:r>
      <w:r>
        <w:rPr>
          <w:rFonts w:hint="eastAsia"/>
          <w:color w:val="auto"/>
          <w:sz w:val="21"/>
          <w:szCs w:val="21"/>
          <w:highlight w:val="none"/>
        </w:rPr>
        <w:t>保证担保</w:t>
      </w:r>
      <w:r>
        <w:rPr>
          <w:color w:val="auto"/>
          <w:sz w:val="21"/>
          <w:szCs w:val="21"/>
          <w:highlight w:val="none"/>
        </w:rPr>
        <w:t>向贵方履行了</w:t>
      </w:r>
      <w:r>
        <w:rPr>
          <w:rFonts w:hint="eastAsia"/>
          <w:color w:val="auto"/>
          <w:sz w:val="21"/>
          <w:szCs w:val="21"/>
          <w:highlight w:val="none"/>
        </w:rPr>
        <w:t>保证担保责任</w:t>
      </w:r>
      <w:r>
        <w:rPr>
          <w:color w:val="auto"/>
          <w:sz w:val="21"/>
          <w:szCs w:val="21"/>
          <w:highlight w:val="none"/>
        </w:rPr>
        <w:t>后，自我方向贵方支付</w:t>
      </w:r>
      <w:r>
        <w:rPr>
          <w:rFonts w:hint="eastAsia"/>
          <w:color w:val="auto"/>
          <w:sz w:val="21"/>
          <w:szCs w:val="21"/>
          <w:highlight w:val="none"/>
        </w:rPr>
        <w:t>的金额达到最高保证担保金额</w:t>
      </w:r>
      <w:r>
        <w:rPr>
          <w:color w:val="auto"/>
          <w:sz w:val="21"/>
          <w:szCs w:val="21"/>
          <w:highlight w:val="none"/>
        </w:rPr>
        <w:t>之日起，</w:t>
      </w:r>
      <w:r>
        <w:rPr>
          <w:rFonts w:hint="eastAsia"/>
          <w:color w:val="auto"/>
          <w:sz w:val="21"/>
          <w:szCs w:val="21"/>
          <w:highlight w:val="none"/>
        </w:rPr>
        <w:t>保证担保责任</w:t>
      </w:r>
      <w:r>
        <w:rPr>
          <w:color w:val="auto"/>
          <w:sz w:val="21"/>
          <w:szCs w:val="21"/>
          <w:highlight w:val="none"/>
        </w:rPr>
        <w:t xml:space="preserve">解除。 </w:t>
      </w:r>
    </w:p>
    <w:p>
      <w:pPr>
        <w:spacing w:line="360" w:lineRule="auto"/>
        <w:ind w:firstLine="420" w:firstLineChars="200"/>
        <w:rPr>
          <w:color w:val="auto"/>
          <w:sz w:val="21"/>
          <w:szCs w:val="21"/>
          <w:highlight w:val="none"/>
        </w:rPr>
      </w:pPr>
      <w:r>
        <w:rPr>
          <w:rFonts w:hint="eastAsia"/>
          <w:color w:val="auto"/>
          <w:sz w:val="21"/>
          <w:szCs w:val="21"/>
          <w:highlight w:val="none"/>
        </w:rPr>
        <w:t>3.</w:t>
      </w:r>
      <w:r>
        <w:rPr>
          <w:color w:val="auto"/>
          <w:sz w:val="21"/>
          <w:szCs w:val="21"/>
          <w:highlight w:val="none"/>
        </w:rPr>
        <w:t>按照法律法规的规定应解除我方保证</w:t>
      </w:r>
      <w:r>
        <w:rPr>
          <w:rFonts w:hint="eastAsia"/>
          <w:color w:val="auto"/>
          <w:sz w:val="21"/>
          <w:szCs w:val="21"/>
          <w:highlight w:val="none"/>
        </w:rPr>
        <w:t>担保</w:t>
      </w:r>
      <w:r>
        <w:rPr>
          <w:color w:val="auto"/>
          <w:sz w:val="21"/>
          <w:szCs w:val="21"/>
          <w:highlight w:val="none"/>
        </w:rPr>
        <w:t>责任的其它情形的，我方在本保证担保项下的保证</w:t>
      </w:r>
      <w:r>
        <w:rPr>
          <w:rFonts w:hint="eastAsia"/>
          <w:color w:val="auto"/>
          <w:sz w:val="21"/>
          <w:szCs w:val="21"/>
          <w:highlight w:val="none"/>
        </w:rPr>
        <w:t>担保</w:t>
      </w:r>
      <w:r>
        <w:rPr>
          <w:color w:val="auto"/>
          <w:sz w:val="21"/>
          <w:szCs w:val="21"/>
          <w:highlight w:val="none"/>
        </w:rPr>
        <w:t xml:space="preserve">责任亦解除。 </w:t>
      </w:r>
    </w:p>
    <w:p>
      <w:pPr>
        <w:spacing w:line="360" w:lineRule="auto"/>
        <w:ind w:firstLine="420" w:firstLineChars="200"/>
        <w:rPr>
          <w:color w:val="auto"/>
          <w:sz w:val="21"/>
          <w:szCs w:val="21"/>
          <w:highlight w:val="none"/>
        </w:rPr>
      </w:pPr>
      <w:r>
        <w:rPr>
          <w:rFonts w:hint="eastAsia"/>
          <w:color w:val="auto"/>
          <w:sz w:val="21"/>
          <w:szCs w:val="21"/>
          <w:highlight w:val="none"/>
        </w:rPr>
        <w:t>4.我方解除保证责任后，贵方应按上述约定，自我方保证担保责任解除之日起七</w:t>
      </w:r>
      <w:r>
        <w:rPr>
          <w:color w:val="auto"/>
          <w:sz w:val="21"/>
          <w:szCs w:val="21"/>
          <w:highlight w:val="none"/>
        </w:rPr>
        <w:t>日内，将本保证担保原件返还我方。但是不论贵方是否按此要求将本保证担保</w:t>
      </w:r>
      <w:r>
        <w:rPr>
          <w:rFonts w:hint="eastAsia"/>
          <w:color w:val="auto"/>
          <w:sz w:val="21"/>
          <w:szCs w:val="21"/>
          <w:highlight w:val="none"/>
        </w:rPr>
        <w:t>原件</w:t>
      </w:r>
      <w:r>
        <w:rPr>
          <w:color w:val="auto"/>
          <w:sz w:val="21"/>
          <w:szCs w:val="21"/>
          <w:highlight w:val="none"/>
        </w:rPr>
        <w:t>退回我方，我方在本保证担保项下的义务和责任均</w:t>
      </w:r>
      <w:r>
        <w:rPr>
          <w:rFonts w:hint="eastAsia"/>
          <w:color w:val="auto"/>
          <w:sz w:val="21"/>
          <w:szCs w:val="21"/>
          <w:highlight w:val="none"/>
        </w:rPr>
        <w:t>自保证担保责任解除之日</w:t>
      </w:r>
      <w:r>
        <w:rPr>
          <w:color w:val="auto"/>
          <w:sz w:val="21"/>
          <w:szCs w:val="21"/>
          <w:highlight w:val="none"/>
        </w:rPr>
        <w:t>自动消灭。</w:t>
      </w:r>
    </w:p>
    <w:p>
      <w:pPr>
        <w:spacing w:line="360" w:lineRule="auto"/>
        <w:ind w:firstLine="422" w:firstLineChars="200"/>
        <w:rPr>
          <w:b/>
          <w:bCs/>
          <w:color w:val="auto"/>
          <w:sz w:val="21"/>
          <w:szCs w:val="21"/>
          <w:highlight w:val="none"/>
        </w:rPr>
      </w:pPr>
      <w:r>
        <w:rPr>
          <w:rFonts w:hint="eastAsia"/>
          <w:b/>
          <w:bCs/>
          <w:color w:val="auto"/>
          <w:sz w:val="21"/>
          <w:szCs w:val="21"/>
          <w:highlight w:val="none"/>
        </w:rPr>
        <w:t>六、免责条款</w:t>
      </w:r>
      <w:r>
        <w:rPr>
          <w:b/>
          <w:bCs/>
          <w:color w:val="auto"/>
          <w:sz w:val="21"/>
          <w:szCs w:val="21"/>
          <w:highlight w:val="none"/>
        </w:rPr>
        <w:t xml:space="preserve"> </w:t>
      </w:r>
    </w:p>
    <w:p>
      <w:pPr>
        <w:spacing w:line="360" w:lineRule="auto"/>
        <w:ind w:firstLine="420" w:firstLineChars="200"/>
        <w:rPr>
          <w:color w:val="auto"/>
          <w:sz w:val="21"/>
          <w:szCs w:val="21"/>
          <w:highlight w:val="none"/>
        </w:rPr>
      </w:pPr>
      <w:r>
        <w:rPr>
          <w:rFonts w:hint="eastAsia"/>
          <w:color w:val="auto"/>
          <w:sz w:val="21"/>
          <w:szCs w:val="21"/>
          <w:highlight w:val="none"/>
        </w:rPr>
        <w:t>1.</w:t>
      </w:r>
      <w:r>
        <w:rPr>
          <w:color w:val="auto"/>
          <w:sz w:val="21"/>
          <w:szCs w:val="21"/>
          <w:highlight w:val="none"/>
        </w:rPr>
        <w:t>因贵方</w:t>
      </w:r>
      <w:r>
        <w:rPr>
          <w:rFonts w:hint="eastAsia"/>
          <w:color w:val="auto"/>
          <w:sz w:val="21"/>
          <w:szCs w:val="21"/>
          <w:highlight w:val="none"/>
        </w:rPr>
        <w:t>原因</w:t>
      </w:r>
      <w:r>
        <w:rPr>
          <w:color w:val="auto"/>
          <w:sz w:val="21"/>
          <w:szCs w:val="21"/>
          <w:highlight w:val="none"/>
        </w:rPr>
        <w:t>致使</w:t>
      </w:r>
      <w:r>
        <w:rPr>
          <w:rFonts w:hint="eastAsia"/>
          <w:color w:val="auto"/>
          <w:sz w:val="21"/>
          <w:szCs w:val="21"/>
          <w:highlight w:val="none"/>
        </w:rPr>
        <w:t>发包人未履行主合同项下工程款付款义务的</w:t>
      </w:r>
      <w:r>
        <w:rPr>
          <w:color w:val="auto"/>
          <w:sz w:val="21"/>
          <w:szCs w:val="21"/>
          <w:highlight w:val="none"/>
        </w:rPr>
        <w:t>，我方不承担保证</w:t>
      </w:r>
      <w:r>
        <w:rPr>
          <w:rFonts w:hint="eastAsia"/>
          <w:color w:val="auto"/>
          <w:sz w:val="21"/>
          <w:szCs w:val="21"/>
          <w:highlight w:val="none"/>
        </w:rPr>
        <w:t>担保</w:t>
      </w:r>
      <w:r>
        <w:rPr>
          <w:color w:val="auto"/>
          <w:sz w:val="21"/>
          <w:szCs w:val="21"/>
          <w:highlight w:val="none"/>
        </w:rPr>
        <w:t xml:space="preserve">责任。 </w:t>
      </w:r>
    </w:p>
    <w:p>
      <w:pPr>
        <w:spacing w:line="360" w:lineRule="auto"/>
        <w:ind w:firstLine="420" w:firstLineChars="200"/>
        <w:rPr>
          <w:color w:val="auto"/>
          <w:sz w:val="21"/>
          <w:szCs w:val="21"/>
          <w:highlight w:val="none"/>
        </w:rPr>
      </w:pPr>
      <w:r>
        <w:rPr>
          <w:rFonts w:hint="eastAsia"/>
          <w:color w:val="auto"/>
          <w:sz w:val="21"/>
          <w:szCs w:val="21"/>
          <w:highlight w:val="none"/>
        </w:rPr>
        <w:t>2.</w:t>
      </w:r>
      <w:r>
        <w:rPr>
          <w:color w:val="auto"/>
          <w:sz w:val="21"/>
          <w:szCs w:val="21"/>
          <w:highlight w:val="none"/>
        </w:rPr>
        <w:t>依照法律规定或贵方与</w:t>
      </w:r>
      <w:r>
        <w:rPr>
          <w:rFonts w:hint="eastAsia"/>
          <w:color w:val="auto"/>
          <w:sz w:val="21"/>
          <w:szCs w:val="21"/>
          <w:highlight w:val="none"/>
        </w:rPr>
        <w:t>发包</w:t>
      </w:r>
      <w:r>
        <w:rPr>
          <w:color w:val="auto"/>
          <w:sz w:val="21"/>
          <w:szCs w:val="21"/>
          <w:highlight w:val="none"/>
        </w:rPr>
        <w:t>人的另行约定，免除</w:t>
      </w:r>
      <w:r>
        <w:rPr>
          <w:rFonts w:hint="eastAsia"/>
          <w:color w:val="auto"/>
          <w:sz w:val="21"/>
          <w:szCs w:val="21"/>
          <w:highlight w:val="none"/>
        </w:rPr>
        <w:t>发包</w:t>
      </w:r>
      <w:r>
        <w:rPr>
          <w:color w:val="auto"/>
          <w:sz w:val="21"/>
          <w:szCs w:val="21"/>
          <w:highlight w:val="none"/>
        </w:rPr>
        <w:t>人部分或全部义务的，我方亦免除其相应的保证</w:t>
      </w:r>
      <w:r>
        <w:rPr>
          <w:rFonts w:hint="eastAsia"/>
          <w:color w:val="auto"/>
          <w:sz w:val="21"/>
          <w:szCs w:val="21"/>
          <w:highlight w:val="none"/>
        </w:rPr>
        <w:t>担保</w:t>
      </w:r>
      <w:r>
        <w:rPr>
          <w:color w:val="auto"/>
          <w:sz w:val="21"/>
          <w:szCs w:val="21"/>
          <w:highlight w:val="none"/>
        </w:rPr>
        <w:t xml:space="preserve">责任。 </w:t>
      </w:r>
    </w:p>
    <w:p>
      <w:pPr>
        <w:spacing w:line="360" w:lineRule="auto"/>
        <w:ind w:firstLine="420" w:firstLineChars="200"/>
        <w:rPr>
          <w:color w:val="auto"/>
          <w:sz w:val="21"/>
          <w:szCs w:val="21"/>
          <w:highlight w:val="none"/>
        </w:rPr>
      </w:pPr>
      <w:r>
        <w:rPr>
          <w:rFonts w:hint="eastAsia"/>
          <w:color w:val="auto"/>
          <w:sz w:val="21"/>
          <w:szCs w:val="21"/>
          <w:highlight w:val="none"/>
        </w:rPr>
        <w:t>3.</w:t>
      </w:r>
      <w:r>
        <w:rPr>
          <w:color w:val="auto"/>
          <w:sz w:val="21"/>
          <w:szCs w:val="21"/>
          <w:highlight w:val="none"/>
        </w:rPr>
        <w:t>因不可抗力造成</w:t>
      </w:r>
      <w:r>
        <w:rPr>
          <w:rFonts w:hint="eastAsia"/>
          <w:color w:val="auto"/>
          <w:sz w:val="21"/>
          <w:szCs w:val="21"/>
          <w:highlight w:val="none"/>
        </w:rPr>
        <w:t>发包</w:t>
      </w:r>
      <w:r>
        <w:rPr>
          <w:color w:val="auto"/>
          <w:sz w:val="21"/>
          <w:szCs w:val="21"/>
          <w:highlight w:val="none"/>
        </w:rPr>
        <w:t>人</w:t>
      </w:r>
      <w:r>
        <w:rPr>
          <w:rFonts w:hint="eastAsia"/>
          <w:color w:val="auto"/>
          <w:sz w:val="21"/>
          <w:szCs w:val="21"/>
          <w:highlight w:val="none"/>
        </w:rPr>
        <w:t>未履行主合同项下工程款付款义务的</w:t>
      </w:r>
      <w:r>
        <w:rPr>
          <w:color w:val="auto"/>
          <w:sz w:val="21"/>
          <w:szCs w:val="21"/>
          <w:highlight w:val="none"/>
        </w:rPr>
        <w:t>，我方不承担保证</w:t>
      </w:r>
      <w:r>
        <w:rPr>
          <w:rFonts w:hint="eastAsia"/>
          <w:color w:val="auto"/>
          <w:sz w:val="21"/>
          <w:szCs w:val="21"/>
          <w:highlight w:val="none"/>
        </w:rPr>
        <w:t>担保</w:t>
      </w:r>
      <w:r>
        <w:rPr>
          <w:color w:val="auto"/>
          <w:sz w:val="21"/>
          <w:szCs w:val="21"/>
          <w:highlight w:val="none"/>
        </w:rPr>
        <w:t>责任。</w:t>
      </w:r>
    </w:p>
    <w:p>
      <w:pPr>
        <w:spacing w:line="360" w:lineRule="auto"/>
        <w:ind w:firstLine="422" w:firstLineChars="200"/>
        <w:rPr>
          <w:b/>
          <w:bCs/>
          <w:color w:val="auto"/>
          <w:sz w:val="21"/>
          <w:szCs w:val="21"/>
          <w:highlight w:val="none"/>
        </w:rPr>
      </w:pPr>
      <w:r>
        <w:rPr>
          <w:rFonts w:hint="eastAsia"/>
          <w:b/>
          <w:bCs/>
          <w:color w:val="auto"/>
          <w:sz w:val="21"/>
          <w:szCs w:val="21"/>
          <w:highlight w:val="none"/>
        </w:rPr>
        <w:t>七、其他</w:t>
      </w:r>
    </w:p>
    <w:p>
      <w:pPr>
        <w:spacing w:line="360" w:lineRule="auto"/>
        <w:ind w:firstLine="420" w:firstLineChars="200"/>
        <w:rPr>
          <w:color w:val="auto"/>
          <w:sz w:val="21"/>
          <w:szCs w:val="21"/>
          <w:highlight w:val="none"/>
        </w:rPr>
      </w:pPr>
      <w:r>
        <w:rPr>
          <w:rFonts w:hint="eastAsia"/>
          <w:color w:val="auto"/>
          <w:sz w:val="21"/>
          <w:szCs w:val="21"/>
          <w:highlight w:val="none"/>
        </w:rPr>
        <w:t>1.</w:t>
      </w:r>
      <w:r>
        <w:rPr>
          <w:color w:val="auto"/>
          <w:sz w:val="21"/>
          <w:szCs w:val="21"/>
          <w:highlight w:val="none"/>
        </w:rPr>
        <w:t>本保证担保项下的权利不得转让，不得设定担保。贵方未经我方书面同意转让本保证担保或其项下任何权利，</w:t>
      </w:r>
      <w:r>
        <w:rPr>
          <w:rFonts w:hint="eastAsia"/>
          <w:color w:val="auto"/>
          <w:sz w:val="21"/>
          <w:szCs w:val="21"/>
          <w:highlight w:val="none"/>
        </w:rPr>
        <w:t>对我方不发生法律效力</w:t>
      </w:r>
      <w:r>
        <w:rPr>
          <w:color w:val="auto"/>
          <w:sz w:val="21"/>
          <w:szCs w:val="21"/>
          <w:highlight w:val="none"/>
        </w:rPr>
        <w:t xml:space="preserve">。 </w:t>
      </w:r>
    </w:p>
    <w:p>
      <w:pPr>
        <w:spacing w:line="360" w:lineRule="auto"/>
        <w:ind w:firstLine="420" w:firstLineChars="200"/>
        <w:rPr>
          <w:color w:val="auto"/>
          <w:sz w:val="21"/>
          <w:szCs w:val="21"/>
          <w:highlight w:val="none"/>
        </w:rPr>
      </w:pPr>
      <w:r>
        <w:rPr>
          <w:rFonts w:hint="eastAsia"/>
          <w:color w:val="auto"/>
          <w:sz w:val="21"/>
          <w:szCs w:val="21"/>
          <w:highlight w:val="none"/>
        </w:rPr>
        <w:t>2</w:t>
      </w:r>
      <w:r>
        <w:rPr>
          <w:color w:val="auto"/>
          <w:sz w:val="21"/>
          <w:szCs w:val="21"/>
          <w:highlight w:val="none"/>
        </w:rPr>
        <w:t>.本</w:t>
      </w:r>
      <w:r>
        <w:rPr>
          <w:rFonts w:hint="eastAsia"/>
          <w:color w:val="auto"/>
          <w:sz w:val="21"/>
          <w:szCs w:val="21"/>
          <w:highlight w:val="none"/>
        </w:rPr>
        <w:t>保证担保适用的法律为中华人民共和国法律。对本担保保证存在争议的，按下列第</w:t>
      </w:r>
      <w:r>
        <w:rPr>
          <w:rFonts w:hint="eastAsia"/>
          <w:color w:val="auto"/>
          <w:sz w:val="21"/>
          <w:szCs w:val="21"/>
          <w:highlight w:val="none"/>
          <w:u w:val="single"/>
        </w:rPr>
        <w:t xml:space="preserve">        </w:t>
      </w:r>
      <w:r>
        <w:rPr>
          <w:rFonts w:hint="eastAsia"/>
          <w:color w:val="auto"/>
          <w:sz w:val="21"/>
          <w:szCs w:val="21"/>
          <w:highlight w:val="none"/>
        </w:rPr>
        <w:t>种方式解决。</w:t>
      </w:r>
    </w:p>
    <w:p>
      <w:pPr>
        <w:pStyle w:val="59"/>
        <w:spacing w:line="400" w:lineRule="exact"/>
        <w:ind w:left="0" w:firstLineChars="200"/>
        <w:rPr>
          <w:rFonts w:ascii="宋体" w:hAnsi="宋体"/>
          <w:color w:val="auto"/>
          <w:szCs w:val="21"/>
          <w:highlight w:val="none"/>
        </w:rPr>
      </w:pPr>
      <w:r>
        <w:rPr>
          <w:rFonts w:hint="eastAsia" w:ascii="宋体" w:hAnsi="宋体"/>
          <w:color w:val="auto"/>
          <w:szCs w:val="21"/>
          <w:highlight w:val="none"/>
        </w:rPr>
        <w:t>（1）向本工程所在地的人民法院提起诉讼。</w:t>
      </w:r>
    </w:p>
    <w:p>
      <w:pPr>
        <w:spacing w:line="360" w:lineRule="auto"/>
        <w:ind w:firstLine="420" w:firstLineChars="200"/>
        <w:rPr>
          <w:color w:val="auto"/>
          <w:sz w:val="21"/>
          <w:szCs w:val="21"/>
          <w:highlight w:val="none"/>
        </w:rPr>
      </w:pPr>
      <w:r>
        <w:rPr>
          <w:rFonts w:hint="eastAsia"/>
          <w:color w:val="auto"/>
          <w:sz w:val="21"/>
          <w:szCs w:val="21"/>
          <w:highlight w:val="none"/>
        </w:rPr>
        <w:t>（2）向</w:t>
      </w:r>
      <w:r>
        <w:rPr>
          <w:rFonts w:hint="eastAsia"/>
          <w:color w:val="auto"/>
          <w:sz w:val="21"/>
          <w:szCs w:val="21"/>
          <w:highlight w:val="none"/>
          <w:u w:val="single"/>
        </w:rPr>
        <w:t xml:space="preserve">      </w:t>
      </w:r>
      <w:r>
        <w:rPr>
          <w:rFonts w:hint="eastAsia"/>
          <w:color w:val="auto"/>
          <w:sz w:val="21"/>
          <w:szCs w:val="21"/>
          <w:highlight w:val="none"/>
        </w:rPr>
        <w:t>仲裁委员会申请仲裁。</w:t>
      </w:r>
    </w:p>
    <w:p>
      <w:pPr>
        <w:spacing w:line="360" w:lineRule="auto"/>
        <w:ind w:firstLine="420" w:firstLineChars="200"/>
        <w:rPr>
          <w:color w:val="auto"/>
          <w:sz w:val="21"/>
          <w:szCs w:val="21"/>
          <w:highlight w:val="none"/>
        </w:rPr>
      </w:pPr>
      <w:r>
        <w:rPr>
          <w:rFonts w:hint="eastAsia"/>
          <w:color w:val="auto"/>
          <w:sz w:val="21"/>
          <w:szCs w:val="21"/>
          <w:highlight w:val="none"/>
        </w:rPr>
        <w:t>3</w:t>
      </w:r>
      <w:r>
        <w:rPr>
          <w:color w:val="auto"/>
          <w:sz w:val="21"/>
          <w:szCs w:val="21"/>
          <w:highlight w:val="none"/>
        </w:rPr>
        <w:t>.本</w:t>
      </w:r>
      <w:r>
        <w:rPr>
          <w:rFonts w:hint="eastAsia"/>
          <w:color w:val="auto"/>
          <w:sz w:val="21"/>
          <w:szCs w:val="21"/>
          <w:highlight w:val="none"/>
        </w:rPr>
        <w:t>保证担保</w:t>
      </w:r>
      <w:r>
        <w:rPr>
          <w:color w:val="auto"/>
          <w:sz w:val="21"/>
          <w:szCs w:val="21"/>
          <w:highlight w:val="none"/>
        </w:rPr>
        <w:t>自我方法定代表</w:t>
      </w:r>
      <w:r>
        <w:rPr>
          <w:rFonts w:hint="eastAsia"/>
          <w:color w:val="auto"/>
          <w:sz w:val="21"/>
          <w:szCs w:val="21"/>
          <w:highlight w:val="none"/>
        </w:rPr>
        <w:t>人或授权代表</w:t>
      </w:r>
      <w:r>
        <w:rPr>
          <w:color w:val="auto"/>
          <w:sz w:val="21"/>
          <w:szCs w:val="21"/>
          <w:highlight w:val="none"/>
        </w:rPr>
        <w:t>签字</w:t>
      </w:r>
      <w:r>
        <w:rPr>
          <w:rFonts w:hint="eastAsia"/>
          <w:color w:val="auto"/>
          <w:sz w:val="21"/>
          <w:szCs w:val="21"/>
          <w:highlight w:val="none"/>
        </w:rPr>
        <w:t>并</w:t>
      </w:r>
      <w:r>
        <w:rPr>
          <w:color w:val="auto"/>
          <w:sz w:val="21"/>
          <w:szCs w:val="21"/>
          <w:highlight w:val="none"/>
        </w:rPr>
        <w:t xml:space="preserve">加盖公章之日起生效。 </w:t>
      </w:r>
    </w:p>
    <w:p>
      <w:pPr>
        <w:spacing w:line="360" w:lineRule="auto"/>
        <w:ind w:firstLine="420" w:firstLineChars="200"/>
        <w:rPr>
          <w:color w:val="auto"/>
          <w:sz w:val="21"/>
          <w:szCs w:val="21"/>
          <w:highlight w:val="none"/>
        </w:rPr>
      </w:pPr>
      <w:r>
        <w:rPr>
          <w:rFonts w:hint="eastAsia"/>
          <w:color w:val="auto"/>
          <w:sz w:val="21"/>
          <w:szCs w:val="21"/>
          <w:highlight w:val="none"/>
        </w:rPr>
        <w:t>保 证 人</w:t>
      </w:r>
      <w:r>
        <w:rPr>
          <w:color w:val="auto"/>
          <w:sz w:val="21"/>
          <w:szCs w:val="21"/>
          <w:highlight w:val="none"/>
        </w:rPr>
        <w:t xml:space="preserve">：                </w:t>
      </w:r>
      <w:r>
        <w:rPr>
          <w:rFonts w:hint="eastAsia"/>
          <w:color w:val="auto"/>
          <w:sz w:val="21"/>
          <w:szCs w:val="21"/>
          <w:highlight w:val="none"/>
        </w:rPr>
        <w:t xml:space="preserve">             </w:t>
      </w:r>
      <w:r>
        <w:rPr>
          <w:color w:val="auto"/>
          <w:sz w:val="21"/>
          <w:szCs w:val="21"/>
          <w:highlight w:val="none"/>
        </w:rPr>
        <w:t xml:space="preserve"> </w:t>
      </w:r>
      <w:r>
        <w:rPr>
          <w:rFonts w:hint="eastAsia"/>
          <w:color w:val="auto"/>
          <w:sz w:val="21"/>
          <w:szCs w:val="21"/>
          <w:highlight w:val="none"/>
        </w:rPr>
        <w:t>（公</w:t>
      </w:r>
      <w:r>
        <w:rPr>
          <w:color w:val="auto"/>
          <w:sz w:val="21"/>
          <w:szCs w:val="21"/>
          <w:highlight w:val="none"/>
        </w:rPr>
        <w:t xml:space="preserve">章） </w:t>
      </w:r>
    </w:p>
    <w:p>
      <w:pPr>
        <w:spacing w:line="360" w:lineRule="auto"/>
        <w:ind w:firstLine="420" w:firstLineChars="200"/>
        <w:rPr>
          <w:color w:val="auto"/>
          <w:sz w:val="21"/>
          <w:szCs w:val="21"/>
          <w:highlight w:val="none"/>
        </w:rPr>
      </w:pPr>
      <w:r>
        <w:rPr>
          <w:rFonts w:hint="eastAsia"/>
          <w:color w:val="auto"/>
          <w:sz w:val="21"/>
          <w:szCs w:val="21"/>
          <w:highlight w:val="none"/>
        </w:rPr>
        <w:t>法定代表人（或授权代表）：</w:t>
      </w:r>
      <w:r>
        <w:rPr>
          <w:color w:val="auto"/>
          <w:sz w:val="21"/>
          <w:szCs w:val="21"/>
          <w:highlight w:val="none"/>
        </w:rPr>
        <w:t xml:space="preserve">               （签字） </w:t>
      </w:r>
    </w:p>
    <w:p>
      <w:pPr>
        <w:spacing w:line="360" w:lineRule="auto"/>
        <w:ind w:firstLine="420" w:firstLineChars="200"/>
        <w:rPr>
          <w:color w:val="auto"/>
          <w:sz w:val="21"/>
          <w:szCs w:val="21"/>
          <w:highlight w:val="none"/>
        </w:rPr>
      </w:pPr>
      <w:r>
        <w:rPr>
          <w:rFonts w:hint="eastAsia"/>
          <w:color w:val="auto"/>
          <w:sz w:val="21"/>
          <w:szCs w:val="21"/>
          <w:highlight w:val="none"/>
        </w:rPr>
        <w:t>地</w:t>
      </w:r>
      <w:r>
        <w:rPr>
          <w:color w:val="auto"/>
          <w:sz w:val="21"/>
          <w:szCs w:val="21"/>
          <w:highlight w:val="none"/>
        </w:rPr>
        <w:t xml:space="preserve">    址：                                       </w:t>
      </w:r>
    </w:p>
    <w:p>
      <w:pPr>
        <w:spacing w:line="360" w:lineRule="auto"/>
        <w:ind w:firstLine="420" w:firstLineChars="200"/>
        <w:rPr>
          <w:color w:val="auto"/>
          <w:sz w:val="21"/>
          <w:szCs w:val="21"/>
          <w:highlight w:val="none"/>
        </w:rPr>
      </w:pPr>
      <w:r>
        <w:rPr>
          <w:rFonts w:hint="eastAsia"/>
          <w:color w:val="auto"/>
          <w:sz w:val="21"/>
          <w:szCs w:val="21"/>
          <w:highlight w:val="none"/>
        </w:rPr>
        <w:t>邮政编码：</w:t>
      </w:r>
      <w:r>
        <w:rPr>
          <w:color w:val="auto"/>
          <w:sz w:val="21"/>
          <w:szCs w:val="21"/>
          <w:highlight w:val="none"/>
        </w:rPr>
        <w:t xml:space="preserve">                 </w:t>
      </w:r>
    </w:p>
    <w:p>
      <w:pPr>
        <w:spacing w:line="360" w:lineRule="auto"/>
        <w:ind w:firstLine="420" w:firstLineChars="200"/>
        <w:rPr>
          <w:color w:val="auto"/>
          <w:sz w:val="21"/>
          <w:szCs w:val="21"/>
          <w:highlight w:val="none"/>
        </w:rPr>
      </w:pPr>
      <w:r>
        <w:rPr>
          <w:rFonts w:hint="eastAsia"/>
          <w:color w:val="auto"/>
          <w:sz w:val="21"/>
          <w:szCs w:val="21"/>
          <w:highlight w:val="none"/>
        </w:rPr>
        <w:t>电</w:t>
      </w:r>
      <w:r>
        <w:rPr>
          <w:color w:val="auto"/>
          <w:sz w:val="21"/>
          <w:szCs w:val="21"/>
          <w:highlight w:val="none"/>
        </w:rPr>
        <w:t xml:space="preserve">    话：                 </w:t>
      </w:r>
    </w:p>
    <w:p>
      <w:pPr>
        <w:spacing w:line="360" w:lineRule="auto"/>
        <w:ind w:firstLine="420" w:firstLineChars="200"/>
        <w:rPr>
          <w:color w:val="auto"/>
          <w:sz w:val="21"/>
          <w:szCs w:val="21"/>
          <w:highlight w:val="none"/>
        </w:rPr>
      </w:pPr>
      <w:r>
        <w:rPr>
          <w:rFonts w:hint="eastAsia"/>
          <w:color w:val="auto"/>
          <w:sz w:val="21"/>
          <w:szCs w:val="21"/>
          <w:highlight w:val="none"/>
        </w:rPr>
        <w:t>传</w:t>
      </w:r>
      <w:r>
        <w:rPr>
          <w:color w:val="auto"/>
          <w:sz w:val="21"/>
          <w:szCs w:val="21"/>
          <w:highlight w:val="none"/>
        </w:rPr>
        <w:t xml:space="preserve">    真：                 </w:t>
      </w:r>
    </w:p>
    <w:p>
      <w:pPr>
        <w:spacing w:line="360" w:lineRule="auto"/>
        <w:ind w:firstLine="420" w:firstLineChars="200"/>
        <w:rPr>
          <w:color w:val="auto"/>
          <w:sz w:val="21"/>
          <w:szCs w:val="21"/>
          <w:highlight w:val="none"/>
        </w:rPr>
      </w:pPr>
      <w:r>
        <w:rPr>
          <w:rFonts w:hint="eastAsia"/>
          <w:color w:val="auto"/>
          <w:sz w:val="21"/>
          <w:szCs w:val="21"/>
          <w:highlight w:val="none"/>
        </w:rPr>
        <w:t xml:space="preserve">时 </w:t>
      </w:r>
      <w:r>
        <w:rPr>
          <w:color w:val="auto"/>
          <w:sz w:val="21"/>
          <w:szCs w:val="21"/>
          <w:highlight w:val="none"/>
        </w:rPr>
        <w:t xml:space="preserve">   </w:t>
      </w:r>
      <w:r>
        <w:rPr>
          <w:rFonts w:hint="eastAsia"/>
          <w:color w:val="auto"/>
          <w:sz w:val="21"/>
          <w:szCs w:val="21"/>
          <w:highlight w:val="none"/>
        </w:rPr>
        <w:t>间：</w:t>
      </w:r>
      <w:r>
        <w:rPr>
          <w:color w:val="auto"/>
          <w:sz w:val="21"/>
          <w:szCs w:val="21"/>
          <w:highlight w:val="none"/>
        </w:rPr>
        <w:t xml:space="preserve">      年      月        日</w:t>
      </w:r>
    </w:p>
    <w:p>
      <w:pPr>
        <w:rPr>
          <w:rFonts w:cs="宋体"/>
          <w:color w:val="auto"/>
          <w:sz w:val="21"/>
          <w:szCs w:val="21"/>
          <w:highlight w:val="none"/>
        </w:rPr>
      </w:pPr>
    </w:p>
    <w:p>
      <w:pPr>
        <w:adjustRightInd w:val="0"/>
        <w:spacing w:line="300" w:lineRule="auto"/>
        <w:ind w:right="150" w:firstLine="420" w:firstLineChars="200"/>
        <w:textAlignment w:val="baseline"/>
        <w:rPr>
          <w:rFonts w:cs="宋体"/>
          <w:color w:val="auto"/>
          <w:sz w:val="24"/>
          <w:szCs w:val="24"/>
          <w:highlight w:val="none"/>
        </w:rPr>
      </w:pPr>
      <w:r>
        <w:rPr>
          <w:rFonts w:hint="eastAsia" w:cs="宋体"/>
          <w:color w:val="auto"/>
          <w:sz w:val="21"/>
          <w:szCs w:val="21"/>
          <w:highlight w:val="none"/>
        </w:rPr>
        <w:t>备注：本支付担保格式可以采用经承包人同意的其他格式，但相关内容不得违背合同约定的实质性内容</w:t>
      </w:r>
      <w:r>
        <w:rPr>
          <w:rFonts w:hint="eastAsia" w:cs="宋体"/>
          <w:color w:val="auto"/>
          <w:sz w:val="24"/>
          <w:szCs w:val="24"/>
          <w:highlight w:val="none"/>
        </w:rPr>
        <w:t>。</w:t>
      </w:r>
      <w:bookmarkStart w:id="1454" w:name="_Toc63471503"/>
      <w:bookmarkEnd w:id="1454"/>
      <w:bookmarkStart w:id="1455" w:name="_Toc63471500"/>
      <w:bookmarkEnd w:id="1455"/>
      <w:r>
        <w:rPr>
          <w:rFonts w:hint="eastAsia" w:cs="宋体"/>
          <w:color w:val="auto"/>
          <w:sz w:val="24"/>
          <w:szCs w:val="24"/>
          <w:highlight w:val="none"/>
        </w:rPr>
        <w:t xml:space="preserve"> </w:t>
      </w:r>
    </w:p>
    <w:p>
      <w:pPr>
        <w:adjustRightInd w:val="0"/>
        <w:spacing w:afterLines="50"/>
        <w:jc w:val="left"/>
        <w:textAlignment w:val="baseline"/>
        <w:outlineLvl w:val="3"/>
        <w:rPr>
          <w:rFonts w:ascii="黑体" w:eastAsia="黑体" w:cs="黑体"/>
          <w:color w:val="auto"/>
          <w:sz w:val="21"/>
          <w:szCs w:val="21"/>
          <w:highlight w:val="none"/>
        </w:rPr>
      </w:pPr>
      <w:r>
        <w:rPr>
          <w:rFonts w:hint="eastAsia" w:ascii="黑体" w:eastAsia="黑体" w:cs="黑体"/>
          <w:color w:val="auto"/>
          <w:sz w:val="21"/>
          <w:szCs w:val="21"/>
          <w:highlight w:val="none"/>
        </w:rPr>
        <w:br w:type="page"/>
      </w:r>
      <w:r>
        <w:rPr>
          <w:rFonts w:hint="eastAsia" w:ascii="黑体" w:eastAsia="黑体" w:cs="黑体"/>
          <w:color w:val="auto"/>
          <w:sz w:val="21"/>
          <w:szCs w:val="21"/>
          <w:highlight w:val="none"/>
        </w:rPr>
        <w:t>附件10：</w:t>
      </w:r>
    </w:p>
    <w:p>
      <w:pPr>
        <w:adjustRightInd w:val="0"/>
        <w:spacing w:beforeLines="50" w:afterLines="50" w:line="300" w:lineRule="auto"/>
        <w:jc w:val="center"/>
        <w:textAlignment w:val="baseline"/>
        <w:rPr>
          <w:rFonts w:cs="宋体"/>
          <w:b/>
          <w:color w:val="auto"/>
          <w:sz w:val="28"/>
          <w:szCs w:val="28"/>
          <w:highlight w:val="none"/>
        </w:rPr>
      </w:pPr>
      <w:r>
        <w:rPr>
          <w:rFonts w:hint="eastAsia" w:cs="宋体"/>
          <w:b/>
          <w:color w:val="auto"/>
          <w:sz w:val="28"/>
          <w:szCs w:val="28"/>
          <w:highlight w:val="none"/>
        </w:rPr>
        <w:t>专业工程暂估价表</w:t>
      </w:r>
    </w:p>
    <w:tbl>
      <w:tblPr>
        <w:tblStyle w:val="60"/>
        <w:tblW w:w="0" w:type="auto"/>
        <w:tblInd w:w="8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879"/>
        <w:gridCol w:w="1984"/>
        <w:gridCol w:w="4678"/>
        <w:gridCol w:w="204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Borders>
              <w:top w:val="single" w:color="auto" w:sz="12" w:space="0"/>
              <w:left w:val="single" w:color="auto" w:sz="12" w:space="0"/>
              <w:bottom w:val="double" w:color="auto" w:sz="2" w:space="0"/>
              <w:right w:val="single" w:color="auto" w:sz="6" w:space="0"/>
            </w:tcBorders>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序号</w:t>
            </w:r>
          </w:p>
        </w:tc>
        <w:tc>
          <w:tcPr>
            <w:tcW w:w="1984" w:type="dxa"/>
            <w:tcBorders>
              <w:top w:val="single" w:color="auto" w:sz="12" w:space="0"/>
              <w:left w:val="single" w:color="auto" w:sz="6" w:space="0"/>
              <w:bottom w:val="double" w:color="auto" w:sz="2" w:space="0"/>
              <w:right w:val="single" w:color="auto" w:sz="6" w:space="0"/>
            </w:tcBorders>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专业工程名称</w:t>
            </w:r>
          </w:p>
        </w:tc>
        <w:tc>
          <w:tcPr>
            <w:tcW w:w="4678" w:type="dxa"/>
            <w:tcBorders>
              <w:top w:val="single" w:color="auto" w:sz="12" w:space="0"/>
              <w:left w:val="single" w:color="auto" w:sz="6" w:space="0"/>
              <w:bottom w:val="double" w:color="auto" w:sz="2" w:space="0"/>
              <w:right w:val="single" w:color="auto" w:sz="6" w:space="0"/>
            </w:tcBorders>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工程内容</w:t>
            </w:r>
          </w:p>
        </w:tc>
        <w:tc>
          <w:tcPr>
            <w:tcW w:w="2046" w:type="dxa"/>
            <w:tcBorders>
              <w:top w:val="single" w:color="auto" w:sz="12" w:space="0"/>
              <w:left w:val="single" w:color="auto" w:sz="6" w:space="0"/>
              <w:bottom w:val="double" w:color="auto" w:sz="2" w:space="0"/>
              <w:right w:val="single" w:color="auto" w:sz="12" w:space="0"/>
            </w:tcBorders>
          </w:tcPr>
          <w:p>
            <w:pPr>
              <w:keepNext/>
              <w:adjustRightInd w:val="0"/>
              <w:spacing w:line="300" w:lineRule="auto"/>
              <w:ind w:left="63" w:right="63"/>
              <w:jc w:val="center"/>
              <w:textAlignment w:val="baseline"/>
              <w:rPr>
                <w:rFonts w:cs="宋体"/>
                <w:color w:val="auto"/>
                <w:sz w:val="21"/>
                <w:szCs w:val="21"/>
                <w:highlight w:val="none"/>
              </w:rPr>
            </w:pPr>
            <w:r>
              <w:rPr>
                <w:rFonts w:hint="eastAsia" w:cs="宋体"/>
                <w:color w:val="auto"/>
                <w:sz w:val="21"/>
                <w:szCs w:val="21"/>
                <w:highlight w:val="none"/>
              </w:rPr>
              <w:t>金额</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Borders>
              <w:top w:val="double" w:color="auto" w:sz="2" w:space="0"/>
              <w:left w:val="single" w:color="auto" w:sz="12"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1984" w:type="dxa"/>
            <w:tcBorders>
              <w:top w:val="double" w:color="auto" w:sz="2" w:space="0"/>
              <w:left w:val="single" w:color="auto" w:sz="6"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4678" w:type="dxa"/>
            <w:tcBorders>
              <w:top w:val="double" w:color="auto" w:sz="2" w:space="0"/>
              <w:left w:val="single" w:color="auto" w:sz="6"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2046" w:type="dxa"/>
            <w:tcBorders>
              <w:top w:val="double" w:color="auto" w:sz="2" w:space="0"/>
              <w:left w:val="single" w:color="auto" w:sz="6" w:space="0"/>
              <w:bottom w:val="single" w:color="auto" w:sz="6" w:space="0"/>
              <w:right w:val="single" w:color="auto" w:sz="12" w:space="0"/>
            </w:tcBorders>
          </w:tcPr>
          <w:p>
            <w:pPr>
              <w:keepNext/>
              <w:adjustRightInd w:val="0"/>
              <w:spacing w:line="300" w:lineRule="auto"/>
              <w:ind w:left="63" w:right="63"/>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Borders>
              <w:top w:val="nil"/>
              <w:left w:val="single" w:color="auto" w:sz="12"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1984" w:type="dxa"/>
            <w:tcBorders>
              <w:top w:val="nil"/>
              <w:left w:val="single" w:color="auto" w:sz="6"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4678" w:type="dxa"/>
            <w:tcBorders>
              <w:top w:val="nil"/>
              <w:left w:val="single" w:color="auto" w:sz="6"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2046" w:type="dxa"/>
            <w:tcBorders>
              <w:top w:val="nil"/>
              <w:left w:val="single" w:color="auto" w:sz="6" w:space="0"/>
              <w:bottom w:val="single" w:color="auto" w:sz="6" w:space="0"/>
              <w:right w:val="single" w:color="auto" w:sz="12" w:space="0"/>
            </w:tcBorders>
          </w:tcPr>
          <w:p>
            <w:pPr>
              <w:keepNext/>
              <w:adjustRightInd w:val="0"/>
              <w:spacing w:line="300" w:lineRule="auto"/>
              <w:ind w:left="63" w:right="63"/>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Borders>
              <w:top w:val="nil"/>
              <w:left w:val="single" w:color="auto" w:sz="12"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1984" w:type="dxa"/>
            <w:tcBorders>
              <w:top w:val="nil"/>
              <w:left w:val="single" w:color="auto" w:sz="6"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4678" w:type="dxa"/>
            <w:tcBorders>
              <w:top w:val="nil"/>
              <w:left w:val="single" w:color="auto" w:sz="6"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2046" w:type="dxa"/>
            <w:tcBorders>
              <w:top w:val="nil"/>
              <w:left w:val="single" w:color="auto" w:sz="6" w:space="0"/>
              <w:bottom w:val="single" w:color="auto" w:sz="6" w:space="0"/>
              <w:right w:val="single" w:color="auto" w:sz="12" w:space="0"/>
            </w:tcBorders>
          </w:tcPr>
          <w:p>
            <w:pPr>
              <w:keepNext/>
              <w:adjustRightInd w:val="0"/>
              <w:spacing w:line="300" w:lineRule="auto"/>
              <w:ind w:left="63" w:right="63"/>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Borders>
              <w:top w:val="single" w:color="auto" w:sz="6" w:space="0"/>
              <w:left w:val="single" w:color="auto" w:sz="12"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1984" w:type="dxa"/>
            <w:tcBorders>
              <w:top w:val="single" w:color="auto" w:sz="6" w:space="0"/>
              <w:left w:val="single" w:color="auto" w:sz="6"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4678" w:type="dxa"/>
            <w:tcBorders>
              <w:top w:val="single" w:color="auto" w:sz="6" w:space="0"/>
              <w:left w:val="single" w:color="auto" w:sz="6"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2046" w:type="dxa"/>
            <w:tcBorders>
              <w:top w:val="single" w:color="auto" w:sz="6" w:space="0"/>
              <w:left w:val="single" w:color="auto" w:sz="6" w:space="0"/>
              <w:bottom w:val="single" w:color="auto" w:sz="6" w:space="0"/>
              <w:right w:val="single" w:color="auto" w:sz="12" w:space="0"/>
            </w:tcBorders>
          </w:tcPr>
          <w:p>
            <w:pPr>
              <w:keepNext/>
              <w:adjustRightInd w:val="0"/>
              <w:spacing w:line="300" w:lineRule="auto"/>
              <w:ind w:left="63" w:right="63"/>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Borders>
              <w:top w:val="single" w:color="auto" w:sz="6" w:space="0"/>
              <w:left w:val="single" w:color="auto" w:sz="12"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1984" w:type="dxa"/>
            <w:tcBorders>
              <w:top w:val="single" w:color="auto" w:sz="6" w:space="0"/>
              <w:left w:val="single" w:color="auto" w:sz="6"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4678" w:type="dxa"/>
            <w:tcBorders>
              <w:top w:val="single" w:color="auto" w:sz="6" w:space="0"/>
              <w:left w:val="single" w:color="auto" w:sz="6"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2046" w:type="dxa"/>
            <w:tcBorders>
              <w:top w:val="single" w:color="auto" w:sz="6" w:space="0"/>
              <w:left w:val="single" w:color="auto" w:sz="6" w:space="0"/>
              <w:bottom w:val="single" w:color="auto" w:sz="6" w:space="0"/>
              <w:right w:val="single" w:color="auto" w:sz="12" w:space="0"/>
            </w:tcBorders>
          </w:tcPr>
          <w:p>
            <w:pPr>
              <w:keepNext/>
              <w:adjustRightInd w:val="0"/>
              <w:spacing w:line="300" w:lineRule="auto"/>
              <w:ind w:left="63" w:right="63"/>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Borders>
              <w:top w:val="single" w:color="auto" w:sz="6" w:space="0"/>
              <w:left w:val="single" w:color="auto" w:sz="12"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1984" w:type="dxa"/>
            <w:tcBorders>
              <w:top w:val="single" w:color="auto" w:sz="6" w:space="0"/>
              <w:left w:val="single" w:color="auto" w:sz="6"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4678" w:type="dxa"/>
            <w:tcBorders>
              <w:top w:val="single" w:color="auto" w:sz="6" w:space="0"/>
              <w:left w:val="single" w:color="auto" w:sz="6"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2046" w:type="dxa"/>
            <w:tcBorders>
              <w:top w:val="single" w:color="auto" w:sz="6" w:space="0"/>
              <w:left w:val="single" w:color="auto" w:sz="6" w:space="0"/>
              <w:bottom w:val="single" w:color="auto" w:sz="6" w:space="0"/>
              <w:right w:val="single" w:color="auto" w:sz="12" w:space="0"/>
            </w:tcBorders>
          </w:tcPr>
          <w:p>
            <w:pPr>
              <w:keepNext/>
              <w:adjustRightInd w:val="0"/>
              <w:spacing w:line="300" w:lineRule="auto"/>
              <w:ind w:left="63" w:right="63"/>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Borders>
              <w:top w:val="single" w:color="auto" w:sz="6" w:space="0"/>
              <w:left w:val="single" w:color="auto" w:sz="12"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1984" w:type="dxa"/>
            <w:tcBorders>
              <w:top w:val="single" w:color="auto" w:sz="6" w:space="0"/>
              <w:left w:val="single" w:color="auto" w:sz="6"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4678" w:type="dxa"/>
            <w:tcBorders>
              <w:top w:val="single" w:color="auto" w:sz="6" w:space="0"/>
              <w:left w:val="single" w:color="auto" w:sz="6"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2046" w:type="dxa"/>
            <w:tcBorders>
              <w:top w:val="single" w:color="auto" w:sz="6" w:space="0"/>
              <w:left w:val="single" w:color="auto" w:sz="6" w:space="0"/>
              <w:bottom w:val="single" w:color="auto" w:sz="6" w:space="0"/>
              <w:right w:val="single" w:color="auto" w:sz="12" w:space="0"/>
            </w:tcBorders>
          </w:tcPr>
          <w:p>
            <w:pPr>
              <w:keepNext/>
              <w:adjustRightInd w:val="0"/>
              <w:spacing w:line="300" w:lineRule="auto"/>
              <w:ind w:left="63" w:right="63"/>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Borders>
              <w:top w:val="single" w:color="auto" w:sz="6" w:space="0"/>
              <w:left w:val="single" w:color="auto" w:sz="12"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1984" w:type="dxa"/>
            <w:tcBorders>
              <w:top w:val="single" w:color="auto" w:sz="6" w:space="0"/>
              <w:left w:val="single" w:color="auto" w:sz="6"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4678" w:type="dxa"/>
            <w:tcBorders>
              <w:top w:val="single" w:color="auto" w:sz="6" w:space="0"/>
              <w:left w:val="single" w:color="auto" w:sz="6"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2046" w:type="dxa"/>
            <w:tcBorders>
              <w:top w:val="single" w:color="auto" w:sz="6" w:space="0"/>
              <w:left w:val="single" w:color="auto" w:sz="6" w:space="0"/>
              <w:bottom w:val="single" w:color="auto" w:sz="6" w:space="0"/>
              <w:right w:val="single" w:color="auto" w:sz="12" w:space="0"/>
            </w:tcBorders>
          </w:tcPr>
          <w:p>
            <w:pPr>
              <w:keepNext/>
              <w:adjustRightInd w:val="0"/>
              <w:spacing w:line="300" w:lineRule="auto"/>
              <w:ind w:left="63" w:right="63"/>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Borders>
              <w:top w:val="single" w:color="auto" w:sz="6" w:space="0"/>
              <w:left w:val="single" w:color="auto" w:sz="12"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1984" w:type="dxa"/>
            <w:tcBorders>
              <w:top w:val="single" w:color="auto" w:sz="6" w:space="0"/>
              <w:left w:val="single" w:color="auto" w:sz="6"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4678" w:type="dxa"/>
            <w:tcBorders>
              <w:top w:val="single" w:color="auto" w:sz="6" w:space="0"/>
              <w:left w:val="single" w:color="auto" w:sz="6"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2046" w:type="dxa"/>
            <w:tcBorders>
              <w:top w:val="single" w:color="auto" w:sz="6" w:space="0"/>
              <w:left w:val="single" w:color="auto" w:sz="6" w:space="0"/>
              <w:bottom w:val="single" w:color="auto" w:sz="6" w:space="0"/>
              <w:right w:val="single" w:color="auto" w:sz="12" w:space="0"/>
            </w:tcBorders>
          </w:tcPr>
          <w:p>
            <w:pPr>
              <w:keepNext/>
              <w:adjustRightInd w:val="0"/>
              <w:spacing w:line="300" w:lineRule="auto"/>
              <w:ind w:left="63" w:right="63"/>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Borders>
              <w:top w:val="single" w:color="auto" w:sz="6" w:space="0"/>
              <w:left w:val="single" w:color="auto" w:sz="12"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1984" w:type="dxa"/>
            <w:tcBorders>
              <w:top w:val="single" w:color="auto" w:sz="6" w:space="0"/>
              <w:left w:val="single" w:color="auto" w:sz="6"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4678" w:type="dxa"/>
            <w:tcBorders>
              <w:top w:val="single" w:color="auto" w:sz="6" w:space="0"/>
              <w:left w:val="single" w:color="auto" w:sz="6"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2046" w:type="dxa"/>
            <w:tcBorders>
              <w:top w:val="single" w:color="auto" w:sz="6" w:space="0"/>
              <w:left w:val="single" w:color="auto" w:sz="6" w:space="0"/>
              <w:bottom w:val="single" w:color="auto" w:sz="6" w:space="0"/>
              <w:right w:val="single" w:color="auto" w:sz="12" w:space="0"/>
            </w:tcBorders>
          </w:tcPr>
          <w:p>
            <w:pPr>
              <w:keepNext/>
              <w:adjustRightInd w:val="0"/>
              <w:spacing w:line="300" w:lineRule="auto"/>
              <w:ind w:left="63" w:right="63"/>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Borders>
              <w:top w:val="single" w:color="auto" w:sz="6" w:space="0"/>
              <w:left w:val="single" w:color="auto" w:sz="12"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1984" w:type="dxa"/>
            <w:tcBorders>
              <w:top w:val="single" w:color="auto" w:sz="6" w:space="0"/>
              <w:left w:val="single" w:color="auto" w:sz="6"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4678" w:type="dxa"/>
            <w:tcBorders>
              <w:top w:val="single" w:color="auto" w:sz="6" w:space="0"/>
              <w:left w:val="single" w:color="auto" w:sz="6"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2046" w:type="dxa"/>
            <w:tcBorders>
              <w:top w:val="single" w:color="auto" w:sz="6" w:space="0"/>
              <w:left w:val="single" w:color="auto" w:sz="6" w:space="0"/>
              <w:bottom w:val="single" w:color="auto" w:sz="6" w:space="0"/>
              <w:right w:val="single" w:color="auto" w:sz="12" w:space="0"/>
            </w:tcBorders>
          </w:tcPr>
          <w:p>
            <w:pPr>
              <w:keepNext/>
              <w:adjustRightInd w:val="0"/>
              <w:spacing w:line="300" w:lineRule="auto"/>
              <w:ind w:left="63" w:right="63"/>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Borders>
              <w:top w:val="single" w:color="auto" w:sz="6" w:space="0"/>
              <w:left w:val="single" w:color="auto" w:sz="12"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1984" w:type="dxa"/>
            <w:tcBorders>
              <w:top w:val="single" w:color="auto" w:sz="6" w:space="0"/>
              <w:left w:val="single" w:color="auto" w:sz="6"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4678" w:type="dxa"/>
            <w:tcBorders>
              <w:top w:val="single" w:color="auto" w:sz="6" w:space="0"/>
              <w:left w:val="single" w:color="auto" w:sz="6"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2046" w:type="dxa"/>
            <w:tcBorders>
              <w:top w:val="single" w:color="auto" w:sz="6" w:space="0"/>
              <w:left w:val="single" w:color="auto" w:sz="6" w:space="0"/>
              <w:bottom w:val="single" w:color="auto" w:sz="6" w:space="0"/>
              <w:right w:val="single" w:color="auto" w:sz="12" w:space="0"/>
            </w:tcBorders>
          </w:tcPr>
          <w:p>
            <w:pPr>
              <w:keepNext/>
              <w:adjustRightInd w:val="0"/>
              <w:spacing w:line="300" w:lineRule="auto"/>
              <w:ind w:left="63" w:right="63"/>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Borders>
              <w:top w:val="single" w:color="auto" w:sz="6" w:space="0"/>
              <w:left w:val="single" w:color="auto" w:sz="12"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1984" w:type="dxa"/>
            <w:tcBorders>
              <w:top w:val="single" w:color="auto" w:sz="6" w:space="0"/>
              <w:left w:val="single" w:color="auto" w:sz="6"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4678" w:type="dxa"/>
            <w:tcBorders>
              <w:top w:val="single" w:color="auto" w:sz="6" w:space="0"/>
              <w:left w:val="single" w:color="auto" w:sz="6"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2046" w:type="dxa"/>
            <w:tcBorders>
              <w:top w:val="single" w:color="auto" w:sz="6" w:space="0"/>
              <w:left w:val="single" w:color="auto" w:sz="6" w:space="0"/>
              <w:bottom w:val="single" w:color="auto" w:sz="6" w:space="0"/>
              <w:right w:val="single" w:color="auto" w:sz="12" w:space="0"/>
            </w:tcBorders>
          </w:tcPr>
          <w:p>
            <w:pPr>
              <w:keepNext/>
              <w:adjustRightInd w:val="0"/>
              <w:spacing w:line="300" w:lineRule="auto"/>
              <w:ind w:left="63" w:right="63"/>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Borders>
              <w:top w:val="single" w:color="auto" w:sz="6" w:space="0"/>
              <w:left w:val="single" w:color="auto" w:sz="12"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1984" w:type="dxa"/>
            <w:tcBorders>
              <w:top w:val="single" w:color="auto" w:sz="6" w:space="0"/>
              <w:left w:val="single" w:color="auto" w:sz="6"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4678" w:type="dxa"/>
            <w:tcBorders>
              <w:top w:val="single" w:color="auto" w:sz="6" w:space="0"/>
              <w:left w:val="single" w:color="auto" w:sz="6"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2046" w:type="dxa"/>
            <w:tcBorders>
              <w:top w:val="single" w:color="auto" w:sz="6" w:space="0"/>
              <w:left w:val="single" w:color="auto" w:sz="6" w:space="0"/>
              <w:bottom w:val="single" w:color="auto" w:sz="6" w:space="0"/>
              <w:right w:val="single" w:color="auto" w:sz="12" w:space="0"/>
            </w:tcBorders>
          </w:tcPr>
          <w:p>
            <w:pPr>
              <w:keepNext/>
              <w:adjustRightInd w:val="0"/>
              <w:spacing w:line="300" w:lineRule="auto"/>
              <w:ind w:left="63" w:right="63"/>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Borders>
              <w:top w:val="single" w:color="auto" w:sz="6" w:space="0"/>
              <w:left w:val="single" w:color="auto" w:sz="12"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1984" w:type="dxa"/>
            <w:tcBorders>
              <w:top w:val="single" w:color="auto" w:sz="6" w:space="0"/>
              <w:left w:val="single" w:color="auto" w:sz="6"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4678" w:type="dxa"/>
            <w:tcBorders>
              <w:top w:val="single" w:color="auto" w:sz="6" w:space="0"/>
              <w:left w:val="single" w:color="auto" w:sz="6"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2046" w:type="dxa"/>
            <w:tcBorders>
              <w:top w:val="single" w:color="auto" w:sz="6" w:space="0"/>
              <w:left w:val="single" w:color="auto" w:sz="6" w:space="0"/>
              <w:bottom w:val="single" w:color="auto" w:sz="6" w:space="0"/>
              <w:right w:val="single" w:color="auto" w:sz="12" w:space="0"/>
            </w:tcBorders>
          </w:tcPr>
          <w:p>
            <w:pPr>
              <w:keepNext/>
              <w:adjustRightInd w:val="0"/>
              <w:spacing w:line="300" w:lineRule="auto"/>
              <w:ind w:left="63" w:right="63"/>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Borders>
              <w:top w:val="single" w:color="auto" w:sz="6" w:space="0"/>
              <w:left w:val="single" w:color="auto" w:sz="12"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1984" w:type="dxa"/>
            <w:tcBorders>
              <w:top w:val="single" w:color="auto" w:sz="6" w:space="0"/>
              <w:left w:val="single" w:color="auto" w:sz="6"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4678" w:type="dxa"/>
            <w:tcBorders>
              <w:top w:val="single" w:color="auto" w:sz="6" w:space="0"/>
              <w:left w:val="single" w:color="auto" w:sz="6"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2046" w:type="dxa"/>
            <w:tcBorders>
              <w:top w:val="single" w:color="auto" w:sz="6" w:space="0"/>
              <w:left w:val="single" w:color="auto" w:sz="6" w:space="0"/>
              <w:bottom w:val="single" w:color="auto" w:sz="6" w:space="0"/>
              <w:right w:val="single" w:color="auto" w:sz="12" w:space="0"/>
            </w:tcBorders>
          </w:tcPr>
          <w:p>
            <w:pPr>
              <w:keepNext/>
              <w:adjustRightInd w:val="0"/>
              <w:spacing w:line="300" w:lineRule="auto"/>
              <w:ind w:left="63" w:right="63"/>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Borders>
              <w:top w:val="single" w:color="auto" w:sz="6" w:space="0"/>
              <w:left w:val="single" w:color="auto" w:sz="12"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1984" w:type="dxa"/>
            <w:tcBorders>
              <w:top w:val="single" w:color="auto" w:sz="6" w:space="0"/>
              <w:left w:val="single" w:color="auto" w:sz="6"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4678" w:type="dxa"/>
            <w:tcBorders>
              <w:top w:val="single" w:color="auto" w:sz="6" w:space="0"/>
              <w:left w:val="single" w:color="auto" w:sz="6"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2046" w:type="dxa"/>
            <w:tcBorders>
              <w:top w:val="single" w:color="auto" w:sz="6" w:space="0"/>
              <w:left w:val="single" w:color="auto" w:sz="6" w:space="0"/>
              <w:bottom w:val="single" w:color="auto" w:sz="6" w:space="0"/>
              <w:right w:val="single" w:color="auto" w:sz="12" w:space="0"/>
            </w:tcBorders>
          </w:tcPr>
          <w:p>
            <w:pPr>
              <w:keepNext/>
              <w:adjustRightInd w:val="0"/>
              <w:spacing w:line="300" w:lineRule="auto"/>
              <w:ind w:left="63" w:right="63"/>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Borders>
              <w:top w:val="single" w:color="auto" w:sz="6" w:space="0"/>
              <w:left w:val="single" w:color="auto" w:sz="12"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1984" w:type="dxa"/>
            <w:tcBorders>
              <w:top w:val="single" w:color="auto" w:sz="6" w:space="0"/>
              <w:left w:val="single" w:color="auto" w:sz="6"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4678" w:type="dxa"/>
            <w:tcBorders>
              <w:top w:val="single" w:color="auto" w:sz="6" w:space="0"/>
              <w:left w:val="single" w:color="auto" w:sz="6"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2046" w:type="dxa"/>
            <w:tcBorders>
              <w:top w:val="single" w:color="auto" w:sz="6" w:space="0"/>
              <w:left w:val="single" w:color="auto" w:sz="6" w:space="0"/>
              <w:bottom w:val="single" w:color="auto" w:sz="6" w:space="0"/>
              <w:right w:val="single" w:color="auto" w:sz="12" w:space="0"/>
            </w:tcBorders>
          </w:tcPr>
          <w:p>
            <w:pPr>
              <w:keepNext/>
              <w:adjustRightInd w:val="0"/>
              <w:spacing w:line="300" w:lineRule="auto"/>
              <w:ind w:left="63" w:right="63"/>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Borders>
              <w:top w:val="single" w:color="auto" w:sz="6" w:space="0"/>
              <w:left w:val="single" w:color="auto" w:sz="12"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1984" w:type="dxa"/>
            <w:tcBorders>
              <w:top w:val="single" w:color="auto" w:sz="6" w:space="0"/>
              <w:left w:val="single" w:color="auto" w:sz="6"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4678" w:type="dxa"/>
            <w:tcBorders>
              <w:top w:val="single" w:color="auto" w:sz="6" w:space="0"/>
              <w:left w:val="single" w:color="auto" w:sz="6"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2046" w:type="dxa"/>
            <w:tcBorders>
              <w:top w:val="single" w:color="auto" w:sz="6" w:space="0"/>
              <w:left w:val="single" w:color="auto" w:sz="6" w:space="0"/>
              <w:bottom w:val="single" w:color="auto" w:sz="6" w:space="0"/>
              <w:right w:val="single" w:color="auto" w:sz="12" w:space="0"/>
            </w:tcBorders>
          </w:tcPr>
          <w:p>
            <w:pPr>
              <w:keepNext/>
              <w:adjustRightInd w:val="0"/>
              <w:spacing w:line="300" w:lineRule="auto"/>
              <w:ind w:left="63" w:right="63"/>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Borders>
              <w:top w:val="single" w:color="auto" w:sz="6" w:space="0"/>
              <w:left w:val="single" w:color="auto" w:sz="12"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1984" w:type="dxa"/>
            <w:tcBorders>
              <w:top w:val="single" w:color="auto" w:sz="6" w:space="0"/>
              <w:left w:val="single" w:color="auto" w:sz="6"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4678" w:type="dxa"/>
            <w:tcBorders>
              <w:top w:val="single" w:color="auto" w:sz="6" w:space="0"/>
              <w:left w:val="single" w:color="auto" w:sz="6"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2046" w:type="dxa"/>
            <w:tcBorders>
              <w:top w:val="single" w:color="auto" w:sz="6" w:space="0"/>
              <w:left w:val="single" w:color="auto" w:sz="6" w:space="0"/>
              <w:bottom w:val="single" w:color="auto" w:sz="6" w:space="0"/>
              <w:right w:val="single" w:color="auto" w:sz="12" w:space="0"/>
            </w:tcBorders>
          </w:tcPr>
          <w:p>
            <w:pPr>
              <w:keepNext/>
              <w:adjustRightInd w:val="0"/>
              <w:spacing w:line="300" w:lineRule="auto"/>
              <w:ind w:left="63" w:right="63"/>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Borders>
              <w:top w:val="single" w:color="auto" w:sz="6" w:space="0"/>
              <w:left w:val="single" w:color="auto" w:sz="12"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1984" w:type="dxa"/>
            <w:tcBorders>
              <w:top w:val="single" w:color="auto" w:sz="6" w:space="0"/>
              <w:left w:val="single" w:color="auto" w:sz="6"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4678" w:type="dxa"/>
            <w:tcBorders>
              <w:top w:val="single" w:color="auto" w:sz="6" w:space="0"/>
              <w:left w:val="single" w:color="auto" w:sz="6"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2046" w:type="dxa"/>
            <w:tcBorders>
              <w:top w:val="single" w:color="auto" w:sz="6" w:space="0"/>
              <w:left w:val="single" w:color="auto" w:sz="6" w:space="0"/>
              <w:bottom w:val="single" w:color="auto" w:sz="6" w:space="0"/>
              <w:right w:val="single" w:color="auto" w:sz="12" w:space="0"/>
            </w:tcBorders>
          </w:tcPr>
          <w:p>
            <w:pPr>
              <w:keepNext/>
              <w:adjustRightInd w:val="0"/>
              <w:spacing w:line="300" w:lineRule="auto"/>
              <w:ind w:left="63" w:right="63"/>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Borders>
              <w:top w:val="single" w:color="auto" w:sz="6" w:space="0"/>
              <w:left w:val="single" w:color="auto" w:sz="12"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1984" w:type="dxa"/>
            <w:tcBorders>
              <w:top w:val="single" w:color="auto" w:sz="6" w:space="0"/>
              <w:left w:val="single" w:color="auto" w:sz="6"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4678" w:type="dxa"/>
            <w:tcBorders>
              <w:top w:val="single" w:color="auto" w:sz="6" w:space="0"/>
              <w:left w:val="single" w:color="auto" w:sz="6"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2046" w:type="dxa"/>
            <w:tcBorders>
              <w:top w:val="single" w:color="auto" w:sz="6" w:space="0"/>
              <w:left w:val="single" w:color="auto" w:sz="6" w:space="0"/>
              <w:bottom w:val="single" w:color="auto" w:sz="6" w:space="0"/>
              <w:right w:val="single" w:color="auto" w:sz="12" w:space="0"/>
            </w:tcBorders>
          </w:tcPr>
          <w:p>
            <w:pPr>
              <w:keepNext/>
              <w:adjustRightInd w:val="0"/>
              <w:spacing w:line="300" w:lineRule="auto"/>
              <w:ind w:left="63" w:right="63"/>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Borders>
              <w:top w:val="single" w:color="auto" w:sz="6" w:space="0"/>
              <w:left w:val="single" w:color="auto" w:sz="12"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1984" w:type="dxa"/>
            <w:tcBorders>
              <w:top w:val="single" w:color="auto" w:sz="6" w:space="0"/>
              <w:left w:val="single" w:color="auto" w:sz="6"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4678" w:type="dxa"/>
            <w:tcBorders>
              <w:top w:val="single" w:color="auto" w:sz="6" w:space="0"/>
              <w:left w:val="single" w:color="auto" w:sz="6"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2046" w:type="dxa"/>
            <w:tcBorders>
              <w:top w:val="single" w:color="auto" w:sz="6" w:space="0"/>
              <w:left w:val="single" w:color="auto" w:sz="6" w:space="0"/>
              <w:bottom w:val="single" w:color="auto" w:sz="6" w:space="0"/>
              <w:right w:val="single" w:color="auto" w:sz="12" w:space="0"/>
            </w:tcBorders>
          </w:tcPr>
          <w:p>
            <w:pPr>
              <w:keepNext/>
              <w:adjustRightInd w:val="0"/>
              <w:spacing w:line="300" w:lineRule="auto"/>
              <w:ind w:left="63" w:right="63"/>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Borders>
              <w:top w:val="single" w:color="auto" w:sz="6" w:space="0"/>
              <w:left w:val="single" w:color="auto" w:sz="12"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1984" w:type="dxa"/>
            <w:tcBorders>
              <w:top w:val="single" w:color="auto" w:sz="6" w:space="0"/>
              <w:left w:val="single" w:color="auto" w:sz="6"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4678" w:type="dxa"/>
            <w:tcBorders>
              <w:top w:val="single" w:color="auto" w:sz="6" w:space="0"/>
              <w:left w:val="single" w:color="auto" w:sz="6"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2046" w:type="dxa"/>
            <w:tcBorders>
              <w:top w:val="single" w:color="auto" w:sz="6" w:space="0"/>
              <w:left w:val="single" w:color="auto" w:sz="6" w:space="0"/>
              <w:bottom w:val="single" w:color="auto" w:sz="6" w:space="0"/>
              <w:right w:val="single" w:color="auto" w:sz="12" w:space="0"/>
            </w:tcBorders>
          </w:tcPr>
          <w:p>
            <w:pPr>
              <w:keepNext/>
              <w:adjustRightInd w:val="0"/>
              <w:spacing w:line="300" w:lineRule="auto"/>
              <w:ind w:left="63" w:right="63"/>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Borders>
              <w:top w:val="single" w:color="auto" w:sz="6" w:space="0"/>
              <w:left w:val="single" w:color="auto" w:sz="12"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1984" w:type="dxa"/>
            <w:tcBorders>
              <w:top w:val="single" w:color="auto" w:sz="6" w:space="0"/>
              <w:left w:val="single" w:color="auto" w:sz="6"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4678" w:type="dxa"/>
            <w:tcBorders>
              <w:top w:val="single" w:color="auto" w:sz="6" w:space="0"/>
              <w:left w:val="single" w:color="auto" w:sz="6" w:space="0"/>
              <w:bottom w:val="single" w:color="auto" w:sz="6" w:space="0"/>
              <w:right w:val="single" w:color="auto" w:sz="6" w:space="0"/>
            </w:tcBorders>
          </w:tcPr>
          <w:p>
            <w:pPr>
              <w:keepNext/>
              <w:adjustRightInd w:val="0"/>
              <w:spacing w:line="300" w:lineRule="auto"/>
              <w:ind w:left="63" w:right="63"/>
              <w:textAlignment w:val="baseline"/>
              <w:rPr>
                <w:rFonts w:cs="宋体"/>
                <w:color w:val="auto"/>
                <w:sz w:val="24"/>
                <w:szCs w:val="24"/>
                <w:highlight w:val="none"/>
              </w:rPr>
            </w:pPr>
          </w:p>
        </w:tc>
        <w:tc>
          <w:tcPr>
            <w:tcW w:w="2046" w:type="dxa"/>
            <w:tcBorders>
              <w:top w:val="single" w:color="auto" w:sz="6" w:space="0"/>
              <w:left w:val="single" w:color="auto" w:sz="6" w:space="0"/>
              <w:bottom w:val="single" w:color="auto" w:sz="6" w:space="0"/>
              <w:right w:val="single" w:color="auto" w:sz="12" w:space="0"/>
            </w:tcBorders>
          </w:tcPr>
          <w:p>
            <w:pPr>
              <w:keepNext/>
              <w:adjustRightInd w:val="0"/>
              <w:spacing w:line="300" w:lineRule="auto"/>
              <w:ind w:left="63" w:right="63"/>
              <w:textAlignment w:val="baseline"/>
              <w:rPr>
                <w:rFonts w:cs="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587" w:type="dxa"/>
            <w:gridSpan w:val="4"/>
            <w:tcBorders>
              <w:top w:val="single" w:color="auto" w:sz="6" w:space="0"/>
              <w:left w:val="single" w:color="auto" w:sz="12" w:space="0"/>
              <w:bottom w:val="single" w:color="auto" w:sz="12" w:space="0"/>
              <w:right w:val="single" w:color="auto" w:sz="12" w:space="0"/>
            </w:tcBorders>
          </w:tcPr>
          <w:p>
            <w:pPr>
              <w:keepNext/>
              <w:adjustRightInd w:val="0"/>
              <w:spacing w:line="300" w:lineRule="auto"/>
              <w:ind w:left="63" w:right="63"/>
              <w:textAlignment w:val="baseline"/>
              <w:rPr>
                <w:rFonts w:cs="宋体"/>
                <w:color w:val="auto"/>
                <w:sz w:val="24"/>
                <w:szCs w:val="24"/>
                <w:highlight w:val="none"/>
              </w:rPr>
            </w:pPr>
            <w:r>
              <w:rPr>
                <w:rFonts w:hint="eastAsia" w:cs="宋体"/>
                <w:color w:val="auto"/>
                <w:sz w:val="24"/>
                <w:szCs w:val="24"/>
                <w:highlight w:val="none"/>
              </w:rPr>
              <w:t>小计：</w:t>
            </w:r>
          </w:p>
        </w:tc>
      </w:tr>
    </w:tbl>
    <w:p>
      <w:pPr>
        <w:adjustRightInd w:val="0"/>
        <w:spacing w:line="360" w:lineRule="atLeast"/>
        <w:textAlignment w:val="baseline"/>
        <w:rPr>
          <w:rFonts w:cs="宋体"/>
          <w:color w:val="auto"/>
          <w:kern w:val="2"/>
          <w:sz w:val="21"/>
          <w:szCs w:val="21"/>
          <w:highlight w:val="none"/>
        </w:rPr>
      </w:pPr>
      <w:r>
        <w:rPr>
          <w:rFonts w:hint="eastAsia" w:cs="宋体"/>
          <w:color w:val="auto"/>
          <w:kern w:val="2"/>
          <w:sz w:val="21"/>
          <w:szCs w:val="21"/>
          <w:highlight w:val="none"/>
        </w:rPr>
        <w:t xml:space="preserve"> </w:t>
      </w:r>
    </w:p>
    <w:p>
      <w:pPr>
        <w:adjustRightInd w:val="0"/>
        <w:spacing w:line="360" w:lineRule="auto"/>
        <w:textAlignment w:val="baseline"/>
        <w:rPr>
          <w:rFonts w:ascii="黑体" w:eastAsia="黑体" w:cs="黑体"/>
          <w:color w:val="auto"/>
          <w:sz w:val="21"/>
          <w:szCs w:val="21"/>
          <w:highlight w:val="none"/>
        </w:rPr>
      </w:pPr>
      <w:bookmarkStart w:id="1456" w:name="_Toc63471504"/>
      <w:bookmarkEnd w:id="1456"/>
      <w:r>
        <w:rPr>
          <w:rFonts w:hint="eastAsia" w:ascii="黑体" w:eastAsia="黑体" w:cs="黑体"/>
          <w:color w:val="auto"/>
          <w:sz w:val="21"/>
          <w:szCs w:val="21"/>
          <w:highlight w:val="none"/>
        </w:rPr>
        <w:br w:type="page"/>
      </w:r>
      <w:r>
        <w:rPr>
          <w:rFonts w:hint="eastAsia" w:ascii="黑体" w:eastAsia="黑体" w:cs="黑体"/>
          <w:color w:val="auto"/>
          <w:sz w:val="21"/>
          <w:szCs w:val="21"/>
          <w:highlight w:val="none"/>
        </w:rPr>
        <w:t>附件11：</w:t>
      </w:r>
    </w:p>
    <w:p>
      <w:pPr>
        <w:adjustRightInd w:val="0"/>
        <w:spacing w:beforeLines="50" w:afterLines="50" w:line="300" w:lineRule="auto"/>
        <w:jc w:val="center"/>
        <w:textAlignment w:val="baseline"/>
        <w:rPr>
          <w:rFonts w:cs="宋体"/>
          <w:b/>
          <w:color w:val="auto"/>
          <w:sz w:val="28"/>
          <w:szCs w:val="28"/>
          <w:highlight w:val="none"/>
        </w:rPr>
      </w:pPr>
      <w:r>
        <w:rPr>
          <w:rFonts w:hint="eastAsia" w:cs="宋体"/>
          <w:b/>
          <w:color w:val="auto"/>
          <w:sz w:val="28"/>
          <w:szCs w:val="28"/>
          <w:highlight w:val="none"/>
        </w:rPr>
        <w:t>质量保证金保函</w:t>
      </w:r>
    </w:p>
    <w:p>
      <w:pPr>
        <w:adjustRightInd w:val="0"/>
        <w:spacing w:line="360" w:lineRule="auto"/>
        <w:textAlignment w:val="baseline"/>
        <w:rPr>
          <w:rFonts w:cs="宋体"/>
          <w:color w:val="auto"/>
          <w:sz w:val="24"/>
          <w:szCs w:val="24"/>
          <w:highlight w:val="none"/>
          <w:u w:val="single"/>
        </w:rPr>
      </w:pPr>
    </w:p>
    <w:p>
      <w:pPr>
        <w:adjustRightInd w:val="0"/>
        <w:spacing w:line="360" w:lineRule="auto"/>
        <w:textAlignment w:val="baseline"/>
        <w:rPr>
          <w:rFonts w:cs="宋体"/>
          <w:color w:val="auto"/>
          <w:sz w:val="21"/>
          <w:szCs w:val="21"/>
          <w:highlight w:val="none"/>
        </w:rPr>
      </w:pPr>
      <w:r>
        <w:rPr>
          <w:rFonts w:hint="eastAsia" w:cs="宋体"/>
          <w:color w:val="auto"/>
          <w:sz w:val="21"/>
          <w:szCs w:val="21"/>
          <w:highlight w:val="none"/>
          <w:u w:val="single"/>
        </w:rPr>
        <w:t xml:space="preserve">                           </w:t>
      </w:r>
      <w:r>
        <w:rPr>
          <w:rFonts w:hint="eastAsia" w:cs="宋体"/>
          <w:color w:val="auto"/>
          <w:sz w:val="21"/>
          <w:szCs w:val="21"/>
          <w:highlight w:val="none"/>
        </w:rPr>
        <w:t>（发包人名称）：</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鉴于</w:t>
      </w:r>
      <w:r>
        <w:rPr>
          <w:rFonts w:hint="eastAsia" w:cs="宋体"/>
          <w:color w:val="auto"/>
          <w:sz w:val="21"/>
          <w:szCs w:val="21"/>
          <w:highlight w:val="none"/>
          <w:u w:val="single"/>
        </w:rPr>
        <w:t xml:space="preserve">             </w:t>
      </w:r>
      <w:r>
        <w:rPr>
          <w:rFonts w:hint="eastAsia" w:cs="宋体"/>
          <w:color w:val="auto"/>
          <w:sz w:val="21"/>
          <w:szCs w:val="21"/>
          <w:highlight w:val="none"/>
        </w:rPr>
        <w:t>（发包人名称，以下简称“发包人”）与</w:t>
      </w:r>
      <w:r>
        <w:rPr>
          <w:rFonts w:hint="eastAsia" w:cs="宋体"/>
          <w:color w:val="auto"/>
          <w:sz w:val="21"/>
          <w:szCs w:val="21"/>
          <w:highlight w:val="none"/>
          <w:u w:val="single"/>
        </w:rPr>
        <w:t xml:space="preserve">            </w:t>
      </w:r>
      <w:r>
        <w:rPr>
          <w:rFonts w:hint="eastAsia" w:cs="宋体"/>
          <w:color w:val="auto"/>
          <w:sz w:val="21"/>
          <w:szCs w:val="21"/>
          <w:highlight w:val="none"/>
        </w:rPr>
        <w:t>（承包人名称，以下简称“承包人”）于</w:t>
      </w:r>
      <w:r>
        <w:rPr>
          <w:rFonts w:hint="eastAsia" w:cs="宋体"/>
          <w:color w:val="auto"/>
          <w:sz w:val="21"/>
          <w:szCs w:val="21"/>
          <w:highlight w:val="none"/>
          <w:u w:val="single"/>
        </w:rPr>
        <w:t xml:space="preserve">    </w:t>
      </w:r>
      <w:r>
        <w:rPr>
          <w:rFonts w:hint="eastAsia" w:cs="宋体"/>
          <w:color w:val="auto"/>
          <w:sz w:val="21"/>
          <w:szCs w:val="21"/>
          <w:highlight w:val="none"/>
        </w:rPr>
        <w:t>年</w:t>
      </w:r>
      <w:r>
        <w:rPr>
          <w:rFonts w:hint="eastAsia" w:cs="宋体"/>
          <w:color w:val="auto"/>
          <w:sz w:val="21"/>
          <w:szCs w:val="21"/>
          <w:highlight w:val="none"/>
          <w:u w:val="single"/>
        </w:rPr>
        <w:t xml:space="preserve">   </w:t>
      </w:r>
      <w:r>
        <w:rPr>
          <w:rFonts w:hint="eastAsia" w:cs="宋体"/>
          <w:color w:val="auto"/>
          <w:sz w:val="21"/>
          <w:szCs w:val="21"/>
          <w:highlight w:val="none"/>
        </w:rPr>
        <w:t>月</w:t>
      </w:r>
      <w:r>
        <w:rPr>
          <w:rFonts w:hint="eastAsia" w:cs="宋体"/>
          <w:color w:val="auto"/>
          <w:sz w:val="21"/>
          <w:szCs w:val="21"/>
          <w:highlight w:val="none"/>
          <w:u w:val="single"/>
        </w:rPr>
        <w:t xml:space="preserve">   </w:t>
      </w:r>
      <w:r>
        <w:rPr>
          <w:rFonts w:hint="eastAsia" w:cs="宋体"/>
          <w:color w:val="auto"/>
          <w:sz w:val="21"/>
          <w:szCs w:val="21"/>
          <w:highlight w:val="none"/>
        </w:rPr>
        <w:t>日签订了</w:t>
      </w:r>
      <w:r>
        <w:rPr>
          <w:rFonts w:hint="eastAsia" w:cs="宋体"/>
          <w:color w:val="auto"/>
          <w:sz w:val="21"/>
          <w:szCs w:val="21"/>
          <w:highlight w:val="none"/>
          <w:u w:val="single"/>
        </w:rPr>
        <w:t xml:space="preserve">                      </w:t>
      </w:r>
      <w:r>
        <w:rPr>
          <w:rFonts w:hint="eastAsia" w:cs="宋体"/>
          <w:color w:val="auto"/>
          <w:sz w:val="21"/>
          <w:szCs w:val="21"/>
          <w:highlight w:val="none"/>
        </w:rPr>
        <w:t>（工程名称）《建设工程施工合同》（以下称“主合同”），我方接受承包人的请求，愿就承包人履行上述合同或协议约定的工程质量保修义务向你方提供如下保证：</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一、本保函项下我方承担的保证责任最高限额为(币种)</w:t>
      </w:r>
      <w:r>
        <w:rPr>
          <w:rFonts w:hint="eastAsia" w:cs="宋体"/>
          <w:color w:val="auto"/>
          <w:sz w:val="21"/>
          <w:szCs w:val="21"/>
          <w:highlight w:val="none"/>
          <w:u w:val="single"/>
        </w:rPr>
        <w:t>人民币</w:t>
      </w:r>
      <w:r>
        <w:rPr>
          <w:rFonts w:hint="eastAsia" w:cs="宋体"/>
          <w:color w:val="auto"/>
          <w:sz w:val="21"/>
          <w:szCs w:val="21"/>
          <w:highlight w:val="none"/>
        </w:rPr>
        <w:t>（金额大写)</w:t>
      </w:r>
      <w:r>
        <w:rPr>
          <w:rFonts w:hint="eastAsia" w:cs="宋体"/>
          <w:color w:val="auto"/>
          <w:sz w:val="21"/>
          <w:szCs w:val="21"/>
          <w:highlight w:val="none"/>
          <w:u w:val="single"/>
        </w:rPr>
        <w:t xml:space="preserve">                         </w:t>
      </w:r>
      <w:r>
        <w:rPr>
          <w:rFonts w:hint="eastAsia" w:cs="宋体"/>
          <w:color w:val="auto"/>
          <w:sz w:val="21"/>
          <w:szCs w:val="21"/>
          <w:highlight w:val="none"/>
        </w:rPr>
        <w:t>。（下称“保证金额”）</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二、我方在本保函项下提供的保证为连带责任保证。</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三、本保函的有效期为以下第</w:t>
      </w:r>
      <w:r>
        <w:rPr>
          <w:rFonts w:hint="eastAsia" w:cs="宋体"/>
          <w:color w:val="auto"/>
          <w:sz w:val="21"/>
          <w:szCs w:val="21"/>
          <w:highlight w:val="none"/>
          <w:u w:val="single"/>
        </w:rPr>
        <w:t xml:space="preserve">   </w:t>
      </w:r>
      <w:r>
        <w:rPr>
          <w:rFonts w:hint="eastAsia" w:cs="宋体"/>
          <w:color w:val="auto"/>
          <w:sz w:val="21"/>
          <w:szCs w:val="21"/>
          <w:highlight w:val="none"/>
        </w:rPr>
        <w:t>种：</w:t>
      </w:r>
    </w:p>
    <w:p>
      <w:pPr>
        <w:adjustRightInd w:val="0"/>
        <w:spacing w:line="360" w:lineRule="auto"/>
        <w:ind w:firstLine="420" w:firstLineChars="200"/>
        <w:jc w:val="left"/>
        <w:textAlignment w:val="baseline"/>
        <w:rPr>
          <w:rFonts w:cs="宋体"/>
          <w:color w:val="auto"/>
          <w:sz w:val="21"/>
          <w:szCs w:val="21"/>
          <w:highlight w:val="none"/>
        </w:rPr>
      </w:pPr>
      <w:r>
        <w:rPr>
          <w:rFonts w:hint="eastAsia" w:cs="宋体"/>
          <w:color w:val="auto"/>
          <w:sz w:val="21"/>
          <w:szCs w:val="21"/>
          <w:highlight w:val="none"/>
        </w:rPr>
        <w:t>1.本保函有效期至</w:t>
      </w:r>
      <w:r>
        <w:rPr>
          <w:rFonts w:hint="eastAsia" w:cs="宋体"/>
          <w:color w:val="auto"/>
          <w:sz w:val="21"/>
          <w:szCs w:val="21"/>
          <w:highlight w:val="none"/>
          <w:u w:val="single"/>
        </w:rPr>
        <w:t xml:space="preserve">     </w:t>
      </w:r>
      <w:r>
        <w:rPr>
          <w:rFonts w:hint="eastAsia" w:cs="宋体"/>
          <w:color w:val="auto"/>
          <w:sz w:val="21"/>
          <w:szCs w:val="21"/>
          <w:highlight w:val="none"/>
        </w:rPr>
        <w:t>年</w:t>
      </w:r>
      <w:r>
        <w:rPr>
          <w:rFonts w:hint="eastAsia" w:cs="宋体"/>
          <w:color w:val="auto"/>
          <w:sz w:val="21"/>
          <w:szCs w:val="21"/>
          <w:highlight w:val="none"/>
          <w:u w:val="single"/>
        </w:rPr>
        <w:t xml:space="preserve">    </w:t>
      </w:r>
      <w:r>
        <w:rPr>
          <w:rFonts w:hint="eastAsia" w:cs="宋体"/>
          <w:color w:val="auto"/>
          <w:sz w:val="21"/>
          <w:szCs w:val="21"/>
          <w:highlight w:val="none"/>
        </w:rPr>
        <w:t>月</w:t>
      </w:r>
      <w:r>
        <w:rPr>
          <w:rFonts w:hint="eastAsia" w:cs="宋体"/>
          <w:color w:val="auto"/>
          <w:sz w:val="21"/>
          <w:szCs w:val="21"/>
          <w:highlight w:val="none"/>
          <w:u w:val="single"/>
        </w:rPr>
        <w:t xml:space="preserve">    </w:t>
      </w:r>
      <w:r>
        <w:rPr>
          <w:rFonts w:hint="eastAsia" w:cs="宋体"/>
          <w:color w:val="auto"/>
          <w:sz w:val="21"/>
          <w:szCs w:val="21"/>
          <w:highlight w:val="none"/>
        </w:rPr>
        <w:t>日止。</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2.</w:t>
      </w:r>
      <w:r>
        <w:rPr>
          <w:rFonts w:hint="eastAsia" w:cs="宋体"/>
          <w:color w:val="auto"/>
          <w:sz w:val="21"/>
          <w:szCs w:val="21"/>
          <w:highlight w:val="none"/>
          <w:u w:val="single"/>
        </w:rPr>
        <w:t xml:space="preserve">               </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四、在本保函的有效期内，如承包人违反上述合同或协议约定的工程质量保修义务，我方在收到发包人以书面形式提出的在担保金额内的赔偿要求后，在7天内无条件支付。</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五、本保函保证金额将随承包人逐步履行保函项下合同约定或法定的义务以及我方按你方索赔通知要求分次支付而相应递减。</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六、本保函项下权利不得转让，不得设定担保。发包人未经我方书面同意转让本保函或其项下任何权利，我方在本保函项下的义务与责任全部消灭。</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七、本保函项下的合同或基础交易不成立、不生效、无效、被撤销、被解除，本保函无效；承包人基于保函项下的合同或基础交易或其他原因的抗辩，我方均有权主张。</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八、因本保函发生的纠纷，可由双方协商解决；协商不成的，任何一方应向《建设工程施工合同》专用条款第20.4条约定的同一仲裁机构提起仲裁；《建设工程施工合同》未约定仲裁机构的，向工程所在地人民法院提起诉讼。</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九、本保函有效期届满或提前终止，本保函失效，我方在本保函项下的责任消灭，发包人应立即将本保函原件退还我方，发包人未履行上述义务，本保函仍在有效期届满或提前终止之日失效。</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十、本保函适用中华人民共和国法律。</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十一、其他条款：</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u w:val="single"/>
        </w:rPr>
        <w:t xml:space="preserve">                                                                                                                                               </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十二、本保函自法定代表人或委托代理人签字并加盖公章之日起生效。</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 xml:space="preserve"> </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 xml:space="preserve"> </w:t>
      </w:r>
    </w:p>
    <w:p>
      <w:pPr>
        <w:adjustRightInd w:val="0"/>
        <w:spacing w:line="300" w:lineRule="auto"/>
        <w:ind w:right="600" w:firstLine="2100" w:firstLineChars="1000"/>
        <w:jc w:val="left"/>
        <w:textAlignment w:val="baseline"/>
        <w:rPr>
          <w:rFonts w:cs="宋体"/>
          <w:color w:val="auto"/>
          <w:sz w:val="21"/>
          <w:szCs w:val="21"/>
          <w:highlight w:val="none"/>
        </w:rPr>
      </w:pPr>
      <w:r>
        <w:rPr>
          <w:rFonts w:hint="eastAsia" w:cs="宋体"/>
          <w:color w:val="auto"/>
          <w:sz w:val="21"/>
          <w:szCs w:val="21"/>
          <w:highlight w:val="none"/>
        </w:rPr>
        <w:t>担保人：</w:t>
      </w:r>
      <w:r>
        <w:rPr>
          <w:rFonts w:hint="eastAsia" w:cs="宋体"/>
          <w:color w:val="auto"/>
          <w:sz w:val="21"/>
          <w:szCs w:val="21"/>
          <w:highlight w:val="none"/>
          <w:u w:val="single"/>
        </w:rPr>
        <w:t xml:space="preserve">                             </w:t>
      </w:r>
      <w:r>
        <w:rPr>
          <w:rFonts w:hint="eastAsia" w:cs="宋体"/>
          <w:color w:val="auto"/>
          <w:sz w:val="21"/>
          <w:szCs w:val="21"/>
          <w:highlight w:val="none"/>
        </w:rPr>
        <w:t>（盖章）</w:t>
      </w:r>
    </w:p>
    <w:p>
      <w:pPr>
        <w:adjustRightInd w:val="0"/>
        <w:spacing w:line="300" w:lineRule="auto"/>
        <w:ind w:right="1200" w:firstLine="2100" w:firstLineChars="1000"/>
        <w:textAlignment w:val="baseline"/>
        <w:rPr>
          <w:rFonts w:cs="宋体"/>
          <w:color w:val="auto"/>
          <w:sz w:val="21"/>
          <w:szCs w:val="21"/>
          <w:highlight w:val="none"/>
        </w:rPr>
      </w:pPr>
      <w:r>
        <w:rPr>
          <w:rFonts w:hint="eastAsia" w:cs="宋体"/>
          <w:color w:val="auto"/>
          <w:sz w:val="21"/>
          <w:szCs w:val="21"/>
          <w:highlight w:val="none"/>
        </w:rPr>
        <w:t>法定代表人或委托代理人：</w:t>
      </w:r>
      <w:r>
        <w:rPr>
          <w:rFonts w:hint="eastAsia" w:cs="宋体"/>
          <w:color w:val="auto"/>
          <w:sz w:val="21"/>
          <w:szCs w:val="21"/>
          <w:highlight w:val="none"/>
          <w:u w:val="single"/>
        </w:rPr>
        <w:t xml:space="preserve">             </w:t>
      </w:r>
      <w:r>
        <w:rPr>
          <w:rFonts w:hint="eastAsia" w:cs="宋体"/>
          <w:color w:val="auto"/>
          <w:sz w:val="21"/>
          <w:szCs w:val="21"/>
          <w:highlight w:val="none"/>
        </w:rPr>
        <w:t>（签字）</w:t>
      </w:r>
    </w:p>
    <w:p>
      <w:pPr>
        <w:adjustRightInd w:val="0"/>
        <w:spacing w:line="300" w:lineRule="auto"/>
        <w:ind w:firstLine="2100" w:firstLineChars="1000"/>
        <w:jc w:val="left"/>
        <w:textAlignment w:val="baseline"/>
        <w:rPr>
          <w:rFonts w:cs="宋体"/>
          <w:color w:val="auto"/>
          <w:sz w:val="21"/>
          <w:szCs w:val="21"/>
          <w:highlight w:val="none"/>
        </w:rPr>
      </w:pPr>
      <w:r>
        <w:rPr>
          <w:rFonts w:hint="eastAsia" w:cs="宋体"/>
          <w:color w:val="auto"/>
          <w:sz w:val="21"/>
          <w:szCs w:val="21"/>
          <w:highlight w:val="none"/>
        </w:rPr>
        <w:t>地    址：</w:t>
      </w:r>
      <w:r>
        <w:rPr>
          <w:rFonts w:hint="eastAsia" w:cs="宋体"/>
          <w:color w:val="auto"/>
          <w:sz w:val="21"/>
          <w:szCs w:val="21"/>
          <w:highlight w:val="none"/>
          <w:u w:val="single"/>
        </w:rPr>
        <w:t xml:space="preserve">                                   </w:t>
      </w:r>
    </w:p>
    <w:p>
      <w:pPr>
        <w:adjustRightInd w:val="0"/>
        <w:spacing w:line="300" w:lineRule="auto"/>
        <w:ind w:firstLine="2100" w:firstLineChars="1000"/>
        <w:jc w:val="left"/>
        <w:textAlignment w:val="baseline"/>
        <w:rPr>
          <w:rFonts w:cs="宋体"/>
          <w:color w:val="auto"/>
          <w:sz w:val="21"/>
          <w:szCs w:val="21"/>
          <w:highlight w:val="none"/>
          <w:u w:val="single"/>
        </w:rPr>
      </w:pPr>
      <w:r>
        <w:rPr>
          <w:rFonts w:hint="eastAsia" w:cs="宋体"/>
          <w:color w:val="auto"/>
          <w:sz w:val="21"/>
          <w:szCs w:val="21"/>
          <w:highlight w:val="none"/>
        </w:rPr>
        <w:t>邮政编码：</w:t>
      </w:r>
      <w:r>
        <w:rPr>
          <w:rFonts w:hint="eastAsia" w:cs="宋体"/>
          <w:color w:val="auto"/>
          <w:sz w:val="21"/>
          <w:szCs w:val="21"/>
          <w:highlight w:val="none"/>
          <w:u w:val="single"/>
        </w:rPr>
        <w:t xml:space="preserve">                                   </w:t>
      </w:r>
    </w:p>
    <w:p>
      <w:pPr>
        <w:adjustRightInd w:val="0"/>
        <w:spacing w:line="300" w:lineRule="auto"/>
        <w:ind w:firstLine="2100" w:firstLineChars="1000"/>
        <w:jc w:val="left"/>
        <w:textAlignment w:val="baseline"/>
        <w:rPr>
          <w:rFonts w:cs="宋体"/>
          <w:color w:val="auto"/>
          <w:sz w:val="21"/>
          <w:szCs w:val="21"/>
          <w:highlight w:val="none"/>
          <w:u w:val="single"/>
        </w:rPr>
      </w:pPr>
      <w:r>
        <w:rPr>
          <w:rFonts w:hint="eastAsia" w:cs="宋体"/>
          <w:color w:val="auto"/>
          <w:sz w:val="21"/>
          <w:szCs w:val="21"/>
          <w:highlight w:val="none"/>
        </w:rPr>
        <w:t>电    话：</w:t>
      </w:r>
      <w:r>
        <w:rPr>
          <w:rFonts w:hint="eastAsia" w:cs="宋体"/>
          <w:color w:val="auto"/>
          <w:sz w:val="21"/>
          <w:szCs w:val="21"/>
          <w:highlight w:val="none"/>
          <w:u w:val="single"/>
        </w:rPr>
        <w:t xml:space="preserve">                                   </w:t>
      </w:r>
    </w:p>
    <w:p>
      <w:pPr>
        <w:adjustRightInd w:val="0"/>
        <w:spacing w:line="300" w:lineRule="auto"/>
        <w:ind w:firstLine="2100" w:firstLineChars="1000"/>
        <w:jc w:val="left"/>
        <w:textAlignment w:val="baseline"/>
        <w:rPr>
          <w:rFonts w:cs="宋体"/>
          <w:color w:val="auto"/>
          <w:sz w:val="21"/>
          <w:szCs w:val="21"/>
          <w:highlight w:val="none"/>
        </w:rPr>
      </w:pPr>
      <w:r>
        <w:rPr>
          <w:rFonts w:hint="eastAsia" w:cs="宋体"/>
          <w:color w:val="auto"/>
          <w:sz w:val="21"/>
          <w:szCs w:val="21"/>
          <w:highlight w:val="none"/>
        </w:rPr>
        <w:t>传    真：</w:t>
      </w:r>
      <w:r>
        <w:rPr>
          <w:rFonts w:hint="eastAsia" w:cs="宋体"/>
          <w:color w:val="auto"/>
          <w:sz w:val="21"/>
          <w:szCs w:val="21"/>
          <w:highlight w:val="none"/>
          <w:u w:val="single"/>
        </w:rPr>
        <w:t xml:space="preserve">                                   </w:t>
      </w:r>
    </w:p>
    <w:p>
      <w:pPr>
        <w:adjustRightInd w:val="0"/>
        <w:spacing w:line="300" w:lineRule="auto"/>
        <w:ind w:right="150" w:firstLine="420" w:firstLineChars="200"/>
        <w:jc w:val="left"/>
        <w:textAlignment w:val="baseline"/>
        <w:rPr>
          <w:rFonts w:cs="宋体"/>
          <w:color w:val="auto"/>
          <w:sz w:val="21"/>
          <w:szCs w:val="21"/>
          <w:highlight w:val="none"/>
          <w:u w:val="single"/>
        </w:rPr>
      </w:pPr>
    </w:p>
    <w:p>
      <w:pPr>
        <w:adjustRightInd w:val="0"/>
        <w:spacing w:line="360" w:lineRule="auto"/>
        <w:textAlignment w:val="baseline"/>
        <w:rPr>
          <w:rFonts w:cs="宋体"/>
          <w:color w:val="auto"/>
          <w:sz w:val="24"/>
          <w:szCs w:val="24"/>
          <w:highlight w:val="none"/>
        </w:rPr>
      </w:pPr>
      <w:r>
        <w:rPr>
          <w:rFonts w:hint="eastAsia" w:cs="宋体"/>
          <w:color w:val="auto"/>
          <w:sz w:val="21"/>
          <w:szCs w:val="21"/>
          <w:highlight w:val="none"/>
        </w:rPr>
        <w:t xml:space="preserve">                                       </w:t>
      </w:r>
      <w:r>
        <w:rPr>
          <w:rFonts w:hint="eastAsia" w:cs="宋体"/>
          <w:color w:val="auto"/>
          <w:sz w:val="21"/>
          <w:szCs w:val="21"/>
          <w:highlight w:val="none"/>
          <w:u w:val="single"/>
        </w:rPr>
        <w:t xml:space="preserve">           </w:t>
      </w:r>
      <w:r>
        <w:rPr>
          <w:rFonts w:hint="eastAsia" w:cs="宋体"/>
          <w:color w:val="auto"/>
          <w:sz w:val="21"/>
          <w:szCs w:val="21"/>
          <w:highlight w:val="none"/>
        </w:rPr>
        <w:t>年</w:t>
      </w:r>
      <w:r>
        <w:rPr>
          <w:rFonts w:hint="eastAsia" w:cs="宋体"/>
          <w:color w:val="auto"/>
          <w:sz w:val="21"/>
          <w:szCs w:val="21"/>
          <w:highlight w:val="none"/>
          <w:u w:val="single"/>
        </w:rPr>
        <w:t xml:space="preserve">      </w:t>
      </w:r>
      <w:r>
        <w:rPr>
          <w:rFonts w:hint="eastAsia" w:cs="宋体"/>
          <w:color w:val="auto"/>
          <w:sz w:val="21"/>
          <w:szCs w:val="21"/>
          <w:highlight w:val="none"/>
        </w:rPr>
        <w:t>月</w:t>
      </w:r>
      <w:r>
        <w:rPr>
          <w:rFonts w:hint="eastAsia" w:cs="宋体"/>
          <w:color w:val="auto"/>
          <w:sz w:val="21"/>
          <w:szCs w:val="21"/>
          <w:highlight w:val="none"/>
          <w:u w:val="single"/>
        </w:rPr>
        <w:t xml:space="preserve">      </w:t>
      </w:r>
      <w:r>
        <w:rPr>
          <w:rFonts w:hint="eastAsia" w:cs="宋体"/>
          <w:color w:val="auto"/>
          <w:sz w:val="21"/>
          <w:szCs w:val="21"/>
          <w:highlight w:val="none"/>
        </w:rPr>
        <w:t>日</w:t>
      </w:r>
    </w:p>
    <w:p>
      <w:pPr>
        <w:adjustRightInd w:val="0"/>
        <w:spacing w:line="360" w:lineRule="auto"/>
        <w:ind w:firstLine="3600" w:firstLineChars="1500"/>
        <w:textAlignment w:val="baseline"/>
        <w:rPr>
          <w:rFonts w:cs="宋体"/>
          <w:color w:val="auto"/>
          <w:sz w:val="24"/>
          <w:szCs w:val="24"/>
          <w:highlight w:val="none"/>
        </w:rPr>
      </w:pPr>
      <w:r>
        <w:rPr>
          <w:rFonts w:hint="eastAsia" w:cs="宋体"/>
          <w:color w:val="auto"/>
          <w:sz w:val="24"/>
          <w:szCs w:val="24"/>
          <w:highlight w:val="none"/>
        </w:rPr>
        <w:t xml:space="preserve"> </w:t>
      </w:r>
    </w:p>
    <w:p>
      <w:pPr>
        <w:adjustRightInd w:val="0"/>
        <w:spacing w:line="360" w:lineRule="auto"/>
        <w:ind w:firstLine="3600" w:firstLineChars="1500"/>
        <w:textAlignment w:val="baseline"/>
        <w:rPr>
          <w:rFonts w:cs="宋体"/>
          <w:color w:val="auto"/>
          <w:sz w:val="24"/>
          <w:szCs w:val="24"/>
          <w:highlight w:val="none"/>
        </w:rPr>
      </w:pPr>
      <w:r>
        <w:rPr>
          <w:rFonts w:hint="eastAsia" w:cs="宋体"/>
          <w:color w:val="auto"/>
          <w:sz w:val="24"/>
          <w:szCs w:val="24"/>
          <w:highlight w:val="none"/>
        </w:rPr>
        <w:t xml:space="preserve"> </w:t>
      </w:r>
    </w:p>
    <w:p>
      <w:pPr>
        <w:adjustRightInd w:val="0"/>
        <w:spacing w:line="360" w:lineRule="auto"/>
        <w:ind w:firstLine="3600" w:firstLineChars="1500"/>
        <w:textAlignment w:val="baseline"/>
        <w:rPr>
          <w:rFonts w:cs="宋体"/>
          <w:color w:val="auto"/>
          <w:sz w:val="24"/>
          <w:szCs w:val="24"/>
          <w:highlight w:val="none"/>
        </w:rPr>
      </w:pPr>
      <w:r>
        <w:rPr>
          <w:rFonts w:hint="eastAsia" w:cs="宋体"/>
          <w:color w:val="auto"/>
          <w:sz w:val="24"/>
          <w:szCs w:val="24"/>
          <w:highlight w:val="none"/>
        </w:rPr>
        <w:t xml:space="preserve"> </w:t>
      </w:r>
    </w:p>
    <w:p>
      <w:pPr>
        <w:spacing w:line="360" w:lineRule="auto"/>
        <w:rPr>
          <w:rFonts w:cs="宋体"/>
          <w:color w:val="auto"/>
          <w:sz w:val="21"/>
          <w:szCs w:val="21"/>
          <w:highlight w:val="none"/>
        </w:rPr>
        <w:sectPr>
          <w:headerReference r:id="rId9" w:type="default"/>
          <w:footerReference r:id="rId10" w:type="default"/>
          <w:footnotePr>
            <w:numFmt w:val="decimalEnclosedCircleChinese"/>
            <w:numRestart w:val="eachPage"/>
          </w:footnotePr>
          <w:pgSz w:w="11906" w:h="16838"/>
          <w:pgMar w:top="1440" w:right="992" w:bottom="1440" w:left="1134" w:header="1134" w:footer="992" w:gutter="0"/>
          <w:pgNumType w:fmt="decimal"/>
          <w:cols w:space="720" w:num="1"/>
          <w:docGrid w:linePitch="312" w:charSpace="0"/>
        </w:sectPr>
      </w:pPr>
      <w:r>
        <w:rPr>
          <w:rFonts w:hint="eastAsia" w:cs="宋体"/>
          <w:color w:val="auto"/>
          <w:sz w:val="21"/>
          <w:szCs w:val="21"/>
          <w:highlight w:val="none"/>
        </w:rPr>
        <w:t>备注：本质量保证金保函格式可以采用经发包人同意的其他格式，但相关内容不得违背合同约定的实质性内容。</w:t>
      </w:r>
    </w:p>
    <w:p>
      <w:pPr>
        <w:spacing w:line="360" w:lineRule="auto"/>
        <w:rPr>
          <w:rFonts w:ascii="Calibri" w:hAnsi="Calibri" w:cs="Calibri"/>
          <w:color w:val="auto"/>
          <w:sz w:val="21"/>
          <w:szCs w:val="21"/>
          <w:highlight w:val="none"/>
        </w:rPr>
      </w:pPr>
    </w:p>
    <w:p>
      <w:pPr>
        <w:adjustRightInd w:val="0"/>
        <w:spacing w:afterLines="50"/>
        <w:jc w:val="left"/>
        <w:textAlignment w:val="baseline"/>
        <w:outlineLvl w:val="3"/>
        <w:rPr>
          <w:rFonts w:ascii="Calibri" w:cs="Calibri"/>
          <w:color w:val="auto"/>
          <w:sz w:val="21"/>
          <w:szCs w:val="21"/>
          <w:highlight w:val="none"/>
        </w:rPr>
      </w:pPr>
      <w:r>
        <w:rPr>
          <w:rFonts w:ascii="Calibri" w:hAnsi="Calibri" w:cs="Calibri"/>
          <w:color w:val="auto"/>
          <w:sz w:val="21"/>
          <w:szCs w:val="21"/>
          <w:highlight w:val="none"/>
        </w:rPr>
        <w:br w:type="page"/>
      </w:r>
    </w:p>
    <w:p>
      <w:pPr>
        <w:keepNext w:val="0"/>
        <w:keepLines w:val="0"/>
        <w:widowControl/>
        <w:suppressLineNumbers w:val="0"/>
        <w:jc w:val="left"/>
        <w:rPr>
          <w:color w:val="0000FF"/>
          <w:highlight w:val="none"/>
        </w:rPr>
      </w:pPr>
      <w:bookmarkStart w:id="1457" w:name="_Toc14881"/>
      <w:bookmarkEnd w:id="1457"/>
      <w:bookmarkStart w:id="1458" w:name="_Toc30170689"/>
      <w:bookmarkEnd w:id="1458"/>
      <w:bookmarkStart w:id="1459" w:name="_Toc3265"/>
      <w:bookmarkEnd w:id="1459"/>
      <w:bookmarkStart w:id="1460" w:name="_Toc32593"/>
      <w:bookmarkStart w:id="1461" w:name="_Toc3294"/>
      <w:bookmarkStart w:id="1462" w:name="_Toc106703311"/>
      <w:bookmarkStart w:id="1463" w:name="_Toc20150"/>
      <w:bookmarkStart w:id="1464" w:name="_Toc61877324"/>
      <w:bookmarkStart w:id="1465" w:name="_Toc3830"/>
      <w:bookmarkStart w:id="1466" w:name="_Toc52112982"/>
      <w:r>
        <w:rPr>
          <w:rFonts w:hint="eastAsia" w:ascii="黑体" w:hAnsi="宋体" w:eastAsia="黑体" w:cs="黑体"/>
          <w:color w:val="0000FF"/>
          <w:sz w:val="21"/>
          <w:szCs w:val="21"/>
          <w:highlight w:val="none"/>
          <w:lang w:val="en-US" w:eastAsia="zh-CN"/>
        </w:rPr>
        <w:t>附件12</w:t>
      </w:r>
      <w:r>
        <w:rPr>
          <w:rFonts w:hint="eastAsia" w:ascii="宋体" w:hAnsi="宋体" w:eastAsia="宋体" w:cs="宋体"/>
          <w:color w:val="0000FF"/>
          <w:kern w:val="0"/>
          <w:sz w:val="24"/>
          <w:szCs w:val="24"/>
          <w:highlight w:val="none"/>
          <w:lang w:val="en-US" w:eastAsia="zh-CN" w:bidi="ar"/>
        </w:rPr>
        <w:t xml:space="preserve">： </w:t>
      </w:r>
    </w:p>
    <w:p>
      <w:pPr>
        <w:keepNext w:val="0"/>
        <w:keepLines w:val="0"/>
        <w:widowControl/>
        <w:suppressLineNumbers w:val="0"/>
        <w:jc w:val="center"/>
        <w:rPr>
          <w:color w:val="0000FF"/>
          <w:highlight w:val="none"/>
        </w:rPr>
      </w:pPr>
      <w:r>
        <w:rPr>
          <w:rFonts w:hint="eastAsia" w:ascii="宋体" w:hAnsi="宋体" w:eastAsia="宋体" w:cs="宋体"/>
          <w:b/>
          <w:bCs/>
          <w:color w:val="0000FF"/>
          <w:kern w:val="0"/>
          <w:sz w:val="28"/>
          <w:szCs w:val="28"/>
          <w:highlight w:val="none"/>
          <w:lang w:val="en-US" w:eastAsia="zh-CN" w:bidi="ar"/>
        </w:rPr>
        <w:t>安全生产文明施工管理协议</w:t>
      </w:r>
    </w:p>
    <w:p>
      <w:pPr>
        <w:keepNext w:val="0"/>
        <w:keepLines w:val="0"/>
        <w:widowControl/>
        <w:suppressLineNumbers w:val="0"/>
        <w:jc w:val="left"/>
        <w:rPr>
          <w:rFonts w:hint="eastAsia" w:ascii="宋体" w:hAnsi="宋体" w:eastAsia="宋体" w:cs="宋体"/>
          <w:color w:val="0000FF"/>
          <w:kern w:val="0"/>
          <w:sz w:val="21"/>
          <w:szCs w:val="21"/>
          <w:highlight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宋体" w:hAnsi="宋体" w:eastAsia="宋体" w:cs="宋体"/>
          <w:color w:val="0000FF"/>
          <w:sz w:val="21"/>
          <w:szCs w:val="21"/>
          <w:highlight w:val="none"/>
          <w:u w:val="single"/>
          <w:lang w:val="en-US"/>
        </w:rPr>
      </w:pPr>
      <w:r>
        <w:rPr>
          <w:rFonts w:hint="eastAsia" w:ascii="宋体" w:hAnsi="宋体" w:eastAsia="宋体" w:cs="宋体"/>
          <w:color w:val="0000FF"/>
          <w:kern w:val="0"/>
          <w:sz w:val="21"/>
          <w:szCs w:val="21"/>
          <w:highlight w:val="none"/>
          <w:lang w:val="en-US" w:eastAsia="zh-CN" w:bidi="ar"/>
        </w:rPr>
        <w:t>工程项目名称：</w:t>
      </w:r>
      <w:r>
        <w:rPr>
          <w:rFonts w:hint="eastAsia" w:ascii="宋体" w:hAnsi="宋体" w:eastAsia="宋体" w:cs="宋体"/>
          <w:color w:val="0000FF"/>
          <w:kern w:val="0"/>
          <w:sz w:val="21"/>
          <w:szCs w:val="21"/>
          <w:highlight w:val="none"/>
          <w:u w:val="single"/>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宋体" w:hAnsi="宋体" w:eastAsia="宋体" w:cs="宋体"/>
          <w:color w:val="0000FF"/>
          <w:sz w:val="21"/>
          <w:szCs w:val="21"/>
          <w:highlight w:val="none"/>
          <w:u w:val="single"/>
          <w:lang w:val="en-US"/>
        </w:rPr>
      </w:pPr>
      <w:r>
        <w:rPr>
          <w:rFonts w:hint="eastAsia" w:ascii="宋体" w:hAnsi="宋体" w:eastAsia="宋体" w:cs="宋体"/>
          <w:color w:val="0000FF"/>
          <w:kern w:val="0"/>
          <w:sz w:val="21"/>
          <w:szCs w:val="21"/>
          <w:highlight w:val="none"/>
          <w:lang w:val="en-US" w:eastAsia="zh-CN" w:bidi="ar"/>
        </w:rPr>
        <w:t>工程项目地址：</w:t>
      </w:r>
      <w:r>
        <w:rPr>
          <w:rFonts w:hint="eastAsia" w:ascii="宋体" w:hAnsi="宋体" w:eastAsia="宋体" w:cs="宋体"/>
          <w:color w:val="0000FF"/>
          <w:kern w:val="0"/>
          <w:sz w:val="21"/>
          <w:szCs w:val="21"/>
          <w:highlight w:val="none"/>
          <w:u w:val="single"/>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宋体" w:hAnsi="宋体" w:eastAsia="宋体" w:cs="宋体"/>
          <w:color w:val="0000FF"/>
          <w:sz w:val="21"/>
          <w:szCs w:val="21"/>
          <w:highlight w:val="none"/>
          <w:u w:val="single"/>
          <w:lang w:val="en-US"/>
        </w:rPr>
      </w:pPr>
      <w:r>
        <w:rPr>
          <w:rFonts w:hint="eastAsia" w:ascii="宋体" w:hAnsi="宋体" w:eastAsia="宋体" w:cs="宋体"/>
          <w:color w:val="0000FF"/>
          <w:kern w:val="0"/>
          <w:sz w:val="21"/>
          <w:szCs w:val="21"/>
          <w:highlight w:val="none"/>
          <w:lang w:val="en-US" w:eastAsia="zh-CN" w:bidi="ar"/>
        </w:rPr>
        <w:t>发包人(全称)：</w:t>
      </w:r>
      <w:r>
        <w:rPr>
          <w:rFonts w:hint="eastAsia" w:ascii="宋体" w:hAnsi="宋体" w:eastAsia="宋体" w:cs="宋体"/>
          <w:color w:val="0000FF"/>
          <w:kern w:val="0"/>
          <w:sz w:val="21"/>
          <w:szCs w:val="21"/>
          <w:highlight w:val="none"/>
          <w:u w:val="single"/>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宋体" w:hAnsi="宋体" w:eastAsia="宋体" w:cs="宋体"/>
          <w:color w:val="0000FF"/>
          <w:sz w:val="21"/>
          <w:szCs w:val="21"/>
          <w:highlight w:val="none"/>
          <w:u w:val="single"/>
          <w:lang w:val="en-US"/>
        </w:rPr>
      </w:pPr>
      <w:r>
        <w:rPr>
          <w:rFonts w:hint="eastAsia" w:ascii="宋体" w:hAnsi="宋体" w:eastAsia="宋体" w:cs="宋体"/>
          <w:color w:val="0000FF"/>
          <w:kern w:val="0"/>
          <w:sz w:val="21"/>
          <w:szCs w:val="21"/>
          <w:highlight w:val="none"/>
          <w:lang w:val="en-US" w:eastAsia="zh-CN" w:bidi="ar"/>
        </w:rPr>
        <w:t>承包人(全称)：</w:t>
      </w:r>
      <w:r>
        <w:rPr>
          <w:rFonts w:hint="eastAsia" w:ascii="宋体" w:hAnsi="宋体" w:eastAsia="宋体" w:cs="宋体"/>
          <w:color w:val="0000FF"/>
          <w:kern w:val="0"/>
          <w:sz w:val="21"/>
          <w:szCs w:val="21"/>
          <w:highlight w:val="none"/>
          <w:u w:val="single"/>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为进一步加强在建工程安全生产、文明施工管理工作，认真贯彻“安全第一、预防为主、综合治理”的安全生产方针，根据《中华人民共和国安全生产法》、《中华人民共和国建筑法》、《建设工程安全生产管理条例》等相关安全法律法规要求，制定本协议，经双方协商一致，应共同遵守本协议所列条款，协议内容如下：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 xml:space="preserve">一．甲方的安全责任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1.甲方不得对乙方提出不符合建设工程安全生产法律、法规和强制性标准规定的要求。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2.甲方不得明示或者暗示乙方购买、租赁、使用不符合安全施工要求的安全防护用具、机械设备、施工机具及配件、消防设施和器材。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3.甲方应按合同约定支付建设工程安全文明施工措施费用，并监督乙方按合同约定使用。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4.甲方定期开展安全检查，发现安全隐患风险时，甲方有权要求乙方限期整改、停工整顿，并由乙方承担相应整改费用和停工损失。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5.甲方不得向乙方进行违章指挥、强令乙方冒险作业。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 xml:space="preserve">二．乙方的安全责任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1.乙方指定</w:t>
      </w:r>
      <w:r>
        <w:rPr>
          <w:rFonts w:hint="eastAsia" w:ascii="宋体" w:hAnsi="宋体" w:eastAsia="宋体" w:cs="宋体"/>
          <w:color w:val="0000FF"/>
          <w:kern w:val="0"/>
          <w:sz w:val="21"/>
          <w:szCs w:val="21"/>
          <w:highlight w:val="none"/>
          <w:u w:val="single"/>
          <w:lang w:val="en-US" w:eastAsia="zh-CN" w:bidi="ar"/>
        </w:rPr>
        <w:t xml:space="preserve">           </w:t>
      </w:r>
      <w:r>
        <w:rPr>
          <w:rFonts w:hint="eastAsia" w:ascii="宋体" w:hAnsi="宋体" w:eastAsia="宋体" w:cs="宋体"/>
          <w:color w:val="0000FF"/>
          <w:kern w:val="0"/>
          <w:sz w:val="21"/>
          <w:szCs w:val="21"/>
          <w:highlight w:val="none"/>
          <w:lang w:val="en-US" w:eastAsia="zh-CN" w:bidi="ar"/>
        </w:rPr>
        <w:t xml:space="preserve">为工程现场安全生产第一责任人，按照法律法规要求，根据承揽项目规模，设立安全生产管理机构，配齐专职安全生产管理人员；安全生产管理人员应具备与所从事的生产经营活动相应的安全生产知识和管理能力，并取得有效的资格证书，如有更换应经甲方同意，并按政府主管部门要求办理变更手续。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2.乙方应建立安全生产制度、安全操作规程、宣传培训、应急演练、安全检查、等安全管理体系，并认真组织实施。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3.乙方应严格遵守甲方及监理单位安全管理制度，落实甲方最新的安全生产文明施工标准化要求，如实编制工程安全生产的有关记录；进场后应编制安全策划，策划内容不得低于国家、地方和行业有关安全标准，且须涵盖国贸地产安全生产文明施工针对性要求。</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4.乙方应在管理人员和作业工人进场前，对人员身体健康状况进行排查，发现不适于施工现场作业的疾病或身体缺陷时不得进场作业，对现场的管理、施工人员进行登记造册，人员年龄应符合国家和地方最新法律法规要求，否则不得进入施工现场作业，当地方标准高于国家标准时按地方标准执行。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5.乙方应制定并严格执行安全生产检查制度，乙方项目部应做好日常安全检查工作外，公司层面安全监管部门对项目每月开展不少于1次的安全检查，发现作业过程中的安全隐患，应采取有效措施积极处理，重大安全隐患应报告监理和甲方。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6.乙方应无条件配合甲方及甲方委托的第三方评估单位对工程安全文明的检查，对提出的各项安全风险消除或安全事故预防或预警的指令（包括但不限于工作联系单、会议纪要、电子通讯信息等），按指定期限落实隐患整改和反馈，不得提出任何与此有关的工期和费用等主张。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7.乙方应选用出厂日期为4年以内的施工升降机，出厂日期为6年以内的塔式起重机设备，到达规定使用年限后应对设备进行安全评估，评估不合格的应立即退场处理。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8.乙方应按国家有关法律法规要求购买工伤等保险，为从业人员缴纳保险费，依法投保安全生产责任险。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9.工程施工过程中发生安全事故、食物中毒、群体性事件、人员自焚自残、安全环保等被政府处罚、通报或媒体负面报道，乙方应立即启动应急预案，防止影响扩大，并报告监理和甲方；在工程实施期间或缺陷责任期内发生危及工程安全的事件，项目监理单位通知乙方进行抢救，乙方声明无能力或不愿立即执行的，甲方有权雇佣其他人员进行抢救，由此增加的费用和（或）延误的工期由乙方承担。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10.施工中因非甲方原因发生的一切伤亡、火灾、环保等安全事故/事件均由乙方承担全部责任。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11.乙方应保证安全文明措施费用专款专用，并接受甲方的核查，对于安全文明措施费用未按规定投入的，甲方有权索赔减少投入部分的双倍违约金。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 xml:space="preserve">三．安全生产文明施工目标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1.特大事故、重大事故为零。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2.一般事故死亡率为零。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3.直接经济损失超100万元为零。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4.“三合一”整治率、火灾隐患及时整改率、人员密集场所消防合格率100%。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5.重、特大火灾事故、火灾事故死亡率为零。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6.消防安全“四个能力”建设符合有关规定要求。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7.施工现场交通事故为零。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8.职业健康管理体系健全，确保人员不发生职业病。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9.环保符合上级规定，不发生被上级通报情况；不发生污染物排放造成环境污染问题，不发生被环保主管部门列入环保“黑名单”，使用的非道路移动机械不得存在冒黑烟现象；建设工地不发生扬尘污染严重问题。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 xml:space="preserve">四．安全生产文明考核办法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乙方除应执行双方签订的合同、国贸地产安全管理考核办法及其修订文件的考核条款外，对乙方及有关人员发生的违章、违法行为和存在的问题，甲方和监理单位有权制止教育、责成其限期整改等，并根据情节严重情况要求乙方支付相应金额的违约金，包括但不限于下列违约情形：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1.人员管理方面：乙方专职安全管理人员缺失/不称职未更换，违约金每人每天1000元；乙方应做好对人员登记造册、安全教育交底、特种作业证件查验、劳保用品规范使用、遵章守纪等的管理，不符合要求，违约金200-1000元/人次。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2.安全生产方面：危大工程方案缺失或审批手续不符合要求，违约金人民币2000元/次；乙方施工过程未按方案、操作规程等要求执行，导致危大工程存在安全隐患，违约金人民币500-5000元/次。安全防护设施缺失或设置不规范、设备设施已达报废标准仍在使用、应急物资失效或不齐全、违反安全用电要求、安全装置缺失或失效、场区文明施工（含主管部门文明城市创建）不符要求，违约金500-5000元/次。使用不符合安全要求等级材料、机具，违约金1000-10000元/次。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3.安全管理行为方面：安全教育交底、安全验收、安全检查、旁站监督、应急演练、安全管理档案编制等管理动作未落实或不到位，违约金500-5000元/次。封闭或门禁管理不到位，非施工人员未经登记可进入施工现场，违约金人民币500元/人次。乙方对安全问题未在指定期限内整改到位并反馈，或整改存在弄虚作假，违约金人民币500-2000元/次。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4.安全管理结果方面：在各项检查中，工程项目检查结果对甲方及其上级单位的考核结果造成负面影响，或被主管部门、甲方上级单位通报批评、勒令停工整顿等处理，或因安全文明施工未达标被媒体曝光，乙方除应承担甲方因此造成的损失外，甲方可根据影响程度大小要求乙方支付人民币1万元-5万元/次的违约金。出现亡人事故，乙方除应承担生产安全事故全部责任和由此产生的所有费用外，甲方有权要求乙方支付每次不少于10万元-20万元人民币的违约金。</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同时出现多处以上违约情形时，违约金可重复计取，同一问题连续出现三次将违约金标准翻倍，直接在当期工程进度款支付中扣减。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2"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 xml:space="preserve">五、其他未尽事宜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其他未尽事宜按照有关安全法律法规、技术规范和合同约定进行安全管理。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2"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六、</w:t>
      </w:r>
      <w:r>
        <w:rPr>
          <w:rFonts w:hint="eastAsia" w:ascii="宋体" w:hAnsi="宋体" w:eastAsia="宋体" w:cs="宋体"/>
          <w:color w:val="0000FF"/>
          <w:kern w:val="0"/>
          <w:sz w:val="21"/>
          <w:szCs w:val="21"/>
          <w:highlight w:val="none"/>
          <w:lang w:val="en-US" w:eastAsia="zh-CN" w:bidi="ar"/>
        </w:rPr>
        <w:t xml:space="preserve">本协议作为承发包双方工程合同的附件，在工程合同签约后生效，与工程合同具有同等法律效力。工程合同期满，本协议终止。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2"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七、</w:t>
      </w:r>
      <w:r>
        <w:rPr>
          <w:rFonts w:hint="eastAsia" w:ascii="宋体" w:hAnsi="宋体" w:eastAsia="宋体" w:cs="宋体"/>
          <w:color w:val="0000FF"/>
          <w:kern w:val="0"/>
          <w:sz w:val="21"/>
          <w:szCs w:val="21"/>
          <w:highlight w:val="none"/>
          <w:lang w:val="en-US" w:eastAsia="zh-CN" w:bidi="ar"/>
        </w:rPr>
        <w:t xml:space="preserve">本协议中未涉及的有关条款，承发包双方可根据需要协商补充修改。如遇有国家和地方的有关法规不符的，应按国家和地方的有关法规执行。本协议经协议双方签字并盖章之日起生效，作为施工合同的附件，份数与施工合同一致。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（以下无正文） </w:t>
      </w:r>
    </w:p>
    <w:p>
      <w:pPr>
        <w:keepNext w:val="0"/>
        <w:keepLines w:val="0"/>
        <w:widowControl/>
        <w:suppressLineNumbers w:val="0"/>
        <w:jc w:val="left"/>
        <w:rPr>
          <w:rFonts w:hint="eastAsia" w:ascii="宋体" w:hAnsi="宋体" w:eastAsia="宋体" w:cs="宋体"/>
          <w:color w:val="0000FF"/>
          <w:kern w:val="0"/>
          <w:sz w:val="21"/>
          <w:szCs w:val="21"/>
          <w:highlight w:val="none"/>
          <w:lang w:val="en-US" w:eastAsia="zh-CN" w:bidi="ar"/>
        </w:rPr>
      </w:pPr>
    </w:p>
    <w:p>
      <w:pPr>
        <w:keepNext w:val="0"/>
        <w:keepLines w:val="0"/>
        <w:widowControl/>
        <w:suppressLineNumbers w:val="0"/>
        <w:jc w:val="left"/>
        <w:rPr>
          <w:rFonts w:hint="eastAsia" w:ascii="宋体" w:hAnsi="宋体" w:eastAsia="宋体" w:cs="宋体"/>
          <w:color w:val="0000FF"/>
          <w:kern w:val="0"/>
          <w:sz w:val="21"/>
          <w:szCs w:val="21"/>
          <w:highlight w:val="none"/>
          <w:lang w:val="en-US" w:eastAsia="zh-CN" w:bidi="ar"/>
        </w:rPr>
      </w:pPr>
    </w:p>
    <w:p>
      <w:pPr>
        <w:keepNext w:val="0"/>
        <w:keepLines w:val="0"/>
        <w:widowControl/>
        <w:suppressLineNumbers w:val="0"/>
        <w:jc w:val="left"/>
        <w:rPr>
          <w:rFonts w:hint="eastAsia" w:ascii="宋体" w:hAnsi="宋体" w:eastAsia="宋体" w:cs="宋体"/>
          <w:color w:val="0000FF"/>
          <w:kern w:val="0"/>
          <w:sz w:val="21"/>
          <w:szCs w:val="21"/>
          <w:highlight w:val="none"/>
          <w:lang w:val="en-US" w:eastAsia="zh-CN" w:bidi="ar"/>
        </w:rPr>
      </w:pPr>
    </w:p>
    <w:p>
      <w:pPr>
        <w:keepNext w:val="0"/>
        <w:keepLines w:val="0"/>
        <w:widowControl/>
        <w:suppressLineNumbers w:val="0"/>
        <w:jc w:val="left"/>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发 包 人（公章）：                              承 包 人（公章）： </w:t>
      </w:r>
    </w:p>
    <w:p>
      <w:pPr>
        <w:keepNext w:val="0"/>
        <w:keepLines w:val="0"/>
        <w:widowControl/>
        <w:suppressLineNumbers w:val="0"/>
        <w:jc w:val="left"/>
        <w:rPr>
          <w:rFonts w:hint="eastAsia" w:ascii="宋体" w:hAnsi="宋体" w:eastAsia="宋体" w:cs="宋体"/>
          <w:color w:val="0000FF"/>
          <w:kern w:val="0"/>
          <w:sz w:val="21"/>
          <w:szCs w:val="21"/>
          <w:highlight w:val="none"/>
          <w:lang w:val="en-US" w:eastAsia="zh-CN" w:bidi="ar"/>
        </w:rPr>
      </w:pPr>
    </w:p>
    <w:p>
      <w:pPr>
        <w:keepNext w:val="0"/>
        <w:keepLines w:val="0"/>
        <w:widowControl/>
        <w:suppressLineNumbers w:val="0"/>
        <w:jc w:val="left"/>
        <w:rPr>
          <w:rFonts w:hint="eastAsia" w:ascii="宋体" w:hAnsi="宋体" w:eastAsia="宋体" w:cs="宋体"/>
          <w:color w:val="0000FF"/>
          <w:kern w:val="0"/>
          <w:sz w:val="21"/>
          <w:szCs w:val="21"/>
          <w:highlight w:val="none"/>
          <w:lang w:val="en-US" w:eastAsia="zh-CN" w:bidi="ar"/>
        </w:rPr>
      </w:pPr>
    </w:p>
    <w:p>
      <w:pPr>
        <w:keepNext w:val="0"/>
        <w:keepLines w:val="0"/>
        <w:widowControl/>
        <w:suppressLineNumbers w:val="0"/>
        <w:jc w:val="left"/>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 xml:space="preserve">法定代表人                                      法定代表人 </w:t>
      </w:r>
    </w:p>
    <w:p>
      <w:pPr>
        <w:keepNext w:val="0"/>
        <w:keepLines w:val="0"/>
        <w:widowControl/>
        <w:suppressLineNumbers w:val="0"/>
        <w:jc w:val="left"/>
        <w:rPr>
          <w:rFonts w:hint="eastAsia" w:ascii="宋体" w:hAnsi="宋体" w:eastAsia="宋体" w:cs="宋体"/>
          <w:color w:val="0000FF"/>
          <w:kern w:val="0"/>
          <w:sz w:val="21"/>
          <w:szCs w:val="21"/>
          <w:highlight w:val="none"/>
          <w:lang w:val="en-US" w:eastAsia="zh-CN" w:bidi="ar"/>
        </w:rPr>
      </w:pPr>
    </w:p>
    <w:p>
      <w:pPr>
        <w:keepNext w:val="0"/>
        <w:keepLines w:val="0"/>
        <w:widowControl/>
        <w:suppressLineNumbers w:val="0"/>
        <w:jc w:val="left"/>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或委托代理人（签字或盖章）：                    或委托代理人（签字或盖章）：</w:t>
      </w:r>
    </w:p>
    <w:p>
      <w:pPr>
        <w:rPr>
          <w:rFonts w:hint="eastAsia" w:ascii="黑体" w:eastAsia="黑体" w:cs="黑体"/>
          <w:color w:val="0000FF"/>
          <w:kern w:val="1"/>
          <w:sz w:val="52"/>
          <w:szCs w:val="52"/>
          <w:highlight w:val="none"/>
        </w:rPr>
      </w:pPr>
      <w:r>
        <w:rPr>
          <w:rFonts w:hint="eastAsia" w:ascii="黑体" w:eastAsia="黑体" w:cs="黑体"/>
          <w:color w:val="0000FF"/>
          <w:kern w:val="1"/>
          <w:sz w:val="52"/>
          <w:szCs w:val="52"/>
          <w:highlight w:val="none"/>
        </w:rPr>
        <w:br w:type="page"/>
      </w:r>
    </w:p>
    <w:p>
      <w:pPr>
        <w:keepNext w:val="0"/>
        <w:keepLines w:val="0"/>
        <w:widowControl/>
        <w:suppressLineNumbers w:val="0"/>
        <w:jc w:val="left"/>
        <w:rPr>
          <w:color w:val="0000FF"/>
          <w:highlight w:val="none"/>
        </w:rPr>
      </w:pPr>
      <w:r>
        <w:rPr>
          <w:rFonts w:hint="eastAsia" w:ascii="黑体" w:hAnsi="宋体" w:eastAsia="黑体" w:cs="黑体"/>
          <w:color w:val="0000FF"/>
          <w:sz w:val="21"/>
          <w:szCs w:val="21"/>
          <w:highlight w:val="none"/>
          <w:lang w:val="en-US" w:eastAsia="zh-CN"/>
        </w:rPr>
        <w:t>附件13：</w:t>
      </w:r>
      <w:r>
        <w:rPr>
          <w:rFonts w:hint="eastAsia" w:ascii="宋体" w:hAnsi="宋体" w:eastAsia="宋体" w:cs="宋体"/>
          <w:color w:val="0000FF"/>
          <w:kern w:val="0"/>
          <w:sz w:val="24"/>
          <w:szCs w:val="24"/>
          <w:highlight w:val="none"/>
          <w:lang w:val="en-US" w:eastAsia="zh-CN" w:bidi="ar"/>
        </w:rPr>
        <w:t xml:space="preserve"> </w:t>
      </w:r>
    </w:p>
    <w:p>
      <w:pPr>
        <w:keepNext w:val="0"/>
        <w:keepLines w:val="0"/>
        <w:widowControl/>
        <w:suppressLineNumbers w:val="0"/>
        <w:jc w:val="center"/>
        <w:rPr>
          <w:color w:val="0000FF"/>
          <w:sz w:val="28"/>
          <w:szCs w:val="28"/>
          <w:highlight w:val="none"/>
        </w:rPr>
      </w:pPr>
      <w:r>
        <w:rPr>
          <w:rFonts w:hint="eastAsia" w:ascii="宋体" w:hAnsi="宋体" w:eastAsia="宋体" w:cs="宋体"/>
          <w:b/>
          <w:bCs/>
          <w:color w:val="0000FF"/>
          <w:kern w:val="0"/>
          <w:sz w:val="28"/>
          <w:szCs w:val="28"/>
          <w:highlight w:val="none"/>
          <w:lang w:val="en-US" w:eastAsia="zh-CN" w:bidi="ar"/>
        </w:rPr>
        <w:t>工程建设项目廉洁责任合同</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FF"/>
          <w:kern w:val="0"/>
          <w:sz w:val="21"/>
          <w:szCs w:val="21"/>
          <w:highlight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FF"/>
          <w:sz w:val="21"/>
          <w:szCs w:val="21"/>
          <w:highlight w:val="none"/>
          <w:u w:val="single"/>
          <w:lang w:val="en-US"/>
        </w:rPr>
      </w:pPr>
      <w:r>
        <w:rPr>
          <w:rFonts w:hint="eastAsia" w:ascii="宋体" w:hAnsi="宋体" w:eastAsia="宋体" w:cs="宋体"/>
          <w:color w:val="0000FF"/>
          <w:kern w:val="0"/>
          <w:sz w:val="21"/>
          <w:szCs w:val="21"/>
          <w:highlight w:val="none"/>
          <w:lang w:val="en-US" w:eastAsia="zh-CN" w:bidi="ar"/>
        </w:rPr>
        <w:t>工程项目名称：</w:t>
      </w:r>
      <w:r>
        <w:rPr>
          <w:rFonts w:hint="eastAsia" w:ascii="宋体" w:hAnsi="宋体" w:eastAsia="宋体" w:cs="宋体"/>
          <w:color w:val="0000FF"/>
          <w:kern w:val="0"/>
          <w:sz w:val="21"/>
          <w:szCs w:val="21"/>
          <w:highlight w:val="none"/>
          <w:u w:val="single"/>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FF"/>
          <w:sz w:val="21"/>
          <w:szCs w:val="21"/>
          <w:highlight w:val="none"/>
          <w:u w:val="single"/>
          <w:lang w:val="en-US"/>
        </w:rPr>
      </w:pPr>
      <w:r>
        <w:rPr>
          <w:rFonts w:hint="eastAsia" w:ascii="宋体" w:hAnsi="宋体" w:eastAsia="宋体" w:cs="宋体"/>
          <w:color w:val="0000FF"/>
          <w:kern w:val="0"/>
          <w:sz w:val="21"/>
          <w:szCs w:val="21"/>
          <w:highlight w:val="none"/>
          <w:lang w:val="en-US" w:eastAsia="zh-CN" w:bidi="ar"/>
        </w:rPr>
        <w:t>工程项目地址：</w:t>
      </w:r>
      <w:r>
        <w:rPr>
          <w:rFonts w:hint="eastAsia" w:ascii="宋体" w:hAnsi="宋体" w:eastAsia="宋体" w:cs="宋体"/>
          <w:color w:val="0000FF"/>
          <w:kern w:val="0"/>
          <w:sz w:val="21"/>
          <w:szCs w:val="21"/>
          <w:highlight w:val="none"/>
          <w:u w:val="single"/>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FF"/>
          <w:sz w:val="21"/>
          <w:szCs w:val="21"/>
          <w:highlight w:val="none"/>
          <w:u w:val="single"/>
          <w:lang w:val="en-US"/>
        </w:rPr>
      </w:pPr>
      <w:r>
        <w:rPr>
          <w:rFonts w:hint="eastAsia" w:ascii="宋体" w:hAnsi="宋体" w:eastAsia="宋体" w:cs="宋体"/>
          <w:color w:val="0000FF"/>
          <w:kern w:val="0"/>
          <w:sz w:val="21"/>
          <w:szCs w:val="21"/>
          <w:highlight w:val="none"/>
          <w:lang w:val="en-US" w:eastAsia="zh-CN" w:bidi="ar"/>
        </w:rPr>
        <w:t>发包人（全称）：</w:t>
      </w:r>
      <w:r>
        <w:rPr>
          <w:rFonts w:hint="eastAsia" w:ascii="宋体" w:hAnsi="宋体" w:eastAsia="宋体" w:cs="宋体"/>
          <w:color w:val="0000FF"/>
          <w:kern w:val="0"/>
          <w:sz w:val="21"/>
          <w:szCs w:val="21"/>
          <w:highlight w:val="none"/>
          <w:u w:val="single"/>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FF"/>
          <w:sz w:val="21"/>
          <w:szCs w:val="21"/>
          <w:highlight w:val="none"/>
          <w:u w:val="single"/>
          <w:lang w:val="en-US"/>
        </w:rPr>
      </w:pPr>
      <w:r>
        <w:rPr>
          <w:rFonts w:hint="eastAsia" w:ascii="宋体" w:hAnsi="宋体" w:eastAsia="宋体" w:cs="宋体"/>
          <w:color w:val="0000FF"/>
          <w:kern w:val="0"/>
          <w:sz w:val="21"/>
          <w:szCs w:val="21"/>
          <w:highlight w:val="none"/>
          <w:lang w:val="en-US" w:eastAsia="zh-CN" w:bidi="ar"/>
        </w:rPr>
        <w:t>承包人（全称）：</w:t>
      </w:r>
      <w:r>
        <w:rPr>
          <w:rFonts w:hint="eastAsia" w:ascii="宋体" w:hAnsi="宋体" w:eastAsia="宋体" w:cs="宋体"/>
          <w:color w:val="0000FF"/>
          <w:kern w:val="0"/>
          <w:sz w:val="21"/>
          <w:szCs w:val="21"/>
          <w:highlight w:val="none"/>
          <w:u w:val="single"/>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为加强工程建设中的廉洁建设，规范工程建设项目承发包双方的各项活动，防止发生各种谋取不正当利益的违法违纪行为，保护国家、集体和当事人的合法权益，根据国家有关法律法规和廉政建设规定，特签订本廉洁责任合同。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第一条 承发包双方的责任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（一）应严格遵守国家关于市场准入、项目招标投标、工程建设、施工安装和市场活动等有关法律、法规、相关政策，以及廉政建设的各项规定。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（二）严格执行建设工程项目承发包协议文件，自觉按协议办事。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（三）业务活动必须坚持公开、公平、公正、诚信、透明的原则（除法律法规另有规定者外），不得为获取不正当的利益，损害国家、集体和对方利益，不得违反工程建设管理、施工安装的规章制度。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（四）发现对方在业务活动中有违规、违纪、违法行为的，应及时提醒对方，情节严重的，应向其上级主管部门或纪检监察、司法等有关机关举报。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第二条 发包人的责任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发包人的领导和从事该建设工程项目的工作人员，在工程建设的事前、事中、事后应遵守以下规定：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（一）不准向承包人和相关单位索要或接受回扣、礼金、有价证券、贵重物品和好处费、感谢费等。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（二）不准在承包人和相关单位报销任何应由发包人或个人支付的费用。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（三）不准要求、暗示或接受承包人和相关单位为个人装修住房、婚丧嫁娶、配偶子女的工作安排以及出国（境）、旅游等提供不当利益。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（四）不准参加有可能影响公正执行公务的承包人和相关单位的宴请和健身、娱乐等活动。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五）不准向承包人介绍或为配偶、子女、亲属参与同发包人项目工程施工协议有关的设备、材料、工程分包、劳务等经济活动。不得以任何理由向承包人和相关单位推荐分包单位和要求承包人购买项目工程施工协议规定以外的材料、设备等。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第三条 承包人的责任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应与发包人保持正常的业务交往，按照有关法律法规和程序开展业务工作，严格执行工程建设的有关方针、政策，尤其是有关建筑施工安装的强制性标准和规范，并遵守以下规定：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（一）不准以任何理由向发包人及其工作人员索要、接受或赠送礼金、有价证券、贵重物品和回扣、好处费、感谢费等。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（二）不准以任何理由为发包人和相关单位报销应由对方或个人支付的费用。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（三）不准接受或暗示为发包人、相关单位或个人装修住房、婚丧嫁娶、配偶子女的工作安排以及出国（境）、旅游等提供不当利益。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（四）不准以任何理由为发包人、相关单位或个人组织有可能影响公正执行公务的宴请、健身、娱乐等活动。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第四条 违约责任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（一）发包人工作人员有违反本协议第一、第二条责任行为的，按照管理权限，依据有关法律法规和规定给予党纪、政纪处分或组织处理；涉嫌犯罪的，移交司法机关追究刑事责任。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（二）承包人工作人员有违反本协议第一条、第三条责任行为的，按照管理权限，依据有关法律法规和规定给予党纪、政纪处分或组织处理；涉嫌犯罪的，移交司法机关追究刑事责任。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（三）承包人工作人员有违反本协议第一条、第三条责任行为的，应扣罚承包人的廉洁保证金：工程竣工结算前，每发现一次，扣罚承包人10万元，直接从应付工程款中扣除；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第五条 本协议作为工程施工合同的附件，与工程施工合同具有同等法律效力。经双方签署后立即生效。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第六条 本协议的有效期为双方签署之日起至该工程项目竣工验收合格后2年。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color w:val="0000FF"/>
          <w:highlight w:val="none"/>
        </w:rPr>
      </w:pPr>
      <w:r>
        <w:rPr>
          <w:rFonts w:hint="eastAsia" w:ascii="宋体" w:hAnsi="宋体" w:eastAsia="宋体" w:cs="宋体"/>
          <w:color w:val="0000FF"/>
          <w:kern w:val="0"/>
          <w:sz w:val="21"/>
          <w:szCs w:val="21"/>
          <w:highlight w:val="none"/>
          <w:lang w:val="en-US" w:eastAsia="zh-CN" w:bidi="ar"/>
        </w:rPr>
        <w:t>第七条 本协议一式拾份，有承发包双方各执伍份。</w:t>
      </w:r>
      <w:r>
        <w:rPr>
          <w:rFonts w:hint="eastAsia" w:ascii="宋体" w:hAnsi="宋体" w:eastAsia="宋体" w:cs="宋体"/>
          <w:color w:val="0000FF"/>
          <w:kern w:val="0"/>
          <w:sz w:val="20"/>
          <w:szCs w:val="20"/>
          <w:highlight w:val="none"/>
          <w:lang w:val="en-US" w:eastAsia="zh-CN" w:bidi="ar"/>
        </w:rPr>
        <w:t xml:space="preserve"> </w:t>
      </w:r>
    </w:p>
    <w:p>
      <w:pPr>
        <w:keepNext w:val="0"/>
        <w:keepLines w:val="0"/>
        <w:widowControl/>
        <w:suppressLineNumbers w:val="0"/>
        <w:jc w:val="left"/>
        <w:rPr>
          <w:rFonts w:hint="eastAsia" w:ascii="宋体" w:hAnsi="宋体" w:eastAsia="宋体" w:cs="宋体"/>
          <w:color w:val="0000FF"/>
          <w:kern w:val="0"/>
          <w:sz w:val="20"/>
          <w:szCs w:val="20"/>
          <w:highlight w:val="none"/>
          <w:lang w:val="en-US" w:eastAsia="zh-CN" w:bidi="ar"/>
        </w:rPr>
      </w:pPr>
    </w:p>
    <w:p>
      <w:pPr>
        <w:keepNext w:val="0"/>
        <w:keepLines w:val="0"/>
        <w:widowControl/>
        <w:suppressLineNumbers w:val="0"/>
        <w:jc w:val="left"/>
        <w:rPr>
          <w:rFonts w:hint="eastAsia" w:ascii="宋体" w:hAnsi="宋体" w:eastAsia="宋体" w:cs="宋体"/>
          <w:color w:val="0000FF"/>
          <w:kern w:val="0"/>
          <w:sz w:val="20"/>
          <w:szCs w:val="20"/>
          <w:highlight w:val="none"/>
          <w:lang w:val="en-US" w:eastAsia="zh-CN" w:bidi="ar"/>
        </w:rPr>
      </w:pPr>
    </w:p>
    <w:p>
      <w:pPr>
        <w:keepNext w:val="0"/>
        <w:keepLines w:val="0"/>
        <w:widowControl/>
        <w:suppressLineNumbers w:val="0"/>
        <w:jc w:val="left"/>
        <w:rPr>
          <w:rFonts w:hint="eastAsia" w:ascii="宋体" w:hAnsi="宋体" w:eastAsia="宋体" w:cs="宋体"/>
          <w:color w:val="0000FF"/>
          <w:kern w:val="0"/>
          <w:sz w:val="21"/>
          <w:szCs w:val="21"/>
          <w:highlight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color w:val="0000FF"/>
          <w:sz w:val="21"/>
          <w:szCs w:val="21"/>
          <w:highlight w:val="none"/>
        </w:rPr>
      </w:pPr>
      <w:r>
        <w:rPr>
          <w:rFonts w:hint="eastAsia" w:ascii="宋体" w:hAnsi="宋体" w:eastAsia="宋体" w:cs="宋体"/>
          <w:color w:val="0000FF"/>
          <w:kern w:val="0"/>
          <w:sz w:val="21"/>
          <w:szCs w:val="21"/>
          <w:highlight w:val="none"/>
          <w:lang w:val="en-US" w:eastAsia="zh-CN" w:bidi="ar"/>
        </w:rPr>
        <w:t>发 包 人（公章）：                               承 包 人（公章）：</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 xml:space="preserve">法定代表人                                       法定代表人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sz w:val="21"/>
          <w:szCs w:val="21"/>
          <w:highlight w:val="none"/>
        </w:rPr>
      </w:pPr>
      <w:r>
        <w:rPr>
          <w:rFonts w:hint="eastAsia" w:ascii="宋体" w:hAnsi="宋体" w:eastAsia="宋体" w:cs="宋体"/>
          <w:color w:val="0000FF"/>
          <w:kern w:val="0"/>
          <w:sz w:val="21"/>
          <w:szCs w:val="21"/>
          <w:highlight w:val="none"/>
          <w:lang w:val="en-US" w:eastAsia="zh-CN" w:bidi="ar"/>
        </w:rPr>
        <w:t>或委托代理人（签字或盖章）：                     或委托代理人（签字或盖章）：</w:t>
      </w:r>
    </w:p>
    <w:p>
      <w:pPr>
        <w:rPr>
          <w:rFonts w:hint="eastAsia" w:ascii="黑体" w:eastAsia="黑体" w:cs="黑体"/>
          <w:color w:val="auto"/>
          <w:kern w:val="1"/>
          <w:sz w:val="52"/>
          <w:szCs w:val="52"/>
          <w:highlight w:val="none"/>
        </w:rPr>
      </w:pPr>
    </w:p>
    <w:p>
      <w:pPr>
        <w:rPr>
          <w:rFonts w:hint="eastAsia" w:ascii="黑体" w:eastAsia="黑体" w:cs="黑体"/>
          <w:color w:val="auto"/>
          <w:kern w:val="1"/>
          <w:sz w:val="52"/>
          <w:szCs w:val="52"/>
          <w:highlight w:val="none"/>
        </w:rPr>
      </w:pPr>
      <w:r>
        <w:rPr>
          <w:rFonts w:hint="eastAsia" w:ascii="黑体" w:eastAsia="黑体" w:cs="黑体"/>
          <w:color w:val="auto"/>
          <w:kern w:val="1"/>
          <w:sz w:val="52"/>
          <w:szCs w:val="52"/>
          <w:highlight w:val="none"/>
        </w:rPr>
        <w:br w:type="page"/>
      </w:r>
    </w:p>
    <w:p>
      <w:pPr>
        <w:keepNext w:val="0"/>
        <w:keepLines w:val="0"/>
        <w:widowControl/>
        <w:suppressLineNumbers w:val="0"/>
        <w:jc w:val="left"/>
        <w:rPr>
          <w:highlight w:val="none"/>
        </w:rPr>
      </w:pPr>
      <w:r>
        <w:rPr>
          <w:rFonts w:hint="eastAsia" w:ascii="黑体" w:hAnsi="宋体" w:eastAsia="黑体" w:cs="黑体"/>
          <w:color w:val="0000FF"/>
          <w:sz w:val="21"/>
          <w:szCs w:val="21"/>
          <w:highlight w:val="none"/>
          <w:lang w:val="en-US" w:eastAsia="zh-CN"/>
        </w:rPr>
        <w:t>附件14：</w:t>
      </w:r>
      <w:r>
        <w:rPr>
          <w:rFonts w:hint="eastAsia" w:ascii="宋体" w:hAnsi="宋体" w:eastAsia="宋体" w:cs="宋体"/>
          <w:color w:val="000000"/>
          <w:kern w:val="0"/>
          <w:sz w:val="24"/>
          <w:szCs w:val="24"/>
          <w:highlight w:val="none"/>
          <w:lang w:val="en-US" w:eastAsia="zh-CN" w:bidi="ar"/>
        </w:rPr>
        <w:t xml:space="preserve"> </w:t>
      </w:r>
    </w:p>
    <w:p>
      <w:pPr>
        <w:keepNext w:val="0"/>
        <w:keepLines w:val="0"/>
        <w:widowControl/>
        <w:suppressLineNumbers w:val="0"/>
        <w:jc w:val="center"/>
        <w:rPr>
          <w:color w:val="0000FF"/>
          <w:sz w:val="28"/>
          <w:szCs w:val="28"/>
          <w:highlight w:val="none"/>
        </w:rPr>
      </w:pPr>
      <w:r>
        <w:rPr>
          <w:rFonts w:hint="eastAsia" w:ascii="宋体" w:hAnsi="宋体" w:eastAsia="宋体" w:cs="宋体"/>
          <w:b/>
          <w:bCs/>
          <w:color w:val="0000FF"/>
          <w:kern w:val="0"/>
          <w:sz w:val="28"/>
          <w:szCs w:val="28"/>
          <w:highlight w:val="none"/>
          <w:lang w:val="en-US" w:eastAsia="zh-CN" w:bidi="ar"/>
        </w:rPr>
        <w:t>厦门国贸建设开发有限公司</w:t>
      </w:r>
    </w:p>
    <w:p>
      <w:pPr>
        <w:keepNext w:val="0"/>
        <w:keepLines w:val="0"/>
        <w:widowControl/>
        <w:suppressLineNumbers w:val="0"/>
        <w:jc w:val="center"/>
        <w:rPr>
          <w:rFonts w:hint="eastAsia" w:ascii="宋体" w:hAnsi="宋体" w:eastAsia="宋体" w:cs="宋体"/>
          <w:b/>
          <w:bCs/>
          <w:color w:val="0000FF"/>
          <w:kern w:val="0"/>
          <w:sz w:val="28"/>
          <w:szCs w:val="28"/>
          <w:highlight w:val="none"/>
          <w:lang w:val="en-US" w:eastAsia="zh-CN" w:bidi="ar"/>
        </w:rPr>
      </w:pPr>
    </w:p>
    <w:p>
      <w:pPr>
        <w:keepNext w:val="0"/>
        <w:keepLines w:val="0"/>
        <w:widowControl/>
        <w:suppressLineNumbers w:val="0"/>
        <w:jc w:val="center"/>
        <w:rPr>
          <w:color w:val="0000FF"/>
          <w:highlight w:val="none"/>
        </w:rPr>
      </w:pPr>
      <w:r>
        <w:rPr>
          <w:rFonts w:hint="eastAsia" w:ascii="宋体" w:hAnsi="宋体" w:eastAsia="宋体" w:cs="宋体"/>
          <w:b/>
          <w:bCs/>
          <w:color w:val="0000FF"/>
          <w:kern w:val="0"/>
          <w:sz w:val="28"/>
          <w:szCs w:val="28"/>
          <w:highlight w:val="none"/>
          <w:lang w:val="en-US" w:eastAsia="zh-CN" w:bidi="ar"/>
        </w:rPr>
        <w:t>工程管理考核实施细则</w:t>
      </w:r>
    </w:p>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0000FF"/>
          <w:kern w:val="0"/>
          <w:sz w:val="21"/>
          <w:szCs w:val="21"/>
          <w:highlight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第一章 总则</w:t>
      </w:r>
    </w:p>
    <w:p>
      <w:pPr>
        <w:keepNext w:val="0"/>
        <w:keepLines w:val="0"/>
        <w:pageBreakBefore w:val="0"/>
        <w:widowControl/>
        <w:suppressLineNumbers w:val="0"/>
        <w:kinsoku/>
        <w:wordWrap/>
        <w:overflowPunct/>
        <w:topLinePunct w:val="0"/>
        <w:autoSpaceDE/>
        <w:autoSpaceDN/>
        <w:bidi w:val="0"/>
        <w:adjustRightInd/>
        <w:snapToGrid/>
        <w:spacing w:line="384" w:lineRule="auto"/>
        <w:ind w:firstLine="422"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 xml:space="preserve">第一条 </w:t>
      </w:r>
      <w:r>
        <w:rPr>
          <w:rFonts w:hint="eastAsia" w:ascii="宋体" w:hAnsi="宋体" w:eastAsia="宋体" w:cs="宋体"/>
          <w:color w:val="0000FF"/>
          <w:kern w:val="0"/>
          <w:sz w:val="21"/>
          <w:szCs w:val="21"/>
          <w:highlight w:val="none"/>
          <w:lang w:val="en-US" w:eastAsia="zh-CN" w:bidi="ar"/>
        </w:rPr>
        <w:t xml:space="preserve">为提高厦门国贸建设开发有限公司（以下简称“建设开发公司”）工程质量及安全文明施工常态化管理水平及责任意识，规范工程过程安全、质量、进度等管理评价及奖惩办法，奖优罚劣，特制定本实施细则。 </w:t>
      </w:r>
    </w:p>
    <w:p>
      <w:pPr>
        <w:keepNext w:val="0"/>
        <w:keepLines w:val="0"/>
        <w:pageBreakBefore w:val="0"/>
        <w:widowControl/>
        <w:suppressLineNumbers w:val="0"/>
        <w:kinsoku/>
        <w:wordWrap/>
        <w:overflowPunct/>
        <w:topLinePunct w:val="0"/>
        <w:autoSpaceDE/>
        <w:autoSpaceDN/>
        <w:bidi w:val="0"/>
        <w:adjustRightInd/>
        <w:snapToGrid/>
        <w:spacing w:line="384" w:lineRule="auto"/>
        <w:ind w:firstLine="422"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 xml:space="preserve">第二条 </w:t>
      </w:r>
      <w:r>
        <w:rPr>
          <w:rFonts w:hint="eastAsia" w:ascii="宋体" w:hAnsi="宋体" w:eastAsia="宋体" w:cs="宋体"/>
          <w:color w:val="0000FF"/>
          <w:kern w:val="0"/>
          <w:sz w:val="21"/>
          <w:szCs w:val="21"/>
          <w:highlight w:val="none"/>
          <w:lang w:val="en-US" w:eastAsia="zh-CN" w:bidi="ar"/>
        </w:rPr>
        <w:t xml:space="preserve">工程管理考核包含工程过程评估、工程地下专项评估、工程交付评估、工程管理红线、工程管理规定动作、工程管理事件（事故）、工程安全生产管理等维度的考核和工程降本提效提质专项激励等；工程安全管理相关考核详见《厦门国贸地产集团有限公司安全生产管理考核办法》。 </w:t>
      </w:r>
    </w:p>
    <w:p>
      <w:pPr>
        <w:keepNext w:val="0"/>
        <w:keepLines w:val="0"/>
        <w:pageBreakBefore w:val="0"/>
        <w:widowControl/>
        <w:suppressLineNumbers w:val="0"/>
        <w:kinsoku/>
        <w:wordWrap/>
        <w:overflowPunct/>
        <w:topLinePunct w:val="0"/>
        <w:autoSpaceDE/>
        <w:autoSpaceDN/>
        <w:bidi w:val="0"/>
        <w:adjustRightInd/>
        <w:snapToGrid/>
        <w:spacing w:line="384" w:lineRule="auto"/>
        <w:ind w:firstLine="422"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 xml:space="preserve">第三条 </w:t>
      </w:r>
      <w:r>
        <w:rPr>
          <w:rFonts w:hint="eastAsia" w:ascii="宋体" w:hAnsi="宋体" w:eastAsia="宋体" w:cs="宋体"/>
          <w:color w:val="0000FF"/>
          <w:kern w:val="0"/>
          <w:sz w:val="21"/>
          <w:szCs w:val="21"/>
          <w:highlight w:val="none"/>
          <w:lang w:val="en-US" w:eastAsia="zh-CN" w:bidi="ar"/>
        </w:rPr>
        <w:t xml:space="preserve">本办法适用于建设开发公司新建、改建、扩建工程建设项目，非操盘工程条线的项目参照执行。 </w:t>
      </w:r>
    </w:p>
    <w:p>
      <w:pPr>
        <w:keepNext w:val="0"/>
        <w:keepLines w:val="0"/>
        <w:pageBreakBefore w:val="0"/>
        <w:widowControl/>
        <w:suppressLineNumbers w:val="0"/>
        <w:kinsoku/>
        <w:wordWrap/>
        <w:overflowPunct/>
        <w:topLinePunct w:val="0"/>
        <w:autoSpaceDE/>
        <w:autoSpaceDN/>
        <w:bidi w:val="0"/>
        <w:adjustRightInd/>
        <w:snapToGrid/>
        <w:spacing w:line="384" w:lineRule="auto"/>
        <w:ind w:firstLine="422"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 xml:space="preserve">第四条 </w:t>
      </w:r>
      <w:r>
        <w:rPr>
          <w:rFonts w:hint="eastAsia" w:ascii="宋体" w:hAnsi="宋体" w:eastAsia="宋体" w:cs="宋体"/>
          <w:color w:val="0000FF"/>
          <w:kern w:val="0"/>
          <w:sz w:val="21"/>
          <w:szCs w:val="21"/>
          <w:highlight w:val="none"/>
          <w:lang w:val="en-US" w:eastAsia="zh-CN" w:bidi="ar"/>
        </w:rPr>
        <w:t xml:space="preserve">建设开发公司运管部负责工程管理考核的组织实施。 </w:t>
      </w:r>
    </w:p>
    <w:p>
      <w:pPr>
        <w:keepNext w:val="0"/>
        <w:keepLines w:val="0"/>
        <w:pageBreakBefore w:val="0"/>
        <w:widowControl/>
        <w:suppressLineNumbers w:val="0"/>
        <w:kinsoku/>
        <w:wordWrap/>
        <w:overflowPunct/>
        <w:topLinePunct w:val="0"/>
        <w:autoSpaceDE/>
        <w:autoSpaceDN/>
        <w:bidi w:val="0"/>
        <w:adjustRightInd/>
        <w:snapToGrid/>
        <w:spacing w:line="384" w:lineRule="auto"/>
        <w:jc w:val="center"/>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第二章 工程管理考核的依据</w:t>
      </w:r>
    </w:p>
    <w:p>
      <w:pPr>
        <w:keepNext w:val="0"/>
        <w:keepLines w:val="0"/>
        <w:pageBreakBefore w:val="0"/>
        <w:widowControl/>
        <w:suppressLineNumbers w:val="0"/>
        <w:kinsoku/>
        <w:wordWrap/>
        <w:overflowPunct/>
        <w:topLinePunct w:val="0"/>
        <w:autoSpaceDE/>
        <w:autoSpaceDN/>
        <w:bidi w:val="0"/>
        <w:adjustRightInd/>
        <w:snapToGrid/>
        <w:spacing w:line="384" w:lineRule="auto"/>
        <w:ind w:firstLine="422"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 xml:space="preserve">第五条 </w:t>
      </w:r>
      <w:r>
        <w:rPr>
          <w:rFonts w:hint="eastAsia" w:ascii="宋体" w:hAnsi="宋体" w:eastAsia="宋体" w:cs="宋体"/>
          <w:color w:val="0000FF"/>
          <w:kern w:val="0"/>
          <w:sz w:val="21"/>
          <w:szCs w:val="21"/>
          <w:highlight w:val="none"/>
          <w:lang w:val="en-US" w:eastAsia="zh-CN" w:bidi="ar"/>
        </w:rPr>
        <w:t xml:space="preserve">地产集团主导的第三方评估（含工程过程、地下专项、交付等）的考核，主要依据地产集团第三方评估报告及评分的结果。 </w:t>
      </w:r>
    </w:p>
    <w:p>
      <w:pPr>
        <w:keepNext w:val="0"/>
        <w:keepLines w:val="0"/>
        <w:pageBreakBefore w:val="0"/>
        <w:widowControl/>
        <w:suppressLineNumbers w:val="0"/>
        <w:kinsoku/>
        <w:wordWrap/>
        <w:overflowPunct/>
        <w:topLinePunct w:val="0"/>
        <w:autoSpaceDE/>
        <w:autoSpaceDN/>
        <w:bidi w:val="0"/>
        <w:adjustRightInd/>
        <w:snapToGrid/>
        <w:spacing w:line="384" w:lineRule="auto"/>
        <w:ind w:firstLine="422"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 xml:space="preserve">第六条 </w:t>
      </w:r>
      <w:r>
        <w:rPr>
          <w:rFonts w:hint="eastAsia" w:ascii="宋体" w:hAnsi="宋体" w:eastAsia="宋体" w:cs="宋体"/>
          <w:color w:val="0000FF"/>
          <w:kern w:val="0"/>
          <w:sz w:val="21"/>
          <w:szCs w:val="21"/>
          <w:highlight w:val="none"/>
          <w:lang w:val="en-US" w:eastAsia="zh-CN" w:bidi="ar"/>
        </w:rPr>
        <w:t xml:space="preserve">建设开发公司主导的第三方评估（含市政类、加固修缮类、立面改造类专项等）的考核，主要依据公司第三方专项评估的报告及评分的结果。 </w:t>
      </w:r>
    </w:p>
    <w:p>
      <w:pPr>
        <w:keepNext w:val="0"/>
        <w:keepLines w:val="0"/>
        <w:pageBreakBefore w:val="0"/>
        <w:widowControl/>
        <w:suppressLineNumbers w:val="0"/>
        <w:kinsoku/>
        <w:wordWrap/>
        <w:overflowPunct/>
        <w:topLinePunct w:val="0"/>
        <w:autoSpaceDE/>
        <w:autoSpaceDN/>
        <w:bidi w:val="0"/>
        <w:adjustRightInd/>
        <w:snapToGrid/>
        <w:spacing w:line="384" w:lineRule="auto"/>
        <w:ind w:firstLine="422"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 xml:space="preserve">第七条 </w:t>
      </w:r>
      <w:r>
        <w:rPr>
          <w:rFonts w:hint="eastAsia" w:ascii="宋体" w:hAnsi="宋体" w:eastAsia="宋体" w:cs="宋体"/>
          <w:color w:val="0000FF"/>
          <w:kern w:val="0"/>
          <w:sz w:val="21"/>
          <w:szCs w:val="21"/>
          <w:highlight w:val="none"/>
          <w:lang w:val="en-US" w:eastAsia="zh-CN" w:bidi="ar"/>
        </w:rPr>
        <w:t xml:space="preserve">工程管理红线的考核主要依据地产集团组织的工程巡检、建设开发公司组织的工程巡检、第三方评估或其它途径获取的项目违反《工程管理红线清单》情况的结果。 </w:t>
      </w:r>
    </w:p>
    <w:p>
      <w:pPr>
        <w:keepNext w:val="0"/>
        <w:keepLines w:val="0"/>
        <w:pageBreakBefore w:val="0"/>
        <w:widowControl/>
        <w:suppressLineNumbers w:val="0"/>
        <w:kinsoku/>
        <w:wordWrap/>
        <w:overflowPunct/>
        <w:topLinePunct w:val="0"/>
        <w:autoSpaceDE/>
        <w:autoSpaceDN/>
        <w:bidi w:val="0"/>
        <w:adjustRightInd/>
        <w:snapToGrid/>
        <w:spacing w:line="384" w:lineRule="auto"/>
        <w:ind w:firstLine="422"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 xml:space="preserve">第八条 </w:t>
      </w:r>
      <w:r>
        <w:rPr>
          <w:rFonts w:hint="eastAsia" w:ascii="宋体" w:hAnsi="宋体" w:eastAsia="宋体" w:cs="宋体"/>
          <w:color w:val="0000FF"/>
          <w:kern w:val="0"/>
          <w:sz w:val="21"/>
          <w:szCs w:val="21"/>
          <w:highlight w:val="none"/>
          <w:lang w:val="en-US" w:eastAsia="zh-CN" w:bidi="ar"/>
        </w:rPr>
        <w:t xml:space="preserve">工程管理规定动作的考核主要依据《厦门国贸地产集团有限公司工程管理规定》、《厦门国贸建设开发有限公司工程管理规定动作操作指引》等工程管理相关制度、技术标准、操作指引。 </w:t>
      </w:r>
    </w:p>
    <w:p>
      <w:pPr>
        <w:keepNext w:val="0"/>
        <w:keepLines w:val="0"/>
        <w:pageBreakBefore w:val="0"/>
        <w:widowControl/>
        <w:suppressLineNumbers w:val="0"/>
        <w:kinsoku/>
        <w:wordWrap/>
        <w:overflowPunct/>
        <w:topLinePunct w:val="0"/>
        <w:autoSpaceDE/>
        <w:autoSpaceDN/>
        <w:bidi w:val="0"/>
        <w:adjustRightInd/>
        <w:snapToGrid/>
        <w:spacing w:line="384" w:lineRule="auto"/>
        <w:jc w:val="center"/>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第三章 公司内部考核对象及考核分配</w:t>
      </w:r>
    </w:p>
    <w:p>
      <w:pPr>
        <w:keepNext w:val="0"/>
        <w:keepLines w:val="0"/>
        <w:pageBreakBefore w:val="0"/>
        <w:widowControl/>
        <w:suppressLineNumbers w:val="0"/>
        <w:kinsoku/>
        <w:wordWrap/>
        <w:overflowPunct/>
        <w:topLinePunct w:val="0"/>
        <w:autoSpaceDE/>
        <w:autoSpaceDN/>
        <w:bidi w:val="0"/>
        <w:adjustRightInd/>
        <w:snapToGrid/>
        <w:spacing w:line="384" w:lineRule="auto"/>
        <w:ind w:firstLine="422"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 xml:space="preserve">第九条 </w:t>
      </w:r>
      <w:r>
        <w:rPr>
          <w:rFonts w:hint="eastAsia" w:ascii="宋体" w:hAnsi="宋体" w:eastAsia="宋体" w:cs="宋体"/>
          <w:color w:val="0000FF"/>
          <w:kern w:val="0"/>
          <w:sz w:val="21"/>
          <w:szCs w:val="21"/>
          <w:highlight w:val="none"/>
          <w:lang w:val="en-US" w:eastAsia="zh-CN" w:bidi="ar"/>
        </w:rPr>
        <w:t xml:space="preserve">结合地产集团《工程管理考核办法》，地产集团主导的第三方评估、工程巡检等检查，相应工程管理考核的对象为总经理、片区分管领导、运管部、项目工程管理团队（含片区中层干部、项目经理或项目负责人、现场工程师及其他参与项目管理的工程条线管理人员）。 </w:t>
      </w:r>
    </w:p>
    <w:p>
      <w:pPr>
        <w:keepNext w:val="0"/>
        <w:keepLines w:val="0"/>
        <w:pageBreakBefore w:val="0"/>
        <w:widowControl/>
        <w:suppressLineNumbers w:val="0"/>
        <w:kinsoku/>
        <w:wordWrap/>
        <w:overflowPunct/>
        <w:topLinePunct w:val="0"/>
        <w:autoSpaceDE/>
        <w:autoSpaceDN/>
        <w:bidi w:val="0"/>
        <w:adjustRightInd/>
        <w:snapToGrid/>
        <w:spacing w:line="384" w:lineRule="auto"/>
        <w:ind w:firstLine="422"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 xml:space="preserve">第十条 </w:t>
      </w:r>
      <w:r>
        <w:rPr>
          <w:rFonts w:hint="eastAsia" w:ascii="宋体" w:hAnsi="宋体" w:eastAsia="宋体" w:cs="宋体"/>
          <w:color w:val="0000FF"/>
          <w:kern w:val="0"/>
          <w:sz w:val="21"/>
          <w:szCs w:val="21"/>
          <w:highlight w:val="none"/>
          <w:lang w:val="en-US" w:eastAsia="zh-CN" w:bidi="ar"/>
        </w:rPr>
        <w:t xml:space="preserve">建设开发公司主导的第三方评估、工程巡检等检查，相应工程管理考核考核对象为片区中层干部、项目经理或项目负责人、现场工程师及其他参与项目管理的工程条线管理人员。 </w:t>
      </w:r>
    </w:p>
    <w:p>
      <w:pPr>
        <w:keepNext w:val="0"/>
        <w:keepLines w:val="0"/>
        <w:pageBreakBefore w:val="0"/>
        <w:widowControl/>
        <w:suppressLineNumbers w:val="0"/>
        <w:kinsoku/>
        <w:wordWrap/>
        <w:overflowPunct/>
        <w:topLinePunct w:val="0"/>
        <w:autoSpaceDE/>
        <w:autoSpaceDN/>
        <w:bidi w:val="0"/>
        <w:adjustRightInd/>
        <w:snapToGrid/>
        <w:spacing w:line="384" w:lineRule="auto"/>
        <w:ind w:firstLine="422"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 xml:space="preserve">第十一条 </w:t>
      </w:r>
      <w:r>
        <w:rPr>
          <w:rFonts w:hint="eastAsia" w:ascii="宋体" w:hAnsi="宋体" w:eastAsia="宋体" w:cs="宋体"/>
          <w:color w:val="0000FF"/>
          <w:kern w:val="0"/>
          <w:sz w:val="21"/>
          <w:szCs w:val="21"/>
          <w:highlight w:val="none"/>
          <w:lang w:val="en-US" w:eastAsia="zh-CN" w:bidi="ar"/>
        </w:rPr>
        <w:t>地产集团对建设开发公司的考核奖励及处罚，适用于地产集团主导的第三方评估、工程管理红线考核、工程管理规定动作考核、工程管理事件（事故）考核、工程降本提效提质专项激励等。以上相应考核奖励、处罚，建设开发公司将以被奖、被罚项目标段为单位按以下比例分配至各考核对象（其中，项目工程管理团队成员奖罚分配由片区（副）总经理或项目经理制定分配比例，提交运管部汇总），按相关流程审批实施。</w:t>
      </w:r>
    </w:p>
    <w:tbl>
      <w:tblPr>
        <w:tblStyle w:val="6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85"/>
        <w:gridCol w:w="2917"/>
        <w:gridCol w:w="31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3585" w:type="dxa"/>
            <w:vAlign w:val="center"/>
          </w:tcPr>
          <w:p>
            <w:pPr>
              <w:keepNext w:val="0"/>
              <w:keepLines w:val="0"/>
              <w:widowControl/>
              <w:suppressLineNumbers w:val="0"/>
              <w:jc w:val="center"/>
              <w:rPr>
                <w:rFonts w:hint="eastAsia" w:ascii="宋体" w:hAnsi="宋体" w:eastAsia="宋体" w:cs="宋体"/>
                <w:color w:val="0000FF"/>
                <w:kern w:val="1"/>
                <w:sz w:val="21"/>
                <w:szCs w:val="21"/>
                <w:highlight w:val="none"/>
                <w:vertAlign w:val="baseline"/>
                <w:lang w:eastAsia="zh-CN"/>
              </w:rPr>
            </w:pPr>
            <w:r>
              <w:rPr>
                <w:rFonts w:hint="eastAsia" w:ascii="宋体" w:hAnsi="宋体" w:eastAsia="宋体" w:cs="宋体"/>
                <w:b/>
                <w:bCs/>
                <w:color w:val="0000FF"/>
                <w:kern w:val="0"/>
                <w:sz w:val="21"/>
                <w:szCs w:val="21"/>
                <w:highlight w:val="none"/>
                <w:lang w:val="en-US" w:eastAsia="zh-CN" w:bidi="ar"/>
              </w:rPr>
              <w:t>考核对象</w:t>
            </w:r>
          </w:p>
        </w:tc>
        <w:tc>
          <w:tcPr>
            <w:tcW w:w="2917" w:type="dxa"/>
            <w:vAlign w:val="center"/>
          </w:tcPr>
          <w:p>
            <w:pPr>
              <w:keepNext w:val="0"/>
              <w:keepLines w:val="0"/>
              <w:widowControl/>
              <w:suppressLineNumbers w:val="0"/>
              <w:jc w:val="center"/>
              <w:rPr>
                <w:rFonts w:hint="default" w:ascii="宋体" w:hAnsi="宋体" w:eastAsia="宋体" w:cs="宋体"/>
                <w:color w:val="0000FF"/>
                <w:kern w:val="1"/>
                <w:sz w:val="21"/>
                <w:szCs w:val="21"/>
                <w:highlight w:val="none"/>
                <w:vertAlign w:val="baseline"/>
                <w:lang w:val="en-US" w:eastAsia="zh-CN"/>
              </w:rPr>
            </w:pPr>
            <w:r>
              <w:rPr>
                <w:rFonts w:hint="eastAsia" w:ascii="宋体" w:hAnsi="宋体" w:eastAsia="宋体" w:cs="宋体"/>
                <w:b/>
                <w:bCs/>
                <w:color w:val="0000FF"/>
                <w:kern w:val="0"/>
                <w:sz w:val="21"/>
                <w:szCs w:val="21"/>
                <w:highlight w:val="none"/>
                <w:lang w:val="en-US" w:eastAsia="zh-CN" w:bidi="ar"/>
              </w:rPr>
              <w:t>奖励分配比例</w:t>
            </w:r>
          </w:p>
        </w:tc>
        <w:tc>
          <w:tcPr>
            <w:tcW w:w="3129" w:type="dxa"/>
            <w:vAlign w:val="center"/>
          </w:tcPr>
          <w:p>
            <w:pPr>
              <w:keepNext w:val="0"/>
              <w:keepLines w:val="0"/>
              <w:widowControl/>
              <w:suppressLineNumbers w:val="0"/>
              <w:jc w:val="center"/>
              <w:rPr>
                <w:rFonts w:hint="eastAsia" w:ascii="宋体" w:hAnsi="宋体" w:eastAsia="宋体" w:cs="宋体"/>
                <w:color w:val="0000FF"/>
                <w:kern w:val="1"/>
                <w:sz w:val="21"/>
                <w:szCs w:val="21"/>
                <w:highlight w:val="none"/>
                <w:vertAlign w:val="baseline"/>
              </w:rPr>
            </w:pPr>
            <w:r>
              <w:rPr>
                <w:rFonts w:hint="eastAsia" w:ascii="宋体" w:hAnsi="宋体" w:eastAsia="宋体" w:cs="宋体"/>
                <w:b/>
                <w:bCs/>
                <w:color w:val="0000FF"/>
                <w:kern w:val="0"/>
                <w:sz w:val="21"/>
                <w:szCs w:val="21"/>
                <w:highlight w:val="none"/>
                <w:lang w:val="en-US" w:eastAsia="zh-CN" w:bidi="ar"/>
              </w:rPr>
              <w:t>处罚分配比例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3585" w:type="dxa"/>
            <w:vAlign w:val="center"/>
          </w:tcPr>
          <w:p>
            <w:pPr>
              <w:jc w:val="center"/>
              <w:rPr>
                <w:rFonts w:hint="eastAsia" w:ascii="宋体" w:hAnsi="宋体" w:eastAsia="宋体" w:cs="宋体"/>
                <w:color w:val="0000FF"/>
                <w:kern w:val="1"/>
                <w:sz w:val="21"/>
                <w:szCs w:val="21"/>
                <w:highlight w:val="none"/>
                <w:vertAlign w:val="baseline"/>
                <w:lang w:eastAsia="zh-CN"/>
              </w:rPr>
            </w:pPr>
            <w:r>
              <w:rPr>
                <w:rFonts w:hint="eastAsia" w:ascii="宋体" w:hAnsi="宋体" w:eastAsia="宋体" w:cs="宋体"/>
                <w:color w:val="0000FF"/>
                <w:kern w:val="1"/>
                <w:sz w:val="21"/>
                <w:szCs w:val="21"/>
                <w:highlight w:val="none"/>
                <w:vertAlign w:val="baseline"/>
                <w:lang w:eastAsia="zh-CN"/>
              </w:rPr>
              <w:t>总经理</w:t>
            </w:r>
          </w:p>
        </w:tc>
        <w:tc>
          <w:tcPr>
            <w:tcW w:w="2917" w:type="dxa"/>
            <w:vAlign w:val="center"/>
          </w:tcPr>
          <w:p>
            <w:pPr>
              <w:jc w:val="center"/>
              <w:rPr>
                <w:rFonts w:hint="eastAsia" w:ascii="宋体" w:hAnsi="宋体" w:eastAsia="宋体" w:cs="宋体"/>
                <w:color w:val="0000FF"/>
                <w:kern w:val="1"/>
                <w:sz w:val="21"/>
                <w:szCs w:val="21"/>
                <w:highlight w:val="none"/>
                <w:vertAlign w:val="baseline"/>
                <w:lang w:val="en-US" w:eastAsia="zh-CN"/>
              </w:rPr>
            </w:pPr>
            <w:r>
              <w:rPr>
                <w:rFonts w:hint="eastAsia" w:ascii="宋体" w:hAnsi="宋体" w:eastAsia="宋体" w:cs="宋体"/>
                <w:color w:val="0000FF"/>
                <w:kern w:val="1"/>
                <w:sz w:val="21"/>
                <w:szCs w:val="21"/>
                <w:highlight w:val="none"/>
                <w:vertAlign w:val="baseline"/>
                <w:lang w:val="en-US" w:eastAsia="zh-CN"/>
              </w:rPr>
              <w:t>10%</w:t>
            </w:r>
          </w:p>
        </w:tc>
        <w:tc>
          <w:tcPr>
            <w:tcW w:w="3129" w:type="dxa"/>
            <w:vAlign w:val="center"/>
          </w:tcPr>
          <w:p>
            <w:pPr>
              <w:jc w:val="center"/>
              <w:rPr>
                <w:rFonts w:hint="eastAsia" w:ascii="宋体" w:hAnsi="宋体" w:eastAsia="宋体" w:cs="宋体"/>
                <w:color w:val="0000FF"/>
                <w:kern w:val="1"/>
                <w:sz w:val="21"/>
                <w:szCs w:val="21"/>
                <w:highlight w:val="none"/>
                <w:vertAlign w:val="baseline"/>
                <w:lang w:val="en-US" w:eastAsia="zh-CN"/>
              </w:rPr>
            </w:pPr>
            <w:r>
              <w:rPr>
                <w:rFonts w:hint="eastAsia" w:ascii="宋体" w:hAnsi="宋体" w:eastAsia="宋体" w:cs="宋体"/>
                <w:color w:val="0000FF"/>
                <w:kern w:val="1"/>
                <w:sz w:val="21"/>
                <w:szCs w:val="21"/>
                <w:highlight w:val="none"/>
                <w:vertAlign w:val="baseli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3585" w:type="dxa"/>
            <w:vAlign w:val="center"/>
          </w:tcPr>
          <w:p>
            <w:pPr>
              <w:keepNext w:val="0"/>
              <w:keepLines w:val="0"/>
              <w:widowControl/>
              <w:suppressLineNumbers w:val="0"/>
              <w:jc w:val="center"/>
              <w:rPr>
                <w:rFonts w:hint="eastAsia" w:ascii="宋体" w:hAnsi="宋体" w:eastAsia="宋体" w:cs="宋体"/>
                <w:color w:val="0000FF"/>
                <w:kern w:val="1"/>
                <w:sz w:val="21"/>
                <w:szCs w:val="21"/>
                <w:highlight w:val="none"/>
                <w:vertAlign w:val="baseline"/>
              </w:rPr>
            </w:pPr>
            <w:r>
              <w:rPr>
                <w:rFonts w:hint="eastAsia" w:ascii="宋体" w:hAnsi="宋体" w:eastAsia="宋体" w:cs="宋体"/>
                <w:color w:val="0000FF"/>
                <w:kern w:val="0"/>
                <w:sz w:val="21"/>
                <w:szCs w:val="21"/>
                <w:highlight w:val="none"/>
                <w:lang w:val="en-US" w:eastAsia="zh-CN" w:bidi="ar"/>
              </w:rPr>
              <w:t>片区/管理中心分管领导</w:t>
            </w:r>
          </w:p>
        </w:tc>
        <w:tc>
          <w:tcPr>
            <w:tcW w:w="2917" w:type="dxa"/>
            <w:vAlign w:val="center"/>
          </w:tcPr>
          <w:p>
            <w:pPr>
              <w:jc w:val="center"/>
              <w:rPr>
                <w:rFonts w:hint="default" w:ascii="宋体" w:hAnsi="宋体" w:eastAsia="宋体" w:cs="宋体"/>
                <w:color w:val="0000FF"/>
                <w:kern w:val="1"/>
                <w:sz w:val="21"/>
                <w:szCs w:val="21"/>
                <w:highlight w:val="none"/>
                <w:vertAlign w:val="baseline"/>
                <w:lang w:val="en-US" w:eastAsia="zh-CN"/>
              </w:rPr>
            </w:pPr>
            <w:r>
              <w:rPr>
                <w:rFonts w:hint="eastAsia" w:ascii="宋体" w:hAnsi="宋体" w:eastAsia="宋体" w:cs="宋体"/>
                <w:color w:val="0000FF"/>
                <w:kern w:val="1"/>
                <w:sz w:val="21"/>
                <w:szCs w:val="21"/>
                <w:highlight w:val="none"/>
                <w:vertAlign w:val="baseline"/>
                <w:lang w:val="en-US" w:eastAsia="zh-CN"/>
              </w:rPr>
              <w:t>25%</w:t>
            </w:r>
          </w:p>
        </w:tc>
        <w:tc>
          <w:tcPr>
            <w:tcW w:w="3129" w:type="dxa"/>
            <w:vAlign w:val="center"/>
          </w:tcPr>
          <w:p>
            <w:pPr>
              <w:jc w:val="center"/>
              <w:rPr>
                <w:rFonts w:hint="eastAsia" w:ascii="宋体" w:hAnsi="宋体" w:eastAsia="宋体" w:cs="宋体"/>
                <w:color w:val="0000FF"/>
                <w:kern w:val="1"/>
                <w:sz w:val="21"/>
                <w:szCs w:val="21"/>
                <w:highlight w:val="none"/>
                <w:vertAlign w:val="baseline"/>
              </w:rPr>
            </w:pPr>
            <w:r>
              <w:rPr>
                <w:rFonts w:hint="eastAsia" w:ascii="宋体" w:hAnsi="宋体" w:eastAsia="宋体" w:cs="宋体"/>
                <w:color w:val="0000FF"/>
                <w:kern w:val="1"/>
                <w:sz w:val="21"/>
                <w:szCs w:val="21"/>
                <w:highlight w:val="none"/>
                <w:vertAlign w:val="baseline"/>
                <w:lang w:val="en-US" w:eastAsia="zh-CN"/>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3585" w:type="dxa"/>
            <w:vAlign w:val="center"/>
          </w:tcPr>
          <w:p>
            <w:pPr>
              <w:keepNext w:val="0"/>
              <w:keepLines w:val="0"/>
              <w:widowControl/>
              <w:suppressLineNumbers w:val="0"/>
              <w:jc w:val="center"/>
              <w:rPr>
                <w:rFonts w:hint="eastAsia" w:ascii="宋体" w:hAnsi="宋体" w:eastAsia="宋体" w:cs="宋体"/>
                <w:color w:val="0000FF"/>
                <w:kern w:val="1"/>
                <w:sz w:val="21"/>
                <w:szCs w:val="21"/>
                <w:highlight w:val="none"/>
                <w:vertAlign w:val="baseline"/>
              </w:rPr>
            </w:pPr>
            <w:r>
              <w:rPr>
                <w:rFonts w:hint="eastAsia" w:ascii="宋体" w:hAnsi="宋体" w:eastAsia="宋体" w:cs="宋体"/>
                <w:color w:val="0000FF"/>
                <w:kern w:val="0"/>
                <w:sz w:val="21"/>
                <w:szCs w:val="21"/>
                <w:highlight w:val="none"/>
                <w:lang w:val="en-US" w:eastAsia="zh-CN" w:bidi="ar"/>
              </w:rPr>
              <w:t>运管部</w:t>
            </w:r>
          </w:p>
        </w:tc>
        <w:tc>
          <w:tcPr>
            <w:tcW w:w="2917" w:type="dxa"/>
            <w:vAlign w:val="center"/>
          </w:tcPr>
          <w:p>
            <w:pPr>
              <w:jc w:val="center"/>
              <w:rPr>
                <w:rFonts w:hint="eastAsia" w:ascii="宋体" w:hAnsi="宋体" w:eastAsia="宋体" w:cs="宋体"/>
                <w:color w:val="0000FF"/>
                <w:kern w:val="1"/>
                <w:sz w:val="21"/>
                <w:szCs w:val="21"/>
                <w:highlight w:val="none"/>
                <w:vertAlign w:val="baseline"/>
                <w:lang w:val="en-US" w:eastAsia="zh-CN"/>
              </w:rPr>
            </w:pPr>
            <w:r>
              <w:rPr>
                <w:rFonts w:hint="eastAsia" w:ascii="宋体" w:hAnsi="宋体" w:eastAsia="宋体" w:cs="宋体"/>
                <w:color w:val="0000FF"/>
                <w:kern w:val="1"/>
                <w:sz w:val="21"/>
                <w:szCs w:val="21"/>
                <w:highlight w:val="none"/>
                <w:vertAlign w:val="baseline"/>
                <w:lang w:val="en-US" w:eastAsia="zh-CN"/>
              </w:rPr>
              <w:t>5%</w:t>
            </w:r>
          </w:p>
        </w:tc>
        <w:tc>
          <w:tcPr>
            <w:tcW w:w="3129" w:type="dxa"/>
            <w:vAlign w:val="center"/>
          </w:tcPr>
          <w:p>
            <w:pPr>
              <w:jc w:val="center"/>
              <w:rPr>
                <w:rFonts w:hint="eastAsia" w:ascii="宋体" w:hAnsi="宋体" w:eastAsia="宋体" w:cs="宋体"/>
                <w:color w:val="0000FF"/>
                <w:kern w:val="1"/>
                <w:sz w:val="21"/>
                <w:szCs w:val="21"/>
                <w:highlight w:val="none"/>
                <w:vertAlign w:val="baseline"/>
              </w:rPr>
            </w:pPr>
            <w:r>
              <w:rPr>
                <w:rFonts w:hint="eastAsia" w:ascii="宋体" w:hAnsi="宋体" w:eastAsia="宋体" w:cs="宋体"/>
                <w:color w:val="0000FF"/>
                <w:kern w:val="1"/>
                <w:sz w:val="21"/>
                <w:szCs w:val="21"/>
                <w:highlight w:val="none"/>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3585" w:type="dxa"/>
            <w:vAlign w:val="center"/>
          </w:tcPr>
          <w:p>
            <w:pPr>
              <w:keepNext w:val="0"/>
              <w:keepLines w:val="0"/>
              <w:widowControl/>
              <w:suppressLineNumbers w:val="0"/>
              <w:jc w:val="center"/>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项目工程管理团队</w:t>
            </w:r>
          </w:p>
          <w:p>
            <w:pPr>
              <w:keepNext w:val="0"/>
              <w:keepLines w:val="0"/>
              <w:widowControl/>
              <w:suppressLineNumbers w:val="0"/>
              <w:jc w:val="center"/>
              <w:rPr>
                <w:rFonts w:hint="eastAsia" w:ascii="宋体" w:hAnsi="宋体" w:eastAsia="宋体" w:cs="宋体"/>
                <w:color w:val="0000FF"/>
                <w:kern w:val="1"/>
                <w:sz w:val="21"/>
                <w:szCs w:val="21"/>
                <w:highlight w:val="none"/>
                <w:vertAlign w:val="baseline"/>
              </w:rPr>
            </w:pPr>
            <w:r>
              <w:rPr>
                <w:rFonts w:hint="eastAsia" w:ascii="宋体" w:hAnsi="宋体" w:eastAsia="宋体" w:cs="宋体"/>
                <w:color w:val="0000FF"/>
                <w:kern w:val="0"/>
                <w:sz w:val="21"/>
                <w:szCs w:val="21"/>
                <w:highlight w:val="none"/>
                <w:lang w:val="en-US" w:eastAsia="zh-CN" w:bidi="ar"/>
              </w:rPr>
              <w:t>（含片区/管理中心（副）总经理）</w:t>
            </w:r>
          </w:p>
        </w:tc>
        <w:tc>
          <w:tcPr>
            <w:tcW w:w="2917" w:type="dxa"/>
            <w:vAlign w:val="center"/>
          </w:tcPr>
          <w:p>
            <w:pPr>
              <w:jc w:val="center"/>
              <w:rPr>
                <w:rFonts w:hint="eastAsia" w:ascii="宋体" w:hAnsi="宋体" w:eastAsia="宋体" w:cs="宋体"/>
                <w:color w:val="0000FF"/>
                <w:kern w:val="1"/>
                <w:sz w:val="21"/>
                <w:szCs w:val="21"/>
                <w:highlight w:val="none"/>
                <w:vertAlign w:val="baseline"/>
                <w:lang w:val="en-US" w:eastAsia="zh-CN"/>
              </w:rPr>
            </w:pPr>
            <w:r>
              <w:rPr>
                <w:rFonts w:hint="eastAsia" w:ascii="宋体" w:hAnsi="宋体" w:eastAsia="宋体" w:cs="宋体"/>
                <w:color w:val="0000FF"/>
                <w:kern w:val="1"/>
                <w:sz w:val="21"/>
                <w:szCs w:val="21"/>
                <w:highlight w:val="none"/>
                <w:vertAlign w:val="baseline"/>
                <w:lang w:val="en-US" w:eastAsia="zh-CN"/>
              </w:rPr>
              <w:t>60%</w:t>
            </w:r>
          </w:p>
          <w:p>
            <w:pPr>
              <w:jc w:val="both"/>
              <w:rPr>
                <w:rFonts w:hint="eastAsia" w:ascii="宋体" w:hAnsi="宋体" w:eastAsia="宋体" w:cs="宋体"/>
                <w:color w:val="0000FF"/>
                <w:kern w:val="1"/>
                <w:sz w:val="21"/>
                <w:szCs w:val="21"/>
                <w:highlight w:val="none"/>
                <w:vertAlign w:val="baseline"/>
                <w:lang w:val="en-US" w:eastAsia="zh-CN"/>
              </w:rPr>
            </w:pPr>
            <w:r>
              <w:rPr>
                <w:rFonts w:hint="eastAsia" w:ascii="宋体" w:hAnsi="宋体" w:eastAsia="宋体" w:cs="宋体"/>
                <w:color w:val="0000FF"/>
                <w:kern w:val="1"/>
                <w:sz w:val="21"/>
                <w:szCs w:val="21"/>
                <w:highlight w:val="none"/>
                <w:vertAlign w:val="baseline"/>
                <w:lang w:val="en-US" w:eastAsia="zh-CN"/>
              </w:rPr>
              <w:t>情况1：有片区（副）总经理，片区（副）总经理 10%，项目部管理人员50%</w:t>
            </w:r>
          </w:p>
          <w:p>
            <w:pPr>
              <w:jc w:val="both"/>
              <w:rPr>
                <w:rFonts w:hint="default" w:ascii="宋体" w:hAnsi="宋体" w:eastAsia="宋体" w:cs="宋体"/>
                <w:color w:val="0000FF"/>
                <w:kern w:val="1"/>
                <w:sz w:val="21"/>
                <w:szCs w:val="21"/>
                <w:highlight w:val="none"/>
                <w:vertAlign w:val="baseline"/>
                <w:lang w:val="en-US" w:eastAsia="zh-CN"/>
              </w:rPr>
            </w:pPr>
            <w:r>
              <w:rPr>
                <w:rFonts w:hint="eastAsia" w:ascii="宋体" w:hAnsi="宋体" w:eastAsia="宋体" w:cs="宋体"/>
                <w:color w:val="0000FF"/>
                <w:kern w:val="1"/>
                <w:sz w:val="21"/>
                <w:szCs w:val="21"/>
                <w:highlight w:val="none"/>
                <w:vertAlign w:val="baseline"/>
                <w:lang w:val="en-US" w:eastAsia="zh-CN"/>
              </w:rPr>
              <w:t>情况2：无片区（副）总经理，项目部管理人员60%</w:t>
            </w:r>
          </w:p>
        </w:tc>
        <w:tc>
          <w:tcPr>
            <w:tcW w:w="3129" w:type="dxa"/>
            <w:vAlign w:val="center"/>
          </w:tcPr>
          <w:p>
            <w:pPr>
              <w:jc w:val="center"/>
              <w:rPr>
                <w:rFonts w:hint="eastAsia" w:ascii="宋体" w:hAnsi="宋体" w:eastAsia="宋体" w:cs="宋体"/>
                <w:color w:val="0000FF"/>
                <w:kern w:val="1"/>
                <w:sz w:val="21"/>
                <w:szCs w:val="21"/>
                <w:highlight w:val="none"/>
                <w:vertAlign w:val="baseline"/>
                <w:lang w:val="en-US" w:eastAsia="zh-CN"/>
              </w:rPr>
            </w:pPr>
            <w:r>
              <w:rPr>
                <w:rFonts w:hint="eastAsia" w:ascii="宋体" w:hAnsi="宋体" w:eastAsia="宋体" w:cs="宋体"/>
                <w:color w:val="0000FF"/>
                <w:kern w:val="1"/>
                <w:sz w:val="21"/>
                <w:szCs w:val="21"/>
                <w:highlight w:val="none"/>
                <w:vertAlign w:val="baseline"/>
                <w:lang w:val="en-US" w:eastAsia="zh-CN"/>
              </w:rPr>
              <w:t>60%</w:t>
            </w:r>
          </w:p>
          <w:p>
            <w:pPr>
              <w:jc w:val="both"/>
              <w:rPr>
                <w:rFonts w:hint="eastAsia" w:ascii="宋体" w:hAnsi="宋体" w:eastAsia="宋体" w:cs="宋体"/>
                <w:color w:val="0000FF"/>
                <w:kern w:val="1"/>
                <w:sz w:val="21"/>
                <w:szCs w:val="21"/>
                <w:highlight w:val="none"/>
                <w:vertAlign w:val="baseline"/>
                <w:lang w:val="en-US" w:eastAsia="zh-CN"/>
              </w:rPr>
            </w:pPr>
            <w:r>
              <w:rPr>
                <w:rFonts w:hint="eastAsia" w:ascii="宋体" w:hAnsi="宋体" w:eastAsia="宋体" w:cs="宋体"/>
                <w:color w:val="0000FF"/>
                <w:kern w:val="1"/>
                <w:sz w:val="21"/>
                <w:szCs w:val="21"/>
                <w:highlight w:val="none"/>
                <w:vertAlign w:val="baseline"/>
                <w:lang w:val="en-US" w:eastAsia="zh-CN"/>
              </w:rPr>
              <w:t>情况1：有片区（副）总经理，片区（副）总经理10%，项目部管理人员50%</w:t>
            </w:r>
          </w:p>
          <w:p>
            <w:pPr>
              <w:jc w:val="both"/>
              <w:rPr>
                <w:rFonts w:hint="eastAsia" w:ascii="宋体" w:hAnsi="宋体" w:eastAsia="宋体" w:cs="宋体"/>
                <w:color w:val="0000FF"/>
                <w:kern w:val="1"/>
                <w:sz w:val="21"/>
                <w:szCs w:val="21"/>
                <w:highlight w:val="none"/>
                <w:vertAlign w:val="baseline"/>
              </w:rPr>
            </w:pPr>
            <w:r>
              <w:rPr>
                <w:rFonts w:hint="eastAsia" w:ascii="宋体" w:hAnsi="宋体" w:eastAsia="宋体" w:cs="宋体"/>
                <w:color w:val="0000FF"/>
                <w:kern w:val="1"/>
                <w:sz w:val="21"/>
                <w:szCs w:val="21"/>
                <w:highlight w:val="none"/>
                <w:vertAlign w:val="baseline"/>
                <w:lang w:val="en-US" w:eastAsia="zh-CN"/>
              </w:rPr>
              <w:t>情况2：无片区（副）总经理，项目部管理人员60%</w:t>
            </w:r>
          </w:p>
        </w:tc>
      </w:tr>
    </w:tbl>
    <w:p>
      <w:pPr>
        <w:keepNext w:val="0"/>
        <w:keepLines w:val="0"/>
        <w:pageBreakBefore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bCs/>
          <w:color w:val="0000FF"/>
          <w:kern w:val="0"/>
          <w:sz w:val="21"/>
          <w:szCs w:val="21"/>
          <w:highlight w:val="none"/>
          <w:lang w:val="en-US" w:eastAsia="zh-CN" w:bidi="ar"/>
        </w:rPr>
      </w:pPr>
    </w:p>
    <w:p>
      <w:pPr>
        <w:keepNext w:val="0"/>
        <w:keepLines w:val="0"/>
        <w:pageBreakBefore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b/>
          <w:bCs/>
          <w:color w:val="0000FF"/>
          <w:kern w:val="0"/>
          <w:sz w:val="21"/>
          <w:szCs w:val="21"/>
          <w:highlight w:val="none"/>
          <w:lang w:val="en-US" w:eastAsia="zh-CN" w:bidi="ar"/>
        </w:rPr>
        <w:t xml:space="preserve">第十二条 </w:t>
      </w:r>
      <w:r>
        <w:rPr>
          <w:rFonts w:hint="eastAsia" w:ascii="宋体" w:hAnsi="宋体" w:eastAsia="宋体" w:cs="宋体"/>
          <w:color w:val="0000FF"/>
          <w:kern w:val="0"/>
          <w:sz w:val="21"/>
          <w:szCs w:val="21"/>
          <w:highlight w:val="none"/>
          <w:lang w:val="en-US" w:eastAsia="zh-CN" w:bidi="ar"/>
        </w:rPr>
        <w:t>建设开发公司对在管项目标段的考核处罚，适用于建设开发公司主导的第三方评估、工程管理红线考核、工程管理规定动作考核等，将以被罚项目标段为单位按比例 分配至各考核对象（其中，项目工程管理团队成员奖罚分配由片区（副）总经理或项目经理 制定分配比例，提交运管部汇总），考核对象及处罚分配比例如下：</w:t>
      </w:r>
    </w:p>
    <w:tbl>
      <w:tblPr>
        <w:tblStyle w:val="6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98"/>
        <w:gridCol w:w="49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4998" w:type="dxa"/>
          </w:tcPr>
          <w:p>
            <w:pPr>
              <w:keepNext w:val="0"/>
              <w:keepLines w:val="0"/>
              <w:widowControl/>
              <w:suppressLineNumbers w:val="0"/>
              <w:jc w:val="center"/>
              <w:rPr>
                <w:rFonts w:hint="eastAsia" w:ascii="宋体" w:hAnsi="宋体" w:eastAsia="宋体" w:cs="宋体"/>
                <w:color w:val="0000FF"/>
                <w:kern w:val="0"/>
                <w:sz w:val="21"/>
                <w:szCs w:val="21"/>
                <w:highlight w:val="none"/>
                <w:vertAlign w:val="baseline"/>
                <w:lang w:val="en-US" w:eastAsia="zh-CN" w:bidi="ar"/>
              </w:rPr>
            </w:pPr>
            <w:r>
              <w:rPr>
                <w:rFonts w:hint="eastAsia" w:ascii="宋体" w:hAnsi="宋体" w:eastAsia="宋体" w:cs="宋体"/>
                <w:b/>
                <w:bCs/>
                <w:color w:val="0000FF"/>
                <w:kern w:val="0"/>
                <w:sz w:val="21"/>
                <w:szCs w:val="21"/>
                <w:highlight w:val="none"/>
                <w:lang w:val="en-US" w:eastAsia="zh-CN" w:bidi="ar"/>
              </w:rPr>
              <w:t>考核对象</w:t>
            </w:r>
          </w:p>
        </w:tc>
        <w:tc>
          <w:tcPr>
            <w:tcW w:w="4998" w:type="dxa"/>
          </w:tcPr>
          <w:p>
            <w:pPr>
              <w:keepNext w:val="0"/>
              <w:keepLines w:val="0"/>
              <w:widowControl/>
              <w:suppressLineNumbers w:val="0"/>
              <w:jc w:val="center"/>
              <w:rPr>
                <w:rFonts w:hint="eastAsia" w:ascii="宋体" w:hAnsi="宋体" w:eastAsia="宋体" w:cs="宋体"/>
                <w:color w:val="0000FF"/>
                <w:kern w:val="0"/>
                <w:sz w:val="21"/>
                <w:szCs w:val="21"/>
                <w:highlight w:val="none"/>
                <w:vertAlign w:val="baseline"/>
                <w:lang w:val="en-US" w:eastAsia="zh-CN" w:bidi="ar"/>
              </w:rPr>
            </w:pPr>
            <w:r>
              <w:rPr>
                <w:rFonts w:hint="eastAsia" w:ascii="宋体" w:hAnsi="宋体" w:eastAsia="宋体" w:cs="宋体"/>
                <w:b/>
                <w:bCs/>
                <w:color w:val="0000FF"/>
                <w:kern w:val="0"/>
                <w:sz w:val="21"/>
                <w:szCs w:val="21"/>
                <w:highlight w:val="none"/>
                <w:lang w:val="en-US" w:eastAsia="zh-CN" w:bidi="ar"/>
              </w:rPr>
              <w:t>处罚分配比例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98" w:type="dxa"/>
          </w:tcPr>
          <w:p>
            <w:pPr>
              <w:keepNext w:val="0"/>
              <w:keepLines w:val="0"/>
              <w:widowControl/>
              <w:suppressLineNumbers w:val="0"/>
              <w:jc w:val="center"/>
              <w:rPr>
                <w:rFonts w:hint="eastAsia" w:ascii="宋体" w:hAnsi="宋体" w:eastAsia="宋体" w:cs="宋体"/>
                <w:color w:val="0000FF"/>
                <w:kern w:val="0"/>
                <w:sz w:val="21"/>
                <w:szCs w:val="21"/>
                <w:highlight w:val="none"/>
                <w:vertAlign w:val="baseline"/>
                <w:lang w:val="en-US" w:eastAsia="zh-CN" w:bidi="ar"/>
              </w:rPr>
            </w:pPr>
            <w:r>
              <w:rPr>
                <w:rFonts w:hint="eastAsia" w:ascii="宋体" w:hAnsi="宋体" w:eastAsia="宋体" w:cs="宋体"/>
                <w:color w:val="0000FF"/>
                <w:kern w:val="0"/>
                <w:sz w:val="21"/>
                <w:szCs w:val="21"/>
                <w:highlight w:val="none"/>
                <w:lang w:val="en-US" w:eastAsia="zh-CN" w:bidi="ar"/>
              </w:rPr>
              <w:t>片区中层干部</w:t>
            </w:r>
          </w:p>
        </w:tc>
        <w:tc>
          <w:tcPr>
            <w:tcW w:w="4998" w:type="dxa"/>
          </w:tcPr>
          <w:p>
            <w:pPr>
              <w:keepNext w:val="0"/>
              <w:keepLines w:val="0"/>
              <w:widowControl/>
              <w:suppressLineNumbers w:val="0"/>
              <w:jc w:val="center"/>
              <w:rPr>
                <w:rFonts w:hint="eastAsia" w:ascii="宋体" w:hAnsi="宋体" w:eastAsia="宋体" w:cs="宋体"/>
                <w:color w:val="0000FF"/>
                <w:kern w:val="0"/>
                <w:sz w:val="21"/>
                <w:szCs w:val="21"/>
                <w:highlight w:val="none"/>
                <w:vertAlign w:val="baseline"/>
                <w:lang w:val="en-US" w:eastAsia="zh-CN" w:bidi="ar"/>
              </w:rPr>
            </w:pPr>
            <w:r>
              <w:rPr>
                <w:rFonts w:hint="eastAsia" w:ascii="宋体" w:hAnsi="宋体" w:eastAsia="宋体" w:cs="宋体"/>
                <w:color w:val="0000FF"/>
                <w:kern w:val="0"/>
                <w:sz w:val="21"/>
                <w:szCs w:val="21"/>
                <w:highlight w:val="none"/>
                <w:vertAlign w:val="baseli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98" w:type="dxa"/>
          </w:tcPr>
          <w:p>
            <w:pPr>
              <w:keepNext w:val="0"/>
              <w:keepLines w:val="0"/>
              <w:widowControl/>
              <w:suppressLineNumbers w:val="0"/>
              <w:jc w:val="center"/>
              <w:rPr>
                <w:rFonts w:hint="eastAsia" w:ascii="宋体" w:hAnsi="宋体" w:eastAsia="宋体" w:cs="宋体"/>
                <w:color w:val="0000FF"/>
                <w:kern w:val="0"/>
                <w:sz w:val="21"/>
                <w:szCs w:val="21"/>
                <w:highlight w:val="none"/>
                <w:vertAlign w:val="baseline"/>
                <w:lang w:val="en-US" w:eastAsia="zh-CN" w:bidi="ar"/>
              </w:rPr>
            </w:pPr>
            <w:r>
              <w:rPr>
                <w:rFonts w:hint="eastAsia" w:ascii="宋体" w:hAnsi="宋体" w:eastAsia="宋体" w:cs="宋体"/>
                <w:color w:val="0000FF"/>
                <w:kern w:val="0"/>
                <w:sz w:val="21"/>
                <w:szCs w:val="21"/>
                <w:highlight w:val="none"/>
                <w:vertAlign w:val="baseline"/>
                <w:lang w:val="en-US" w:eastAsia="zh-CN" w:bidi="ar"/>
              </w:rPr>
              <w:t>项目经理及项目管理人员</w:t>
            </w:r>
          </w:p>
        </w:tc>
        <w:tc>
          <w:tcPr>
            <w:tcW w:w="4998" w:type="dxa"/>
          </w:tcPr>
          <w:p>
            <w:pPr>
              <w:keepNext w:val="0"/>
              <w:keepLines w:val="0"/>
              <w:widowControl/>
              <w:suppressLineNumbers w:val="0"/>
              <w:jc w:val="center"/>
              <w:rPr>
                <w:rFonts w:hint="eastAsia" w:ascii="宋体" w:hAnsi="宋体" w:eastAsia="宋体" w:cs="宋体"/>
                <w:color w:val="0000FF"/>
                <w:kern w:val="0"/>
                <w:sz w:val="21"/>
                <w:szCs w:val="21"/>
                <w:highlight w:val="none"/>
                <w:vertAlign w:val="baseline"/>
                <w:lang w:val="en-US" w:eastAsia="zh-CN" w:bidi="ar"/>
              </w:rPr>
            </w:pPr>
            <w:r>
              <w:rPr>
                <w:rFonts w:hint="eastAsia" w:ascii="宋体" w:hAnsi="宋体" w:eastAsia="宋体" w:cs="宋体"/>
                <w:color w:val="0000FF"/>
                <w:kern w:val="0"/>
                <w:sz w:val="21"/>
                <w:szCs w:val="21"/>
                <w:highlight w:val="none"/>
                <w:vertAlign w:val="baseline"/>
                <w:lang w:val="en-US" w:eastAsia="zh-CN" w:bidi="ar"/>
              </w:rPr>
              <w:t>70%（若无片区中层，按 100%）</w:t>
            </w:r>
          </w:p>
        </w:tc>
      </w:tr>
    </w:tbl>
    <w:p>
      <w:pPr>
        <w:keepNext w:val="0"/>
        <w:keepLines w:val="0"/>
        <w:widowControl/>
        <w:suppressLineNumbers w:val="0"/>
        <w:jc w:val="left"/>
        <w:rPr>
          <w:rFonts w:hint="eastAsia" w:ascii="宋体" w:hAnsi="宋体" w:eastAsia="宋体" w:cs="宋体"/>
          <w:color w:val="0000FF"/>
          <w:kern w:val="0"/>
          <w:sz w:val="21"/>
          <w:szCs w:val="21"/>
          <w:highlight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第四章 工程过程评估季度考核</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2"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 xml:space="preserve">第十三条 </w:t>
      </w:r>
      <w:r>
        <w:rPr>
          <w:rFonts w:hint="eastAsia" w:ascii="宋体" w:hAnsi="宋体" w:eastAsia="宋体" w:cs="宋体"/>
          <w:color w:val="0000FF"/>
          <w:kern w:val="0"/>
          <w:sz w:val="21"/>
          <w:szCs w:val="21"/>
          <w:highlight w:val="none"/>
          <w:lang w:val="en-US" w:eastAsia="zh-CN" w:bidi="ar"/>
        </w:rPr>
        <w:t xml:space="preserve">地产集团每季度组织第三方评估单位对建设开发公司符合参评条件的项目开展工程过程评估，依据过程评估综合得分对住宅项目进行考核；将建设开发公司各住宅项目过程评估季度综合得分的平均值计为公司季度综合得分，对公司进行考核。地产集团对建设开发公司奖罚规则，详见《厦门国贸地产集团有限公司工程管理考核办法》。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2"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 xml:space="preserve">第十四条 </w:t>
      </w:r>
      <w:r>
        <w:rPr>
          <w:rFonts w:hint="eastAsia" w:ascii="宋体" w:hAnsi="宋体" w:eastAsia="宋体" w:cs="宋体"/>
          <w:color w:val="0000FF"/>
          <w:kern w:val="0"/>
          <w:sz w:val="21"/>
          <w:szCs w:val="21"/>
          <w:highlight w:val="none"/>
          <w:lang w:val="en-US" w:eastAsia="zh-CN" w:bidi="ar"/>
        </w:rPr>
        <w:t xml:space="preserve">当季度建设开发公司参评住宅类项目标段有处于 C 档的，处罚该项目标段施工单位5万元，处罚监理单位1万元。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2" w:firstLineChars="200"/>
        <w:jc w:val="left"/>
        <w:textAlignment w:val="auto"/>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b/>
          <w:bCs/>
          <w:color w:val="0000FF"/>
          <w:kern w:val="0"/>
          <w:sz w:val="21"/>
          <w:szCs w:val="21"/>
          <w:highlight w:val="none"/>
          <w:lang w:val="en-US" w:eastAsia="zh-CN" w:bidi="ar"/>
        </w:rPr>
        <w:t xml:space="preserve">第十五条 </w:t>
      </w:r>
      <w:r>
        <w:rPr>
          <w:rFonts w:hint="eastAsia" w:ascii="宋体" w:hAnsi="宋体" w:eastAsia="宋体" w:cs="宋体"/>
          <w:color w:val="0000FF"/>
          <w:kern w:val="0"/>
          <w:sz w:val="21"/>
          <w:szCs w:val="21"/>
          <w:highlight w:val="none"/>
          <w:lang w:val="en-US" w:eastAsia="zh-CN" w:bidi="ar"/>
        </w:rPr>
        <w:t>建设开发公司根据每季度参评住宅类项目标段综合得分进行内部排名，并按以下进行考核：</w:t>
      </w:r>
    </w:p>
    <w:tbl>
      <w:tblPr>
        <w:tblStyle w:val="61"/>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3"/>
        <w:gridCol w:w="2499"/>
        <w:gridCol w:w="2499"/>
        <w:gridCol w:w="23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2323" w:type="dxa"/>
            <w:vAlign w:val="center"/>
          </w:tcPr>
          <w:p>
            <w:pPr>
              <w:keepNext w:val="0"/>
              <w:keepLines w:val="0"/>
              <w:widowControl/>
              <w:suppressLineNumbers w:val="0"/>
              <w:jc w:val="center"/>
              <w:rPr>
                <w:rFonts w:hint="eastAsia" w:ascii="宋体" w:hAnsi="宋体" w:eastAsia="宋体" w:cs="宋体"/>
                <w:color w:val="0000FF"/>
                <w:kern w:val="0"/>
                <w:sz w:val="21"/>
                <w:szCs w:val="21"/>
                <w:highlight w:val="none"/>
                <w:vertAlign w:val="baseline"/>
                <w:lang w:val="en-US" w:eastAsia="zh-CN" w:bidi="ar"/>
              </w:rPr>
            </w:pPr>
            <w:r>
              <w:rPr>
                <w:rFonts w:hint="eastAsia" w:ascii="宋体" w:hAnsi="宋体" w:eastAsia="宋体" w:cs="宋体"/>
                <w:color w:val="0000FF"/>
                <w:kern w:val="0"/>
                <w:sz w:val="20"/>
                <w:szCs w:val="20"/>
                <w:highlight w:val="none"/>
                <w:lang w:val="en-US" w:eastAsia="zh-CN" w:bidi="ar"/>
              </w:rPr>
              <w:t>奖罚条件</w:t>
            </w:r>
          </w:p>
        </w:tc>
        <w:tc>
          <w:tcPr>
            <w:tcW w:w="7322" w:type="dxa"/>
            <w:gridSpan w:val="3"/>
            <w:vAlign w:val="center"/>
          </w:tcPr>
          <w:p>
            <w:pPr>
              <w:keepNext w:val="0"/>
              <w:keepLines w:val="0"/>
              <w:widowControl/>
              <w:suppressLineNumbers w:val="0"/>
              <w:jc w:val="center"/>
              <w:rPr>
                <w:rFonts w:hint="eastAsia" w:ascii="宋体" w:hAnsi="宋体" w:eastAsia="宋体" w:cs="宋体"/>
                <w:color w:val="0000FF"/>
                <w:kern w:val="0"/>
                <w:sz w:val="21"/>
                <w:szCs w:val="21"/>
                <w:highlight w:val="none"/>
                <w:vertAlign w:val="baseline"/>
                <w:lang w:val="en-US" w:eastAsia="zh-CN" w:bidi="ar"/>
              </w:rPr>
            </w:pPr>
            <w:r>
              <w:rPr>
                <w:rFonts w:hint="eastAsia" w:ascii="宋体" w:hAnsi="宋体" w:eastAsia="宋体" w:cs="宋体"/>
                <w:color w:val="0000FF"/>
                <w:kern w:val="0"/>
                <w:sz w:val="20"/>
                <w:szCs w:val="20"/>
                <w:highlight w:val="none"/>
                <w:lang w:val="en-US" w:eastAsia="zh-CN" w:bidi="ar"/>
              </w:rPr>
              <w:t>每季度排名前15%（四舍五入，不足1个按1个计，最多3个），进行奖励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2323" w:type="dxa"/>
            <w:vAlign w:val="center"/>
          </w:tcPr>
          <w:p>
            <w:pPr>
              <w:keepNext w:val="0"/>
              <w:keepLines w:val="0"/>
              <w:widowControl/>
              <w:suppressLineNumbers w:val="0"/>
              <w:jc w:val="center"/>
              <w:rPr>
                <w:rFonts w:hint="eastAsia" w:ascii="宋体" w:hAnsi="宋体" w:eastAsia="宋体" w:cs="宋体"/>
                <w:color w:val="0000FF"/>
                <w:kern w:val="0"/>
                <w:sz w:val="21"/>
                <w:szCs w:val="21"/>
                <w:highlight w:val="none"/>
                <w:vertAlign w:val="baseline"/>
                <w:lang w:val="en-US" w:eastAsia="zh-CN" w:bidi="ar"/>
              </w:rPr>
            </w:pPr>
            <w:r>
              <w:rPr>
                <w:rFonts w:hint="eastAsia" w:ascii="宋体" w:hAnsi="宋体" w:eastAsia="宋体" w:cs="宋体"/>
                <w:color w:val="0000FF"/>
                <w:kern w:val="0"/>
                <w:sz w:val="21"/>
                <w:szCs w:val="21"/>
                <w:highlight w:val="none"/>
                <w:vertAlign w:val="baseline"/>
                <w:lang w:val="en-US" w:eastAsia="zh-CN" w:bidi="ar"/>
              </w:rPr>
              <w:t>排名</w:t>
            </w:r>
          </w:p>
        </w:tc>
        <w:tc>
          <w:tcPr>
            <w:tcW w:w="2499" w:type="dxa"/>
            <w:vAlign w:val="center"/>
          </w:tcPr>
          <w:p>
            <w:pPr>
              <w:keepNext w:val="0"/>
              <w:keepLines w:val="0"/>
              <w:widowControl/>
              <w:suppressLineNumbers w:val="0"/>
              <w:jc w:val="center"/>
              <w:rPr>
                <w:rFonts w:hint="eastAsia" w:ascii="宋体" w:hAnsi="宋体" w:eastAsia="宋体" w:cs="宋体"/>
                <w:color w:val="0000FF"/>
                <w:kern w:val="0"/>
                <w:sz w:val="21"/>
                <w:szCs w:val="21"/>
                <w:highlight w:val="none"/>
                <w:vertAlign w:val="baseline"/>
                <w:lang w:val="en-US" w:eastAsia="zh-CN" w:bidi="ar"/>
              </w:rPr>
            </w:pPr>
            <w:r>
              <w:rPr>
                <w:rFonts w:hint="eastAsia" w:ascii="宋体" w:hAnsi="宋体" w:eastAsia="宋体" w:cs="宋体"/>
                <w:color w:val="0000FF"/>
                <w:kern w:val="0"/>
                <w:sz w:val="21"/>
                <w:szCs w:val="21"/>
                <w:highlight w:val="none"/>
                <w:vertAlign w:val="baseline"/>
                <w:lang w:val="en-US" w:eastAsia="zh-CN" w:bidi="ar"/>
              </w:rPr>
              <w:t>第一</w:t>
            </w:r>
          </w:p>
        </w:tc>
        <w:tc>
          <w:tcPr>
            <w:tcW w:w="2499" w:type="dxa"/>
            <w:vAlign w:val="center"/>
          </w:tcPr>
          <w:p>
            <w:pPr>
              <w:keepNext w:val="0"/>
              <w:keepLines w:val="0"/>
              <w:widowControl/>
              <w:suppressLineNumbers w:val="0"/>
              <w:jc w:val="center"/>
              <w:rPr>
                <w:rFonts w:hint="eastAsia" w:ascii="宋体" w:hAnsi="宋体" w:eastAsia="宋体" w:cs="宋体"/>
                <w:color w:val="0000FF"/>
                <w:kern w:val="0"/>
                <w:sz w:val="21"/>
                <w:szCs w:val="21"/>
                <w:highlight w:val="none"/>
                <w:vertAlign w:val="baseline"/>
                <w:lang w:val="en-US" w:eastAsia="zh-CN" w:bidi="ar"/>
              </w:rPr>
            </w:pPr>
            <w:r>
              <w:rPr>
                <w:rFonts w:hint="eastAsia" w:ascii="宋体" w:hAnsi="宋体" w:eastAsia="宋体" w:cs="宋体"/>
                <w:color w:val="0000FF"/>
                <w:kern w:val="0"/>
                <w:sz w:val="21"/>
                <w:szCs w:val="21"/>
                <w:highlight w:val="none"/>
                <w:vertAlign w:val="baseline"/>
                <w:lang w:val="en-US" w:eastAsia="zh-CN" w:bidi="ar"/>
              </w:rPr>
              <w:t>第二</w:t>
            </w:r>
          </w:p>
        </w:tc>
        <w:tc>
          <w:tcPr>
            <w:tcW w:w="2324" w:type="dxa"/>
            <w:vAlign w:val="center"/>
          </w:tcPr>
          <w:p>
            <w:pPr>
              <w:keepNext w:val="0"/>
              <w:keepLines w:val="0"/>
              <w:widowControl/>
              <w:suppressLineNumbers w:val="0"/>
              <w:jc w:val="center"/>
              <w:rPr>
                <w:rFonts w:hint="eastAsia" w:ascii="宋体" w:hAnsi="宋体" w:eastAsia="宋体" w:cs="宋体"/>
                <w:color w:val="0000FF"/>
                <w:kern w:val="0"/>
                <w:sz w:val="21"/>
                <w:szCs w:val="21"/>
                <w:highlight w:val="none"/>
                <w:vertAlign w:val="baseline"/>
                <w:lang w:val="en-US" w:eastAsia="zh-CN" w:bidi="ar"/>
              </w:rPr>
            </w:pPr>
            <w:r>
              <w:rPr>
                <w:rFonts w:hint="eastAsia" w:ascii="宋体" w:hAnsi="宋体" w:eastAsia="宋体" w:cs="宋体"/>
                <w:color w:val="0000FF"/>
                <w:kern w:val="0"/>
                <w:sz w:val="21"/>
                <w:szCs w:val="21"/>
                <w:highlight w:val="none"/>
                <w:vertAlign w:val="baseline"/>
                <w:lang w:val="en-US" w:eastAsia="zh-CN" w:bidi="ar"/>
              </w:rPr>
              <w:t>第三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2323" w:type="dxa"/>
            <w:vAlign w:val="center"/>
          </w:tcPr>
          <w:p>
            <w:pPr>
              <w:keepNext w:val="0"/>
              <w:keepLines w:val="0"/>
              <w:widowControl/>
              <w:suppressLineNumbers w:val="0"/>
              <w:jc w:val="center"/>
              <w:rPr>
                <w:rFonts w:hint="eastAsia" w:ascii="宋体" w:hAnsi="宋体" w:eastAsia="宋体" w:cs="宋体"/>
                <w:color w:val="0000FF"/>
                <w:kern w:val="0"/>
                <w:sz w:val="21"/>
                <w:szCs w:val="21"/>
                <w:highlight w:val="none"/>
                <w:vertAlign w:val="baseline"/>
                <w:lang w:val="en-US" w:eastAsia="zh-CN" w:bidi="ar"/>
              </w:rPr>
            </w:pPr>
            <w:r>
              <w:rPr>
                <w:rFonts w:hint="eastAsia" w:ascii="宋体" w:hAnsi="宋体" w:eastAsia="宋体" w:cs="宋体"/>
                <w:color w:val="0000FF"/>
                <w:kern w:val="0"/>
                <w:sz w:val="21"/>
                <w:szCs w:val="21"/>
                <w:highlight w:val="none"/>
                <w:vertAlign w:val="baseline"/>
                <w:lang w:val="en-US" w:eastAsia="zh-CN" w:bidi="ar"/>
              </w:rPr>
              <w:t>施工单位</w:t>
            </w:r>
          </w:p>
        </w:tc>
        <w:tc>
          <w:tcPr>
            <w:tcW w:w="2499" w:type="dxa"/>
            <w:vAlign w:val="center"/>
          </w:tcPr>
          <w:p>
            <w:pPr>
              <w:keepNext w:val="0"/>
              <w:keepLines w:val="0"/>
              <w:widowControl/>
              <w:suppressLineNumbers w:val="0"/>
              <w:jc w:val="center"/>
              <w:rPr>
                <w:rFonts w:hint="eastAsia" w:ascii="宋体" w:hAnsi="宋体" w:eastAsia="宋体" w:cs="宋体"/>
                <w:color w:val="0000FF"/>
                <w:kern w:val="0"/>
                <w:sz w:val="21"/>
                <w:szCs w:val="21"/>
                <w:highlight w:val="none"/>
                <w:vertAlign w:val="baseline"/>
                <w:lang w:val="en-US" w:eastAsia="zh-CN" w:bidi="ar"/>
              </w:rPr>
            </w:pPr>
            <w:r>
              <w:rPr>
                <w:rFonts w:hint="eastAsia" w:ascii="宋体" w:hAnsi="宋体" w:eastAsia="宋体" w:cs="宋体"/>
                <w:color w:val="0000FF"/>
                <w:kern w:val="0"/>
                <w:sz w:val="20"/>
                <w:szCs w:val="20"/>
                <w:highlight w:val="none"/>
                <w:lang w:val="en-US" w:eastAsia="zh-CN" w:bidi="ar"/>
              </w:rPr>
              <w:t>奖励50000元</w:t>
            </w:r>
          </w:p>
        </w:tc>
        <w:tc>
          <w:tcPr>
            <w:tcW w:w="2499" w:type="dxa"/>
            <w:vAlign w:val="center"/>
          </w:tcPr>
          <w:p>
            <w:pPr>
              <w:keepNext w:val="0"/>
              <w:keepLines w:val="0"/>
              <w:widowControl/>
              <w:suppressLineNumbers w:val="0"/>
              <w:jc w:val="center"/>
              <w:rPr>
                <w:rFonts w:hint="eastAsia" w:ascii="宋体" w:hAnsi="宋体" w:eastAsia="宋体" w:cs="宋体"/>
                <w:color w:val="0000FF"/>
                <w:kern w:val="0"/>
                <w:sz w:val="21"/>
                <w:szCs w:val="21"/>
                <w:highlight w:val="none"/>
                <w:vertAlign w:val="baseline"/>
                <w:lang w:val="en-US" w:eastAsia="zh-CN" w:bidi="ar"/>
              </w:rPr>
            </w:pPr>
            <w:r>
              <w:rPr>
                <w:rFonts w:hint="eastAsia" w:ascii="宋体" w:hAnsi="宋体" w:eastAsia="宋体" w:cs="宋体"/>
                <w:color w:val="0000FF"/>
                <w:kern w:val="0"/>
                <w:sz w:val="20"/>
                <w:szCs w:val="20"/>
                <w:highlight w:val="none"/>
                <w:lang w:val="en-US" w:eastAsia="zh-CN" w:bidi="ar"/>
              </w:rPr>
              <w:t>奖励30000元</w:t>
            </w:r>
          </w:p>
        </w:tc>
        <w:tc>
          <w:tcPr>
            <w:tcW w:w="2324" w:type="dxa"/>
            <w:vAlign w:val="center"/>
          </w:tcPr>
          <w:p>
            <w:pPr>
              <w:keepNext w:val="0"/>
              <w:keepLines w:val="0"/>
              <w:widowControl/>
              <w:suppressLineNumbers w:val="0"/>
              <w:jc w:val="center"/>
              <w:rPr>
                <w:rFonts w:hint="eastAsia" w:ascii="宋体" w:hAnsi="宋体" w:eastAsia="宋体" w:cs="宋体"/>
                <w:color w:val="0000FF"/>
                <w:kern w:val="0"/>
                <w:sz w:val="21"/>
                <w:szCs w:val="21"/>
                <w:highlight w:val="none"/>
                <w:vertAlign w:val="baseline"/>
                <w:lang w:val="en-US" w:eastAsia="zh-CN" w:bidi="ar"/>
              </w:rPr>
            </w:pPr>
            <w:r>
              <w:rPr>
                <w:rFonts w:hint="eastAsia" w:ascii="宋体" w:hAnsi="宋体" w:eastAsia="宋体" w:cs="宋体"/>
                <w:color w:val="0000FF"/>
                <w:kern w:val="0"/>
                <w:sz w:val="20"/>
                <w:szCs w:val="20"/>
                <w:highlight w:val="none"/>
                <w:lang w:val="en-US" w:eastAsia="zh-CN" w:bidi="ar"/>
              </w:rPr>
              <w:t>奖励10000元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2323" w:type="dxa"/>
            <w:vAlign w:val="center"/>
          </w:tcPr>
          <w:p>
            <w:pPr>
              <w:keepNext w:val="0"/>
              <w:keepLines w:val="0"/>
              <w:widowControl/>
              <w:suppressLineNumbers w:val="0"/>
              <w:jc w:val="center"/>
              <w:rPr>
                <w:rFonts w:hint="eastAsia" w:ascii="宋体" w:hAnsi="宋体" w:eastAsia="宋体" w:cs="宋体"/>
                <w:color w:val="0000FF"/>
                <w:kern w:val="0"/>
                <w:sz w:val="21"/>
                <w:szCs w:val="21"/>
                <w:highlight w:val="none"/>
                <w:vertAlign w:val="baseline"/>
                <w:lang w:val="en-US" w:eastAsia="zh-CN" w:bidi="ar"/>
              </w:rPr>
            </w:pPr>
            <w:r>
              <w:rPr>
                <w:rFonts w:hint="eastAsia" w:ascii="宋体" w:hAnsi="宋体" w:eastAsia="宋体" w:cs="宋体"/>
                <w:color w:val="0000FF"/>
                <w:kern w:val="0"/>
                <w:sz w:val="21"/>
                <w:szCs w:val="21"/>
                <w:highlight w:val="none"/>
                <w:vertAlign w:val="baseline"/>
                <w:lang w:val="en-US" w:eastAsia="zh-CN" w:bidi="ar"/>
              </w:rPr>
              <w:t>监理单位</w:t>
            </w:r>
          </w:p>
        </w:tc>
        <w:tc>
          <w:tcPr>
            <w:tcW w:w="2499" w:type="dxa"/>
            <w:vAlign w:val="center"/>
          </w:tcPr>
          <w:p>
            <w:pPr>
              <w:keepNext w:val="0"/>
              <w:keepLines w:val="0"/>
              <w:widowControl/>
              <w:suppressLineNumbers w:val="0"/>
              <w:jc w:val="center"/>
              <w:rPr>
                <w:rFonts w:hint="eastAsia" w:ascii="宋体" w:hAnsi="宋体" w:eastAsia="宋体" w:cs="宋体"/>
                <w:color w:val="0000FF"/>
                <w:kern w:val="0"/>
                <w:sz w:val="21"/>
                <w:szCs w:val="21"/>
                <w:highlight w:val="none"/>
                <w:vertAlign w:val="baseline"/>
                <w:lang w:val="en-US" w:eastAsia="zh-CN" w:bidi="ar"/>
              </w:rPr>
            </w:pPr>
            <w:r>
              <w:rPr>
                <w:rFonts w:hint="eastAsia" w:ascii="宋体" w:hAnsi="宋体" w:eastAsia="宋体" w:cs="宋体"/>
                <w:color w:val="0000FF"/>
                <w:kern w:val="0"/>
                <w:sz w:val="20"/>
                <w:szCs w:val="20"/>
                <w:highlight w:val="none"/>
                <w:lang w:val="en-US" w:eastAsia="zh-CN" w:bidi="ar"/>
              </w:rPr>
              <w:t>奖励10000元</w:t>
            </w:r>
          </w:p>
        </w:tc>
        <w:tc>
          <w:tcPr>
            <w:tcW w:w="2499" w:type="dxa"/>
            <w:vAlign w:val="center"/>
          </w:tcPr>
          <w:p>
            <w:pPr>
              <w:keepNext w:val="0"/>
              <w:keepLines w:val="0"/>
              <w:widowControl/>
              <w:suppressLineNumbers w:val="0"/>
              <w:jc w:val="center"/>
              <w:rPr>
                <w:rFonts w:hint="eastAsia" w:ascii="宋体" w:hAnsi="宋体" w:eastAsia="宋体" w:cs="宋体"/>
                <w:color w:val="0000FF"/>
                <w:kern w:val="0"/>
                <w:sz w:val="21"/>
                <w:szCs w:val="21"/>
                <w:highlight w:val="none"/>
                <w:vertAlign w:val="baseline"/>
                <w:lang w:val="en-US" w:eastAsia="zh-CN" w:bidi="ar"/>
              </w:rPr>
            </w:pPr>
            <w:r>
              <w:rPr>
                <w:rFonts w:hint="eastAsia" w:ascii="宋体" w:hAnsi="宋体" w:eastAsia="宋体" w:cs="宋体"/>
                <w:color w:val="0000FF"/>
                <w:kern w:val="0"/>
                <w:sz w:val="20"/>
                <w:szCs w:val="20"/>
                <w:highlight w:val="none"/>
                <w:lang w:val="en-US" w:eastAsia="zh-CN" w:bidi="ar"/>
              </w:rPr>
              <w:t>奖励5000元</w:t>
            </w:r>
          </w:p>
        </w:tc>
        <w:tc>
          <w:tcPr>
            <w:tcW w:w="2324" w:type="dxa"/>
            <w:vAlign w:val="center"/>
          </w:tcPr>
          <w:p>
            <w:pPr>
              <w:keepNext w:val="0"/>
              <w:keepLines w:val="0"/>
              <w:widowControl/>
              <w:suppressLineNumbers w:val="0"/>
              <w:jc w:val="center"/>
              <w:rPr>
                <w:rFonts w:hint="eastAsia" w:ascii="宋体" w:hAnsi="宋体" w:eastAsia="宋体" w:cs="宋体"/>
                <w:color w:val="0000FF"/>
                <w:kern w:val="0"/>
                <w:sz w:val="21"/>
                <w:szCs w:val="21"/>
                <w:highlight w:val="none"/>
                <w:vertAlign w:val="baseline"/>
                <w:lang w:val="en-US" w:eastAsia="zh-CN" w:bidi="ar"/>
              </w:rPr>
            </w:pPr>
            <w:r>
              <w:rPr>
                <w:rFonts w:hint="eastAsia" w:ascii="宋体" w:hAnsi="宋体" w:eastAsia="宋体" w:cs="宋体"/>
                <w:color w:val="0000FF"/>
                <w:kern w:val="0"/>
                <w:sz w:val="20"/>
                <w:szCs w:val="20"/>
                <w:highlight w:val="none"/>
                <w:lang w:val="en-US" w:eastAsia="zh-CN" w:bidi="ar"/>
              </w:rPr>
              <w:t>奖励3000元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2323" w:type="dxa"/>
            <w:vAlign w:val="center"/>
          </w:tcPr>
          <w:p>
            <w:pPr>
              <w:keepNext w:val="0"/>
              <w:keepLines w:val="0"/>
              <w:widowControl/>
              <w:suppressLineNumbers w:val="0"/>
              <w:jc w:val="center"/>
              <w:rPr>
                <w:rFonts w:hint="eastAsia" w:ascii="宋体" w:hAnsi="宋体" w:eastAsia="宋体" w:cs="宋体"/>
                <w:color w:val="0000FF"/>
                <w:kern w:val="0"/>
                <w:sz w:val="21"/>
                <w:szCs w:val="21"/>
                <w:highlight w:val="none"/>
                <w:vertAlign w:val="baseline"/>
                <w:lang w:val="en-US" w:eastAsia="zh-CN" w:bidi="ar"/>
              </w:rPr>
            </w:pPr>
            <w:r>
              <w:rPr>
                <w:rFonts w:hint="eastAsia" w:ascii="宋体" w:hAnsi="宋体" w:eastAsia="宋体" w:cs="宋体"/>
                <w:color w:val="0000FF"/>
                <w:kern w:val="0"/>
                <w:sz w:val="21"/>
                <w:szCs w:val="21"/>
                <w:highlight w:val="none"/>
                <w:vertAlign w:val="baseline"/>
                <w:lang w:val="en-US" w:eastAsia="zh-CN" w:bidi="ar"/>
              </w:rPr>
              <w:t>奖罚条件</w:t>
            </w:r>
          </w:p>
        </w:tc>
        <w:tc>
          <w:tcPr>
            <w:tcW w:w="7322" w:type="dxa"/>
            <w:gridSpan w:val="3"/>
            <w:vAlign w:val="center"/>
          </w:tcPr>
          <w:p>
            <w:pPr>
              <w:keepNext w:val="0"/>
              <w:keepLines w:val="0"/>
              <w:widowControl/>
              <w:suppressLineNumbers w:val="0"/>
              <w:jc w:val="center"/>
              <w:rPr>
                <w:rFonts w:hint="eastAsia" w:ascii="宋体" w:hAnsi="宋体" w:eastAsia="宋体" w:cs="宋体"/>
                <w:color w:val="0000FF"/>
                <w:kern w:val="0"/>
                <w:sz w:val="21"/>
                <w:szCs w:val="21"/>
                <w:highlight w:val="none"/>
                <w:vertAlign w:val="baseline"/>
                <w:lang w:val="en-US" w:eastAsia="zh-CN" w:bidi="ar"/>
              </w:rPr>
            </w:pPr>
            <w:r>
              <w:rPr>
                <w:rFonts w:hint="eastAsia" w:ascii="宋体" w:hAnsi="宋体" w:eastAsia="宋体" w:cs="宋体"/>
                <w:color w:val="0000FF"/>
                <w:kern w:val="0"/>
                <w:sz w:val="20"/>
                <w:szCs w:val="20"/>
                <w:highlight w:val="none"/>
                <w:lang w:val="en-US" w:eastAsia="zh-CN" w:bidi="ar"/>
              </w:rPr>
              <w:t>每季度排名后15%（四舍五入，不足1个按1个计，最3个），进行处罚，处于C档的项目按本细则第十四条执行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2323" w:type="dxa"/>
            <w:vAlign w:val="center"/>
          </w:tcPr>
          <w:p>
            <w:pPr>
              <w:keepNext w:val="0"/>
              <w:keepLines w:val="0"/>
              <w:widowControl/>
              <w:suppressLineNumbers w:val="0"/>
              <w:jc w:val="center"/>
              <w:rPr>
                <w:rFonts w:hint="eastAsia" w:ascii="宋体" w:hAnsi="宋体" w:eastAsia="宋体" w:cs="宋体"/>
                <w:color w:val="0000FF"/>
                <w:kern w:val="0"/>
                <w:sz w:val="21"/>
                <w:szCs w:val="21"/>
                <w:highlight w:val="none"/>
                <w:vertAlign w:val="baseline"/>
                <w:lang w:val="en-US" w:eastAsia="zh-CN" w:bidi="ar"/>
              </w:rPr>
            </w:pPr>
            <w:r>
              <w:rPr>
                <w:rFonts w:hint="eastAsia" w:ascii="宋体" w:hAnsi="宋体" w:eastAsia="宋体" w:cs="宋体"/>
                <w:color w:val="0000FF"/>
                <w:kern w:val="0"/>
                <w:sz w:val="21"/>
                <w:szCs w:val="21"/>
                <w:highlight w:val="none"/>
                <w:vertAlign w:val="baseline"/>
                <w:lang w:val="en-US" w:eastAsia="zh-CN" w:bidi="ar"/>
              </w:rPr>
              <w:t>排名</w:t>
            </w:r>
          </w:p>
        </w:tc>
        <w:tc>
          <w:tcPr>
            <w:tcW w:w="2499" w:type="dxa"/>
            <w:vAlign w:val="center"/>
          </w:tcPr>
          <w:p>
            <w:pPr>
              <w:keepNext w:val="0"/>
              <w:keepLines w:val="0"/>
              <w:widowControl/>
              <w:suppressLineNumbers w:val="0"/>
              <w:jc w:val="center"/>
              <w:rPr>
                <w:rFonts w:hint="eastAsia" w:ascii="宋体" w:hAnsi="宋体" w:eastAsia="宋体" w:cs="宋体"/>
                <w:color w:val="0000FF"/>
                <w:kern w:val="0"/>
                <w:sz w:val="21"/>
                <w:szCs w:val="21"/>
                <w:highlight w:val="none"/>
                <w:vertAlign w:val="baseline"/>
                <w:lang w:val="en-US" w:eastAsia="zh-CN" w:bidi="ar"/>
              </w:rPr>
            </w:pPr>
            <w:r>
              <w:rPr>
                <w:rFonts w:hint="eastAsia" w:ascii="宋体" w:hAnsi="宋体" w:eastAsia="宋体" w:cs="宋体"/>
                <w:color w:val="0000FF"/>
                <w:kern w:val="0"/>
                <w:sz w:val="20"/>
                <w:szCs w:val="20"/>
                <w:highlight w:val="none"/>
                <w:lang w:val="en-US" w:eastAsia="zh-CN" w:bidi="ar"/>
              </w:rPr>
              <w:t>倒数第一</w:t>
            </w:r>
          </w:p>
        </w:tc>
        <w:tc>
          <w:tcPr>
            <w:tcW w:w="2499" w:type="dxa"/>
            <w:vAlign w:val="center"/>
          </w:tcPr>
          <w:p>
            <w:pPr>
              <w:keepNext w:val="0"/>
              <w:keepLines w:val="0"/>
              <w:widowControl/>
              <w:suppressLineNumbers w:val="0"/>
              <w:jc w:val="center"/>
              <w:rPr>
                <w:rFonts w:hint="eastAsia" w:ascii="宋体" w:hAnsi="宋体" w:eastAsia="宋体" w:cs="宋体"/>
                <w:color w:val="0000FF"/>
                <w:kern w:val="0"/>
                <w:sz w:val="21"/>
                <w:szCs w:val="21"/>
                <w:highlight w:val="none"/>
                <w:vertAlign w:val="baseline"/>
                <w:lang w:val="en-US" w:eastAsia="zh-CN" w:bidi="ar"/>
              </w:rPr>
            </w:pPr>
            <w:r>
              <w:rPr>
                <w:rFonts w:hint="eastAsia" w:ascii="宋体" w:hAnsi="宋体" w:eastAsia="宋体" w:cs="宋体"/>
                <w:color w:val="0000FF"/>
                <w:kern w:val="0"/>
                <w:sz w:val="20"/>
                <w:szCs w:val="20"/>
                <w:highlight w:val="none"/>
                <w:lang w:val="en-US" w:eastAsia="zh-CN" w:bidi="ar"/>
              </w:rPr>
              <w:t>倒数第二</w:t>
            </w:r>
          </w:p>
        </w:tc>
        <w:tc>
          <w:tcPr>
            <w:tcW w:w="2324" w:type="dxa"/>
            <w:vAlign w:val="center"/>
          </w:tcPr>
          <w:p>
            <w:pPr>
              <w:keepNext w:val="0"/>
              <w:keepLines w:val="0"/>
              <w:widowControl/>
              <w:suppressLineNumbers w:val="0"/>
              <w:jc w:val="center"/>
              <w:rPr>
                <w:rFonts w:hint="eastAsia" w:ascii="宋体" w:hAnsi="宋体" w:eastAsia="宋体" w:cs="宋体"/>
                <w:color w:val="0000FF"/>
                <w:kern w:val="0"/>
                <w:sz w:val="21"/>
                <w:szCs w:val="21"/>
                <w:highlight w:val="none"/>
                <w:vertAlign w:val="baseline"/>
                <w:lang w:val="en-US" w:eastAsia="zh-CN" w:bidi="ar"/>
              </w:rPr>
            </w:pPr>
            <w:r>
              <w:rPr>
                <w:rFonts w:hint="eastAsia" w:ascii="宋体" w:hAnsi="宋体" w:eastAsia="宋体" w:cs="宋体"/>
                <w:color w:val="0000FF"/>
                <w:kern w:val="0"/>
                <w:sz w:val="20"/>
                <w:szCs w:val="20"/>
                <w:highlight w:val="none"/>
                <w:lang w:val="en-US" w:eastAsia="zh-CN" w:bidi="ar"/>
              </w:rPr>
              <w:t>倒数第三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2323" w:type="dxa"/>
            <w:vAlign w:val="center"/>
          </w:tcPr>
          <w:p>
            <w:pPr>
              <w:keepNext w:val="0"/>
              <w:keepLines w:val="0"/>
              <w:widowControl/>
              <w:suppressLineNumbers w:val="0"/>
              <w:jc w:val="center"/>
              <w:rPr>
                <w:rFonts w:hint="eastAsia" w:ascii="宋体" w:hAnsi="宋体" w:eastAsia="宋体" w:cs="宋体"/>
                <w:color w:val="0000FF"/>
                <w:kern w:val="0"/>
                <w:sz w:val="21"/>
                <w:szCs w:val="21"/>
                <w:highlight w:val="none"/>
                <w:vertAlign w:val="baseline"/>
                <w:lang w:val="en-US" w:eastAsia="zh-CN" w:bidi="ar"/>
              </w:rPr>
            </w:pPr>
            <w:r>
              <w:rPr>
                <w:rFonts w:hint="eastAsia" w:ascii="宋体" w:hAnsi="宋体" w:eastAsia="宋体" w:cs="宋体"/>
                <w:color w:val="0000FF"/>
                <w:kern w:val="0"/>
                <w:sz w:val="21"/>
                <w:szCs w:val="21"/>
                <w:highlight w:val="none"/>
                <w:vertAlign w:val="baseline"/>
                <w:lang w:val="en-US" w:eastAsia="zh-CN" w:bidi="ar"/>
              </w:rPr>
              <w:t>施工单位</w:t>
            </w:r>
          </w:p>
        </w:tc>
        <w:tc>
          <w:tcPr>
            <w:tcW w:w="2499" w:type="dxa"/>
            <w:vAlign w:val="center"/>
          </w:tcPr>
          <w:p>
            <w:pPr>
              <w:keepNext w:val="0"/>
              <w:keepLines w:val="0"/>
              <w:widowControl/>
              <w:suppressLineNumbers w:val="0"/>
              <w:jc w:val="center"/>
              <w:rPr>
                <w:rFonts w:hint="eastAsia" w:ascii="宋体" w:hAnsi="宋体" w:eastAsia="宋体" w:cs="宋体"/>
                <w:color w:val="0000FF"/>
                <w:kern w:val="0"/>
                <w:sz w:val="21"/>
                <w:szCs w:val="21"/>
                <w:highlight w:val="none"/>
                <w:vertAlign w:val="baseline"/>
                <w:lang w:val="en-US" w:eastAsia="zh-CN" w:bidi="ar"/>
              </w:rPr>
            </w:pPr>
            <w:r>
              <w:rPr>
                <w:rFonts w:hint="eastAsia" w:ascii="宋体" w:hAnsi="宋体" w:eastAsia="宋体" w:cs="宋体"/>
                <w:color w:val="0000FF"/>
                <w:kern w:val="0"/>
                <w:sz w:val="20"/>
                <w:szCs w:val="20"/>
                <w:highlight w:val="none"/>
                <w:lang w:val="en-US" w:eastAsia="zh-CN" w:bidi="ar"/>
              </w:rPr>
              <w:t>处罚50000元</w:t>
            </w:r>
          </w:p>
        </w:tc>
        <w:tc>
          <w:tcPr>
            <w:tcW w:w="2499" w:type="dxa"/>
            <w:vAlign w:val="center"/>
          </w:tcPr>
          <w:p>
            <w:pPr>
              <w:keepNext w:val="0"/>
              <w:keepLines w:val="0"/>
              <w:widowControl/>
              <w:suppressLineNumbers w:val="0"/>
              <w:jc w:val="center"/>
              <w:rPr>
                <w:rFonts w:hint="eastAsia" w:ascii="宋体" w:hAnsi="宋体" w:eastAsia="宋体" w:cs="宋体"/>
                <w:color w:val="0000FF"/>
                <w:kern w:val="0"/>
                <w:sz w:val="21"/>
                <w:szCs w:val="21"/>
                <w:highlight w:val="none"/>
                <w:vertAlign w:val="baseline"/>
                <w:lang w:val="en-US" w:eastAsia="zh-CN" w:bidi="ar"/>
              </w:rPr>
            </w:pPr>
            <w:r>
              <w:rPr>
                <w:rFonts w:hint="eastAsia" w:ascii="宋体" w:hAnsi="宋体" w:eastAsia="宋体" w:cs="宋体"/>
                <w:color w:val="0000FF"/>
                <w:kern w:val="0"/>
                <w:sz w:val="20"/>
                <w:szCs w:val="20"/>
                <w:highlight w:val="none"/>
                <w:lang w:val="en-US" w:eastAsia="zh-CN" w:bidi="ar"/>
              </w:rPr>
              <w:t>处罚30000元</w:t>
            </w:r>
          </w:p>
        </w:tc>
        <w:tc>
          <w:tcPr>
            <w:tcW w:w="2324" w:type="dxa"/>
            <w:vAlign w:val="center"/>
          </w:tcPr>
          <w:p>
            <w:pPr>
              <w:keepNext w:val="0"/>
              <w:keepLines w:val="0"/>
              <w:widowControl/>
              <w:suppressLineNumbers w:val="0"/>
              <w:jc w:val="center"/>
              <w:rPr>
                <w:rFonts w:hint="eastAsia" w:ascii="宋体" w:hAnsi="宋体" w:eastAsia="宋体" w:cs="宋体"/>
                <w:color w:val="0000FF"/>
                <w:kern w:val="0"/>
                <w:sz w:val="21"/>
                <w:szCs w:val="21"/>
                <w:highlight w:val="none"/>
                <w:vertAlign w:val="baseline"/>
                <w:lang w:val="en-US" w:eastAsia="zh-CN" w:bidi="ar"/>
              </w:rPr>
            </w:pPr>
            <w:r>
              <w:rPr>
                <w:rFonts w:hint="eastAsia" w:ascii="宋体" w:hAnsi="宋体" w:eastAsia="宋体" w:cs="宋体"/>
                <w:color w:val="0000FF"/>
                <w:kern w:val="0"/>
                <w:sz w:val="20"/>
                <w:szCs w:val="20"/>
                <w:highlight w:val="none"/>
                <w:lang w:val="en-US" w:eastAsia="zh-CN" w:bidi="ar"/>
              </w:rPr>
              <w:t>处罚10000元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2323" w:type="dxa"/>
            <w:vAlign w:val="center"/>
          </w:tcPr>
          <w:p>
            <w:pPr>
              <w:keepNext w:val="0"/>
              <w:keepLines w:val="0"/>
              <w:widowControl/>
              <w:suppressLineNumbers w:val="0"/>
              <w:jc w:val="center"/>
              <w:rPr>
                <w:rFonts w:hint="eastAsia" w:ascii="宋体" w:hAnsi="宋体" w:eastAsia="宋体" w:cs="宋体"/>
                <w:color w:val="0000FF"/>
                <w:kern w:val="0"/>
                <w:sz w:val="21"/>
                <w:szCs w:val="21"/>
                <w:highlight w:val="none"/>
                <w:vertAlign w:val="baseline"/>
                <w:lang w:val="en-US" w:eastAsia="zh-CN" w:bidi="ar"/>
              </w:rPr>
            </w:pPr>
            <w:r>
              <w:rPr>
                <w:rFonts w:hint="eastAsia" w:ascii="宋体" w:hAnsi="宋体" w:eastAsia="宋体" w:cs="宋体"/>
                <w:color w:val="0000FF"/>
                <w:kern w:val="0"/>
                <w:sz w:val="21"/>
                <w:szCs w:val="21"/>
                <w:highlight w:val="none"/>
                <w:vertAlign w:val="baseline"/>
                <w:lang w:val="en-US" w:eastAsia="zh-CN" w:bidi="ar"/>
              </w:rPr>
              <w:t>监理单位</w:t>
            </w:r>
          </w:p>
        </w:tc>
        <w:tc>
          <w:tcPr>
            <w:tcW w:w="2499" w:type="dxa"/>
            <w:vAlign w:val="center"/>
          </w:tcPr>
          <w:p>
            <w:pPr>
              <w:keepNext w:val="0"/>
              <w:keepLines w:val="0"/>
              <w:widowControl/>
              <w:suppressLineNumbers w:val="0"/>
              <w:jc w:val="center"/>
              <w:rPr>
                <w:rFonts w:hint="eastAsia" w:ascii="宋体" w:hAnsi="宋体" w:eastAsia="宋体" w:cs="宋体"/>
                <w:color w:val="0000FF"/>
                <w:kern w:val="0"/>
                <w:sz w:val="21"/>
                <w:szCs w:val="21"/>
                <w:highlight w:val="none"/>
                <w:vertAlign w:val="baseline"/>
                <w:lang w:val="en-US" w:eastAsia="zh-CN" w:bidi="ar"/>
              </w:rPr>
            </w:pPr>
            <w:r>
              <w:rPr>
                <w:rFonts w:hint="eastAsia" w:ascii="宋体" w:hAnsi="宋体" w:eastAsia="宋体" w:cs="宋体"/>
                <w:color w:val="0000FF"/>
                <w:kern w:val="0"/>
                <w:sz w:val="20"/>
                <w:szCs w:val="20"/>
                <w:highlight w:val="none"/>
                <w:lang w:val="en-US" w:eastAsia="zh-CN" w:bidi="ar"/>
              </w:rPr>
              <w:t>处罚10000元</w:t>
            </w:r>
          </w:p>
        </w:tc>
        <w:tc>
          <w:tcPr>
            <w:tcW w:w="2499" w:type="dxa"/>
            <w:vAlign w:val="center"/>
          </w:tcPr>
          <w:p>
            <w:pPr>
              <w:keepNext w:val="0"/>
              <w:keepLines w:val="0"/>
              <w:widowControl/>
              <w:suppressLineNumbers w:val="0"/>
              <w:jc w:val="center"/>
              <w:rPr>
                <w:rFonts w:hint="eastAsia" w:ascii="宋体" w:hAnsi="宋体" w:eastAsia="宋体" w:cs="宋体"/>
                <w:color w:val="0000FF"/>
                <w:kern w:val="0"/>
                <w:sz w:val="21"/>
                <w:szCs w:val="21"/>
                <w:highlight w:val="none"/>
                <w:vertAlign w:val="baseline"/>
                <w:lang w:val="en-US" w:eastAsia="zh-CN" w:bidi="ar"/>
              </w:rPr>
            </w:pPr>
            <w:r>
              <w:rPr>
                <w:rFonts w:hint="eastAsia" w:ascii="宋体" w:hAnsi="宋体" w:eastAsia="宋体" w:cs="宋体"/>
                <w:color w:val="0000FF"/>
                <w:kern w:val="0"/>
                <w:sz w:val="20"/>
                <w:szCs w:val="20"/>
                <w:highlight w:val="none"/>
                <w:lang w:val="en-US" w:eastAsia="zh-CN" w:bidi="ar"/>
              </w:rPr>
              <w:t>处罚5000元</w:t>
            </w:r>
          </w:p>
        </w:tc>
        <w:tc>
          <w:tcPr>
            <w:tcW w:w="2324" w:type="dxa"/>
            <w:vAlign w:val="center"/>
          </w:tcPr>
          <w:p>
            <w:pPr>
              <w:keepNext w:val="0"/>
              <w:keepLines w:val="0"/>
              <w:widowControl/>
              <w:suppressLineNumbers w:val="0"/>
              <w:jc w:val="center"/>
              <w:rPr>
                <w:rFonts w:hint="eastAsia" w:ascii="宋体" w:hAnsi="宋体" w:eastAsia="宋体" w:cs="宋体"/>
                <w:color w:val="0000FF"/>
                <w:kern w:val="0"/>
                <w:sz w:val="21"/>
                <w:szCs w:val="21"/>
                <w:highlight w:val="none"/>
                <w:vertAlign w:val="baseline"/>
                <w:lang w:val="en-US" w:eastAsia="zh-CN" w:bidi="ar"/>
              </w:rPr>
            </w:pPr>
            <w:r>
              <w:rPr>
                <w:rFonts w:hint="eastAsia" w:ascii="宋体" w:hAnsi="宋体" w:eastAsia="宋体" w:cs="宋体"/>
                <w:color w:val="0000FF"/>
                <w:kern w:val="0"/>
                <w:sz w:val="20"/>
                <w:szCs w:val="20"/>
                <w:highlight w:val="none"/>
                <w:lang w:val="en-US" w:eastAsia="zh-CN" w:bidi="ar"/>
              </w:rPr>
              <w:t>处罚3000元</w:t>
            </w:r>
          </w:p>
        </w:tc>
      </w:tr>
    </w:tbl>
    <w:p>
      <w:pPr>
        <w:keepNext w:val="0"/>
        <w:keepLines w:val="0"/>
        <w:widowControl/>
        <w:suppressLineNumbers w:val="0"/>
        <w:jc w:val="left"/>
        <w:rPr>
          <w:rFonts w:hint="eastAsia" w:ascii="宋体" w:hAnsi="宋体" w:eastAsia="宋体" w:cs="宋体"/>
          <w:b/>
          <w:bCs/>
          <w:color w:val="0000FF"/>
          <w:kern w:val="0"/>
          <w:sz w:val="21"/>
          <w:szCs w:val="21"/>
          <w:highlight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60" w:lineRule="auto"/>
        <w:ind w:firstLine="422"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 xml:space="preserve">第十六条 </w:t>
      </w:r>
      <w:r>
        <w:rPr>
          <w:rFonts w:hint="eastAsia" w:ascii="宋体" w:hAnsi="宋体" w:eastAsia="宋体" w:cs="宋体"/>
          <w:color w:val="0000FF"/>
          <w:kern w:val="0"/>
          <w:sz w:val="21"/>
          <w:szCs w:val="21"/>
          <w:highlight w:val="none"/>
          <w:lang w:val="en-US" w:eastAsia="zh-CN" w:bidi="ar"/>
        </w:rPr>
        <w:t xml:space="preserve">当参评项目在季度内出现以下任一情况则取消该项目标段施工单位、监理单位的奖励资格：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（一）项目工程安全、质量管理工作被政府主管部门处罚，包含信用监管行为记录被记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P6及以上不良行为记录、扬尘防治不合格相关通报、文明城市创建考评不合格相关通报等）；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（二）项目工程安全、质量管理工作被地产集团、国贸控股等上级公司处罚，包含不合格及相关通报批评等；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（三）代建项目工程安全、质量管理工作被建设单位处罚，包含书面的负面通报等；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（四）项目在该季度内发生安全质量事故、影响较大的与安全质量相关的负面舆情，具体以地产集团总经理办公会审议结果为准。 </w:t>
      </w:r>
    </w:p>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第五章 工程过程评估年度考核</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2"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 xml:space="preserve">第十七条 </w:t>
      </w:r>
      <w:r>
        <w:rPr>
          <w:rFonts w:hint="eastAsia" w:ascii="宋体" w:hAnsi="宋体" w:eastAsia="宋体" w:cs="宋体"/>
          <w:color w:val="0000FF"/>
          <w:kern w:val="0"/>
          <w:sz w:val="21"/>
          <w:szCs w:val="21"/>
          <w:highlight w:val="none"/>
          <w:lang w:val="en-US" w:eastAsia="zh-CN" w:bidi="ar"/>
        </w:rPr>
        <w:t xml:space="preserve">地产集团每季度组织第三方评估单位对建设开发公司符合参评条件的项目开展工程过程评估，依据年度内住宅项目过程评估各季度的综合得分，计算住宅项目年度综合得分和建设开发公司年度综合得分，并对建设开发公司和住宅项目进行考核。地产集团对建设开发公司奖罚规则，详见《厦门国贸地产集团有限公司工程管理考核办法》。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2"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 xml:space="preserve">第十八条 </w:t>
      </w:r>
      <w:r>
        <w:rPr>
          <w:rFonts w:hint="eastAsia" w:ascii="宋体" w:hAnsi="宋体" w:eastAsia="宋体" w:cs="宋体"/>
          <w:color w:val="0000FF"/>
          <w:kern w:val="0"/>
          <w:sz w:val="21"/>
          <w:szCs w:val="21"/>
          <w:highlight w:val="none"/>
          <w:lang w:val="en-US" w:eastAsia="zh-CN" w:bidi="ar"/>
        </w:rPr>
        <w:t xml:space="preserve">当公司参评项目在年度内出现以下任一情况则取消该项目年度过程评估奖励资格，且每出现一次（项）扣减公司年度综合得分1.5分：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（一）项目工程安全、质量管理工作被政府主管部门处罚；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（二）项目工程安全、质量管理工作被地产集团、国贸控股等上级公司处罚；</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（三）代建项目工程安全、质量管理工作被建设单位处罚；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（四）项目在该季度内发生安全质量事故、或与安全质量相关的负面舆情，具体以地产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集团总经理办公会审议结果为准。</w:t>
      </w:r>
    </w:p>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第六章 工程地下专项评估考核</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2"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 xml:space="preserve">第十九条 </w:t>
      </w:r>
      <w:r>
        <w:rPr>
          <w:rFonts w:hint="eastAsia" w:ascii="宋体" w:hAnsi="宋体" w:eastAsia="宋体" w:cs="宋体"/>
          <w:color w:val="0000FF"/>
          <w:kern w:val="0"/>
          <w:sz w:val="21"/>
          <w:szCs w:val="21"/>
          <w:highlight w:val="none"/>
          <w:lang w:val="en-US" w:eastAsia="zh-CN" w:bidi="ar"/>
        </w:rPr>
        <w:t xml:space="preserve">地产集团每月组织第三方评估单位对公司符合参评条件的项目开展地下专项评估。每季度将退出地下专项评估的项目全周期各月度综合得分取平均值，计为项目地下专项评估全周期综合得分，对公司和项目进行考核。地产集团对建设开发公司奖罚规则，详见《厦门国贸地产集团有限公司工程管理考核办法》。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2"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 xml:space="preserve">第二十条 </w:t>
      </w:r>
      <w:r>
        <w:rPr>
          <w:rFonts w:hint="eastAsia" w:ascii="宋体" w:hAnsi="宋体" w:eastAsia="宋体" w:cs="宋体"/>
          <w:color w:val="0000FF"/>
          <w:kern w:val="0"/>
          <w:sz w:val="21"/>
          <w:szCs w:val="21"/>
          <w:highlight w:val="none"/>
          <w:lang w:val="en-US" w:eastAsia="zh-CN" w:bidi="ar"/>
        </w:rPr>
        <w:t xml:space="preserve">建设开发公司参评项目标段全周期综合得分低于75分的，处罚该项目标段施工单位10万元，处罚监理单位2万元。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2"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 xml:space="preserve">第二十一条 </w:t>
      </w:r>
      <w:r>
        <w:rPr>
          <w:rFonts w:hint="eastAsia" w:ascii="宋体" w:hAnsi="宋体" w:eastAsia="宋体" w:cs="宋体"/>
          <w:color w:val="0000FF"/>
          <w:kern w:val="0"/>
          <w:sz w:val="21"/>
          <w:szCs w:val="21"/>
          <w:highlight w:val="none"/>
          <w:lang w:val="en-US" w:eastAsia="zh-CN" w:bidi="ar"/>
        </w:rPr>
        <w:t xml:space="preserve">当参评项目在地下专项评估全周期内出现以下任一情况则取消该项目地下专项评估奖励资格：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（一）项目工程安全、质量管理工作被政府主管部门处罚；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（二）项目工程安全、质量管理工作被地产集团、国贸控股等上级公司处罚；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（三）代建项目工程安全、质量管理工作被建设单位处罚；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（四）项目在该季度内发生安全质量事故或与安全质量相关的负面舆情，具体以地产集团总经理办公会审议结果为准。 </w:t>
      </w:r>
    </w:p>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第七章 工程交付评估考核</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2"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 xml:space="preserve">第二十二条 </w:t>
      </w:r>
      <w:r>
        <w:rPr>
          <w:rFonts w:hint="eastAsia" w:ascii="宋体" w:hAnsi="宋体" w:eastAsia="宋体" w:cs="宋体"/>
          <w:color w:val="0000FF"/>
          <w:kern w:val="0"/>
          <w:sz w:val="21"/>
          <w:szCs w:val="21"/>
          <w:highlight w:val="none"/>
          <w:lang w:val="en-US" w:eastAsia="zh-CN" w:bidi="ar"/>
        </w:rPr>
        <w:t>地产集团组织第三方评估单位对公司项目开展工程交付评估，以精装修交付评估和毛坯交付评估成绩分别对公司和项目进行考核。地产集团对建设开发公司奖罚规则，详见《厦门国贸地产集团有限公司工程管理考核办法》。</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2"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 xml:space="preserve">第二十三条 </w:t>
      </w:r>
      <w:r>
        <w:rPr>
          <w:rFonts w:hint="eastAsia" w:ascii="宋体" w:hAnsi="宋体" w:eastAsia="宋体" w:cs="宋体"/>
          <w:color w:val="0000FF"/>
          <w:kern w:val="0"/>
          <w:sz w:val="21"/>
          <w:szCs w:val="21"/>
          <w:highlight w:val="none"/>
          <w:lang w:val="en-US" w:eastAsia="zh-CN" w:bidi="ar"/>
        </w:rPr>
        <w:t xml:space="preserve">当参评项目在年度内出现以下任一情况则取消该项目交付评估奖励资格：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（一）项目工程安全、质量管理工作被政府主管部门处罚；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（二）项目工程安全、质量管理工作被地产集团、国贸控股等上级公司处罚；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（三）代建项目工程安全、质量管理工作被建设单位处罚；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（四）项目在该季度内发生安全质量事故或安全质量相关的负面舆情，具体以地产集团总经理办公会审议结果为准。 </w:t>
      </w:r>
    </w:p>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第八章 市政类、加固修缮类、立面改造类专项评估考核</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2"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 xml:space="preserve">第二十四条 </w:t>
      </w:r>
      <w:r>
        <w:rPr>
          <w:rFonts w:hint="eastAsia" w:ascii="宋体" w:hAnsi="宋体" w:eastAsia="宋体" w:cs="宋体"/>
          <w:color w:val="0000FF"/>
          <w:kern w:val="0"/>
          <w:sz w:val="21"/>
          <w:szCs w:val="21"/>
          <w:highlight w:val="none"/>
          <w:lang w:val="en-US" w:eastAsia="zh-CN" w:bidi="ar"/>
        </w:rPr>
        <w:t xml:space="preserve">建设开发公司每季度组织第三方评估单位对公司符合参评条件的市政类、加固修缮类、立面改造类项目开展专项评估，每季度对参评项目进行考核。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2"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 xml:space="preserve">第二十五条 </w:t>
      </w:r>
      <w:r>
        <w:rPr>
          <w:rFonts w:hint="eastAsia" w:ascii="宋体" w:hAnsi="宋体" w:eastAsia="宋体" w:cs="宋体"/>
          <w:color w:val="0000FF"/>
          <w:kern w:val="0"/>
          <w:sz w:val="21"/>
          <w:szCs w:val="21"/>
          <w:highlight w:val="none"/>
          <w:lang w:val="en-US" w:eastAsia="zh-CN" w:bidi="ar"/>
        </w:rPr>
        <w:t xml:space="preserve">市政类、加固修缮类、立面改造类专项评估参评项目标段综合得分低于80分的，处罚该项目标段项目工程管理团队0.2万元，处罚施工单位1万元，处罚监理单位0.5万元。 </w:t>
      </w:r>
    </w:p>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第九章 工程管理红线考核</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2"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 xml:space="preserve">第二十六条 </w:t>
      </w:r>
      <w:r>
        <w:rPr>
          <w:rFonts w:hint="eastAsia" w:ascii="宋体" w:hAnsi="宋体" w:eastAsia="宋体" w:cs="宋体"/>
          <w:color w:val="0000FF"/>
          <w:kern w:val="0"/>
          <w:sz w:val="21"/>
          <w:szCs w:val="21"/>
          <w:highlight w:val="none"/>
          <w:lang w:val="en-US" w:eastAsia="zh-CN" w:bidi="ar"/>
        </w:rPr>
        <w:t xml:space="preserve">根据问题的严重性和对工程安全质量的影响程度，《工程管理红线清单》将红线问题分为A级和B级。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2"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 xml:space="preserve">第二十七条 </w:t>
      </w:r>
      <w:r>
        <w:rPr>
          <w:rFonts w:hint="eastAsia" w:ascii="宋体" w:hAnsi="宋体" w:eastAsia="宋体" w:cs="宋体"/>
          <w:color w:val="0000FF"/>
          <w:kern w:val="0"/>
          <w:sz w:val="21"/>
          <w:szCs w:val="21"/>
          <w:highlight w:val="none"/>
          <w:lang w:val="en-US" w:eastAsia="zh-CN" w:bidi="ar"/>
        </w:rPr>
        <w:t xml:space="preserve">地产集团对建设开发公司工程管理红线考核规则，详见《厦门国贸地产集团有限公司工程管理考核办法》。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2"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 xml:space="preserve">第二十八条 </w:t>
      </w:r>
      <w:r>
        <w:rPr>
          <w:rFonts w:hint="eastAsia" w:ascii="宋体" w:hAnsi="宋体" w:eastAsia="宋体" w:cs="宋体"/>
          <w:color w:val="0000FF"/>
          <w:kern w:val="0"/>
          <w:sz w:val="21"/>
          <w:szCs w:val="21"/>
          <w:highlight w:val="none"/>
          <w:lang w:val="en-US" w:eastAsia="zh-CN" w:bidi="ar"/>
        </w:rPr>
        <w:t xml:space="preserve">建设开发公司对触碰工程管理红线的项目标段考核扣减如下：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（一）项目触碰A级红线，处罚该项目标段施工单位4-30万元，处罚监理单位0.8-6万元。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（二）项目触碰B级红线，处罚该项目标段施工单位0.4万元，处罚监理单位0.08万元。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（三）对已触碰A 级、B级红线的项目，触碰的红线问题未按期全面整改的或整改不到位的，处罚该项目标段施工单位、监理单位对应问题上次扣减金额的 2 倍。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（四）对已触碰A 级、B级红线的项目，新增工作面重复触碰同一红线，处罚该项目标段施工单位、监理单位对应问题上次扣减金额的2倍。 </w:t>
      </w:r>
    </w:p>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第十章 工程管理规定动作考核</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2"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 xml:space="preserve">第二十九条 </w:t>
      </w:r>
      <w:r>
        <w:rPr>
          <w:rFonts w:hint="eastAsia" w:ascii="宋体" w:hAnsi="宋体" w:eastAsia="宋体" w:cs="宋体"/>
          <w:color w:val="0000FF"/>
          <w:kern w:val="0"/>
          <w:sz w:val="21"/>
          <w:szCs w:val="21"/>
          <w:highlight w:val="none"/>
          <w:lang w:val="en-US" w:eastAsia="zh-CN" w:bidi="ar"/>
        </w:rPr>
        <w:t xml:space="preserve">地产集团对建设开发公司工程管理规定动作考核规则，详见《厦门国贸地产集团有限公司工程管理考核办法》。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2"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 xml:space="preserve">第三十条 </w:t>
      </w:r>
      <w:r>
        <w:rPr>
          <w:rFonts w:hint="eastAsia" w:ascii="宋体" w:hAnsi="宋体" w:eastAsia="宋体" w:cs="宋体"/>
          <w:color w:val="0000FF"/>
          <w:kern w:val="0"/>
          <w:sz w:val="21"/>
          <w:szCs w:val="21"/>
          <w:highlight w:val="none"/>
          <w:lang w:val="en-US" w:eastAsia="zh-CN" w:bidi="ar"/>
        </w:rPr>
        <w:t xml:space="preserve">建设开发公司对违反《厦门国贸建设开发有限公司工程管理规定动作操作指引》的项目标段考核扣减如下：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一）代建项目等级为特级以及住宅类项目，在施工单位开始招标前未按规定组织工程管理策划评审或评审未通过仍进行施工单位招标，扣减项目工程管理团队2万元。其他项目，在施工单位开始招标前未按规定将工程管理策划报各职能会签、分管领导审批、运管部备案仍进行施工单位招标，扣减项目工程管理团队1万元。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（二）未在施工单位合同附件中约定过程评估、专项评估、交付评估、工程管理红线等奖罚条款的，每份合同扣减项目工程管理团队0.5万元。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（三）项目在批量施工前未完成样板验收，交付样板每次扣减项目工程管理团队1万元/次，工艺样板扣减项目工程管理团队0.2万元/次。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（四）项目未按要求进行材料验收、工序验收、淋蓄水试验、模拟验收，扣减项目工程管理团队0.2万元/次。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（五）项目未按要求进行关键工序穿插施工，扣减项目工程管理团队0.1万元到2万元，施工进度满足经公司或建设单位批准进度计划的项目除外。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六）截止至集中交付日，项目模拟验收工程质量问题销项率不足95%，扣减项目工程管理团队2万元。项目模拟验收工程质量问题销项率以问题条数为作为统计单元，统计口径以公司客关责任部门提供的数据为准。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（七）集中交付日首日起，项目存在工地开放日提报工程质量问题未整改完成，扣减项目工程管理团队0.2万元/条。工地开放日提报工程质量问题未整改数量的统计口径以公司客关责任部门提供的数据为准。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（八）集中交付维修期内，项目部撤场时维修问题销项率低于98%，扣减项目工程管理团队5万元。集中交付维修期内维修问题销项率以户作为统计单元，统计口径以公司客关责任部门提供的数据为准。 </w:t>
      </w:r>
    </w:p>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第十一章 工程管理事件（事故）考核</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2"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 xml:space="preserve">第三十一条 </w:t>
      </w:r>
      <w:r>
        <w:rPr>
          <w:rFonts w:hint="eastAsia" w:ascii="宋体" w:hAnsi="宋体" w:eastAsia="宋体" w:cs="宋体"/>
          <w:color w:val="0000FF"/>
          <w:kern w:val="0"/>
          <w:sz w:val="21"/>
          <w:szCs w:val="21"/>
          <w:highlight w:val="none"/>
          <w:lang w:val="en-US" w:eastAsia="zh-CN" w:bidi="ar"/>
        </w:rPr>
        <w:t xml:space="preserve">地产集团对建设开发公司工程管理事件（事故）考核规则，详见《厦门国贸地产集团有限公司工程管理考核办法》。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2"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 xml:space="preserve">第三十二条 </w:t>
      </w:r>
      <w:r>
        <w:rPr>
          <w:rFonts w:hint="eastAsia" w:ascii="宋体" w:hAnsi="宋体" w:eastAsia="宋体" w:cs="宋体"/>
          <w:color w:val="0000FF"/>
          <w:kern w:val="0"/>
          <w:sz w:val="21"/>
          <w:szCs w:val="21"/>
          <w:highlight w:val="none"/>
          <w:lang w:val="en-US" w:eastAsia="zh-CN" w:bidi="ar"/>
        </w:rPr>
        <w:t xml:space="preserve">项目发现大面积渗漏（交付预评估外墙、外窗、屋面、露阳台、厨卫间、地库等任一分项渗漏率超过30%，或项目综合渗漏率超过15%），处罚施工单位4-40万元，处罚监理单位0.8-8万元。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2"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 xml:space="preserve">第三十三条 </w:t>
      </w:r>
      <w:r>
        <w:rPr>
          <w:rFonts w:hint="eastAsia" w:ascii="宋体" w:hAnsi="宋体" w:eastAsia="宋体" w:cs="宋体"/>
          <w:color w:val="0000FF"/>
          <w:kern w:val="0"/>
          <w:sz w:val="21"/>
          <w:szCs w:val="21"/>
          <w:highlight w:val="none"/>
          <w:lang w:val="en-US" w:eastAsia="zh-CN" w:bidi="ar"/>
        </w:rPr>
        <w:t xml:space="preserve">在建或已交付项目安全、质量、环保问题被媒体曝光造成重大影响，处罚施工单位4-40 万元，处罚监理单位0.8-8万元。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2"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 xml:space="preserve">第三十四条 </w:t>
      </w:r>
      <w:r>
        <w:rPr>
          <w:rFonts w:hint="eastAsia" w:ascii="宋体" w:hAnsi="宋体" w:eastAsia="宋体" w:cs="宋体"/>
          <w:color w:val="0000FF"/>
          <w:kern w:val="0"/>
          <w:sz w:val="21"/>
          <w:szCs w:val="21"/>
          <w:highlight w:val="none"/>
          <w:lang w:val="en-US" w:eastAsia="zh-CN" w:bidi="ar"/>
        </w:rPr>
        <w:t xml:space="preserve">在建或已交付项目出现重大质量群诉事件，处罚施工单位4-40万元，处罚监理单位0.8-8万元。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2"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 xml:space="preserve">第三十五条 </w:t>
      </w:r>
      <w:r>
        <w:rPr>
          <w:rFonts w:hint="eastAsia" w:ascii="宋体" w:hAnsi="宋体" w:eastAsia="宋体" w:cs="宋体"/>
          <w:color w:val="0000FF"/>
          <w:kern w:val="0"/>
          <w:sz w:val="21"/>
          <w:szCs w:val="21"/>
          <w:highlight w:val="none"/>
          <w:lang w:val="en-US" w:eastAsia="zh-CN" w:bidi="ar"/>
        </w:rPr>
        <w:t xml:space="preserve">工程质量事件（事故）：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（一）在建或已交付项目出现直接经济损失10万元及以上、100万元以下的质量事件，处罚施工单位 4-30万元，处罚监理单位0.8-6万元。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（二）在建或已交付项目出现直接经济损失100万元及以上、200万元以下的质量事故，处罚施工单位30-60万元，处罚监理单位6-12万元。</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（三）在建或已交付项目出现直接经济损失200万元及以上、500万元以下的质量事故，处罚施工单位 60-80 万元，处罚监理单位12-16万元。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（四）在建或已交付项目出现直接经济损失500万元及以上质量事故，处罚施工单位80-100万元，处罚监理单位16-20万元；构成问责的按照地产集团《问责制度》的规定处理。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2"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 xml:space="preserve">第三十六条 </w:t>
      </w:r>
      <w:r>
        <w:rPr>
          <w:rFonts w:hint="eastAsia" w:ascii="宋体" w:hAnsi="宋体" w:eastAsia="宋体" w:cs="宋体"/>
          <w:color w:val="0000FF"/>
          <w:kern w:val="0"/>
          <w:sz w:val="21"/>
          <w:szCs w:val="21"/>
          <w:highlight w:val="none"/>
          <w:lang w:val="en-US" w:eastAsia="zh-CN" w:bidi="ar"/>
        </w:rPr>
        <w:t xml:space="preserve">媒体曝光造成的影响、群诉事件、安全质量事件（事故）以地产集团总经理办公会的审议结果为准。 </w:t>
      </w:r>
    </w:p>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第十二章 地产集团工程降本提效提质专项激励</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2"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 xml:space="preserve">第三十七条 </w:t>
      </w:r>
      <w:r>
        <w:rPr>
          <w:rFonts w:hint="eastAsia" w:ascii="宋体" w:hAnsi="宋体" w:eastAsia="宋体" w:cs="宋体"/>
          <w:color w:val="0000FF"/>
          <w:kern w:val="0"/>
          <w:sz w:val="21"/>
          <w:szCs w:val="21"/>
          <w:highlight w:val="none"/>
          <w:lang w:val="en-US" w:eastAsia="zh-CN" w:bidi="ar"/>
        </w:rPr>
        <w:t xml:space="preserve">地产集团每年对建设开发公司在工程管理过程中降本提效的技术进步、管理创新和优秀实践进行激励。其中：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（一）技术进步指在工程材料、工艺、工法等方面进行研究、创新、应用并取得进步，达到降低成本、提升质量、提高效率、守住安全底线等目标，且该技术成果应可复制、可推广应用；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（二）管理创新指运用现代管理的科学理论，借鉴行业内外企业成果管理经验，在项目管理模式、管理工具、管理方法等方面产生实际效用的管理创新成果，且该成果应可复制、可推广应用；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（三）优秀实践指实践案例的方法论得到应用，并有系统的概括和提炼，案例的成果对项目、公司、地方政府、行业产生了非常积极正向的影响和价值，提炼的方法具备可复制、可推广的特性。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2"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 xml:space="preserve">第三十八条 </w:t>
      </w:r>
      <w:r>
        <w:rPr>
          <w:rFonts w:hint="eastAsia" w:ascii="宋体" w:hAnsi="宋体" w:eastAsia="宋体" w:cs="宋体"/>
          <w:color w:val="0000FF"/>
          <w:kern w:val="0"/>
          <w:sz w:val="21"/>
          <w:szCs w:val="21"/>
          <w:highlight w:val="none"/>
          <w:lang w:val="en-US" w:eastAsia="zh-CN" w:bidi="ar"/>
        </w:rPr>
        <w:t>地产集团定期组织建设开发公司申报工程管理中技术进步、管理创新和优秀实践的知识成果，组织相关人员进行成果的评审，评审通过的知识成果，分别奖励主要贡献团队1万到5万元。</w:t>
      </w:r>
    </w:p>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第十三章 考核实施</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2"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 xml:space="preserve">第三十九条 </w:t>
      </w:r>
      <w:r>
        <w:rPr>
          <w:rFonts w:hint="eastAsia" w:ascii="宋体" w:hAnsi="宋体" w:eastAsia="宋体" w:cs="宋体"/>
          <w:color w:val="0000FF"/>
          <w:kern w:val="0"/>
          <w:sz w:val="21"/>
          <w:szCs w:val="21"/>
          <w:highlight w:val="none"/>
          <w:lang w:val="en-US" w:eastAsia="zh-CN" w:bidi="ar"/>
        </w:rPr>
        <w:t xml:space="preserve">由建设开发公司运管部对各项考核结果（包括集团对公司的考核、公司对在管项目的考核）按期汇总、发布，并监督实施。对施工单位、监理单位的处罚，由各片区/管理中心负责督促项目部实施，公司成控部、财务部予以配合。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2"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 xml:space="preserve">第四十条 </w:t>
      </w:r>
      <w:r>
        <w:rPr>
          <w:rFonts w:hint="eastAsia" w:ascii="宋体" w:hAnsi="宋体" w:eastAsia="宋体" w:cs="宋体"/>
          <w:color w:val="0000FF"/>
          <w:kern w:val="0"/>
          <w:sz w:val="21"/>
          <w:szCs w:val="21"/>
          <w:highlight w:val="none"/>
          <w:lang w:val="en-US" w:eastAsia="zh-CN" w:bidi="ar"/>
        </w:rPr>
        <w:t xml:space="preserve">对地下专项评估全周期综合得分，以及过程评估、市政类专项评估、加固修缮类专项评估等第三方评估连续两个季度综合得分未达合格标准并触及经济处罚的项目标段，取消该项目经理及相关管理人员当年内评优及晋升资格。 </w:t>
      </w:r>
    </w:p>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第十四章 附则</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2"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 xml:space="preserve">第四十一条 </w:t>
      </w:r>
      <w:r>
        <w:rPr>
          <w:rFonts w:hint="eastAsia" w:ascii="宋体" w:hAnsi="宋体" w:eastAsia="宋体" w:cs="宋体"/>
          <w:color w:val="0000FF"/>
          <w:kern w:val="0"/>
          <w:sz w:val="21"/>
          <w:szCs w:val="21"/>
          <w:highlight w:val="none"/>
          <w:lang w:val="en-US" w:eastAsia="zh-CN" w:bidi="ar"/>
        </w:rPr>
        <w:t xml:space="preserve">本细则授权建设开发公司运管部负责解释。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2"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 xml:space="preserve">第四十二条 </w:t>
      </w:r>
      <w:r>
        <w:rPr>
          <w:rFonts w:hint="eastAsia" w:ascii="宋体" w:hAnsi="宋体" w:eastAsia="宋体" w:cs="宋体"/>
          <w:color w:val="0000FF"/>
          <w:kern w:val="0"/>
          <w:sz w:val="21"/>
          <w:szCs w:val="21"/>
          <w:highlight w:val="none"/>
          <w:lang w:val="en-US" w:eastAsia="zh-CN" w:bidi="ar"/>
        </w:rPr>
        <w:t>本办法经建设开发公司总经理办公会审议通过后，自发布之日起施行。本办法发布后，原《第三方评估检查管理办法》-厦国贸开发综〔2021〕15号作废。</w:t>
      </w:r>
    </w:p>
    <w:tbl>
      <w:tblPr>
        <w:tblStyle w:val="6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6"/>
        <w:gridCol w:w="810"/>
        <w:gridCol w:w="720"/>
        <w:gridCol w:w="75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trPr>
        <w:tc>
          <w:tcPr>
            <w:tcW w:w="9996" w:type="dxa"/>
            <w:gridSpan w:val="4"/>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r>
              <w:rPr>
                <w:rFonts w:hint="eastAsia" w:ascii="宋体" w:hAnsi="宋体" w:eastAsia="宋体" w:cs="宋体"/>
                <w:b/>
                <w:bCs/>
                <w:color w:val="0000FF"/>
                <w:sz w:val="28"/>
                <w:szCs w:val="28"/>
                <w:highlight w:val="none"/>
                <w:vertAlign w:val="baseline"/>
              </w:rPr>
              <w:t>工程管理红线清单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896" w:type="dxa"/>
            <w:vAlign w:val="center"/>
          </w:tcPr>
          <w:p>
            <w:pPr>
              <w:keepNext w:val="0"/>
              <w:keepLines w:val="0"/>
              <w:widowControl/>
              <w:suppressLineNumbers w:val="0"/>
              <w:jc w:val="center"/>
              <w:rPr>
                <w:rFonts w:hint="eastAsia" w:ascii="宋体" w:hAnsi="宋体" w:eastAsia="宋体" w:cs="宋体"/>
                <w:b/>
                <w:bCs/>
                <w:color w:val="0000FF"/>
                <w:sz w:val="21"/>
                <w:szCs w:val="21"/>
                <w:highlight w:val="none"/>
                <w:vertAlign w:val="baseline"/>
                <w:lang w:eastAsia="zh-CN"/>
              </w:rPr>
            </w:pPr>
            <w:r>
              <w:rPr>
                <w:rFonts w:hint="eastAsia" w:ascii="宋体" w:hAnsi="宋体" w:eastAsia="宋体" w:cs="宋体"/>
                <w:b/>
                <w:bCs/>
                <w:color w:val="0000FF"/>
                <w:sz w:val="21"/>
                <w:szCs w:val="21"/>
                <w:highlight w:val="none"/>
                <w:vertAlign w:val="baseline"/>
                <w:lang w:eastAsia="zh-CN"/>
              </w:rPr>
              <w:t>红线等级</w:t>
            </w:r>
          </w:p>
        </w:tc>
        <w:tc>
          <w:tcPr>
            <w:tcW w:w="810" w:type="dxa"/>
            <w:vAlign w:val="center"/>
          </w:tcPr>
          <w:p>
            <w:pPr>
              <w:keepNext w:val="0"/>
              <w:keepLines w:val="0"/>
              <w:widowControl/>
              <w:suppressLineNumbers w:val="0"/>
              <w:jc w:val="center"/>
              <w:rPr>
                <w:rFonts w:hint="eastAsia" w:ascii="宋体" w:hAnsi="宋体" w:eastAsia="宋体" w:cs="宋体"/>
                <w:b/>
                <w:bCs/>
                <w:color w:val="0000FF"/>
                <w:sz w:val="21"/>
                <w:szCs w:val="21"/>
                <w:highlight w:val="none"/>
                <w:vertAlign w:val="baseline"/>
              </w:rPr>
            </w:pPr>
            <w:r>
              <w:rPr>
                <w:rFonts w:hint="eastAsia" w:ascii="宋体" w:hAnsi="宋体" w:eastAsia="宋体" w:cs="宋体"/>
                <w:b/>
                <w:bCs/>
                <w:color w:val="0000FF"/>
                <w:sz w:val="21"/>
                <w:szCs w:val="21"/>
                <w:highlight w:val="none"/>
                <w:vertAlign w:val="baseline"/>
              </w:rPr>
              <w:t>红线类型</w:t>
            </w:r>
          </w:p>
        </w:tc>
        <w:tc>
          <w:tcPr>
            <w:tcW w:w="720" w:type="dxa"/>
            <w:vAlign w:val="center"/>
          </w:tcPr>
          <w:p>
            <w:pPr>
              <w:keepNext w:val="0"/>
              <w:keepLines w:val="0"/>
              <w:widowControl/>
              <w:suppressLineNumbers w:val="0"/>
              <w:jc w:val="center"/>
              <w:rPr>
                <w:rFonts w:hint="eastAsia" w:ascii="宋体" w:hAnsi="宋体" w:eastAsia="宋体" w:cs="宋体"/>
                <w:b/>
                <w:bCs/>
                <w:color w:val="0000FF"/>
                <w:sz w:val="21"/>
                <w:szCs w:val="21"/>
                <w:highlight w:val="none"/>
                <w:vertAlign w:val="baseline"/>
              </w:rPr>
            </w:pPr>
            <w:r>
              <w:rPr>
                <w:rFonts w:hint="eastAsia" w:ascii="宋体" w:hAnsi="宋体" w:eastAsia="宋体" w:cs="宋体"/>
                <w:b/>
                <w:bCs/>
                <w:color w:val="0000FF"/>
                <w:sz w:val="21"/>
                <w:szCs w:val="21"/>
                <w:highlight w:val="none"/>
                <w:vertAlign w:val="baseline"/>
              </w:rPr>
              <w:t>序号</w:t>
            </w:r>
          </w:p>
        </w:tc>
        <w:tc>
          <w:tcPr>
            <w:tcW w:w="7570" w:type="dxa"/>
            <w:vAlign w:val="center"/>
          </w:tcPr>
          <w:p>
            <w:pPr>
              <w:keepNext w:val="0"/>
              <w:keepLines w:val="0"/>
              <w:widowControl/>
              <w:suppressLineNumbers w:val="0"/>
              <w:jc w:val="center"/>
              <w:rPr>
                <w:rFonts w:hint="eastAsia" w:ascii="宋体" w:hAnsi="宋体" w:eastAsia="宋体" w:cs="宋体"/>
                <w:b/>
                <w:bCs/>
                <w:color w:val="0000FF"/>
                <w:sz w:val="21"/>
                <w:szCs w:val="21"/>
                <w:highlight w:val="none"/>
                <w:vertAlign w:val="baseline"/>
              </w:rPr>
            </w:pPr>
            <w:r>
              <w:rPr>
                <w:rFonts w:hint="eastAsia" w:ascii="宋体" w:hAnsi="宋体" w:eastAsia="宋体" w:cs="宋体"/>
                <w:b/>
                <w:bCs/>
                <w:color w:val="0000FF"/>
                <w:sz w:val="21"/>
                <w:szCs w:val="21"/>
                <w:highlight w:val="none"/>
                <w:vertAlign w:val="baseline"/>
              </w:rPr>
              <w:t>红线内容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restart"/>
            <w:vAlign w:val="center"/>
          </w:tcPr>
          <w:p>
            <w:pPr>
              <w:keepNext w:val="0"/>
              <w:keepLines w:val="0"/>
              <w:widowControl/>
              <w:suppressLineNumbers w:val="0"/>
              <w:jc w:val="center"/>
              <w:rPr>
                <w:rFonts w:hint="eastAsia" w:ascii="宋体" w:hAnsi="宋体" w:eastAsia="宋体" w:cs="宋体"/>
                <w:b/>
                <w:bCs/>
                <w:color w:val="0000FF"/>
                <w:sz w:val="21"/>
                <w:szCs w:val="21"/>
                <w:highlight w:val="none"/>
                <w:vertAlign w:val="baseline"/>
                <w:lang w:val="en-US" w:eastAsia="zh-CN"/>
              </w:rPr>
            </w:pPr>
            <w:r>
              <w:rPr>
                <w:rFonts w:hint="eastAsia" w:ascii="宋体" w:hAnsi="宋体" w:eastAsia="宋体" w:cs="宋体"/>
                <w:b/>
                <w:bCs/>
                <w:color w:val="0000FF"/>
                <w:sz w:val="21"/>
                <w:szCs w:val="21"/>
                <w:highlight w:val="none"/>
                <w:vertAlign w:val="baseline"/>
                <w:lang w:val="en-US" w:eastAsia="zh-CN"/>
              </w:rPr>
              <w:t>A级</w:t>
            </w:r>
          </w:p>
        </w:tc>
        <w:tc>
          <w:tcPr>
            <w:tcW w:w="810" w:type="dxa"/>
            <w:vMerge w:val="restart"/>
            <w:vAlign w:val="center"/>
          </w:tcPr>
          <w:p>
            <w:pPr>
              <w:keepNext w:val="0"/>
              <w:keepLines w:val="0"/>
              <w:widowControl/>
              <w:suppressLineNumbers w:val="0"/>
              <w:jc w:val="center"/>
              <w:rPr>
                <w:rFonts w:hint="eastAsia" w:ascii="宋体" w:hAnsi="宋体" w:eastAsia="宋体" w:cs="宋体"/>
                <w:b/>
                <w:bCs/>
                <w:color w:val="0000FF"/>
                <w:sz w:val="21"/>
                <w:szCs w:val="21"/>
                <w:highlight w:val="none"/>
                <w:vertAlign w:val="baseline"/>
                <w:lang w:eastAsia="zh-CN"/>
              </w:rPr>
            </w:pPr>
            <w:r>
              <w:rPr>
                <w:rFonts w:hint="eastAsia" w:ascii="宋体" w:hAnsi="宋体" w:eastAsia="宋体" w:cs="宋体"/>
                <w:b/>
                <w:bCs/>
                <w:color w:val="0000FF"/>
                <w:sz w:val="21"/>
                <w:szCs w:val="21"/>
                <w:highlight w:val="none"/>
                <w:vertAlign w:val="baseline"/>
                <w:lang w:eastAsia="zh-CN"/>
              </w:rPr>
              <w:t>安全生产</w:t>
            </w: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1</w:t>
            </w:r>
          </w:p>
        </w:tc>
        <w:tc>
          <w:tcPr>
            <w:tcW w:w="7570" w:type="dxa"/>
            <w:vAlign w:val="center"/>
          </w:tcPr>
          <w:p>
            <w:pPr>
              <w:keepNext w:val="0"/>
              <w:keepLines w:val="0"/>
              <w:widowControl/>
              <w:suppressLineNumbers w:val="0"/>
              <w:jc w:val="both"/>
              <w:rPr>
                <w:rFonts w:hint="eastAsia" w:ascii="宋体" w:hAnsi="宋体" w:eastAsia="宋体" w:cs="宋体"/>
                <w:color w:val="0000FF"/>
                <w:sz w:val="21"/>
                <w:szCs w:val="21"/>
                <w:highlight w:val="none"/>
                <w:vertAlign w:val="baseline"/>
              </w:rPr>
            </w:pPr>
            <w:r>
              <w:rPr>
                <w:rFonts w:hint="eastAsia" w:ascii="宋体" w:hAnsi="宋体" w:eastAsia="宋体" w:cs="宋体"/>
                <w:color w:val="0000FF"/>
                <w:kern w:val="0"/>
                <w:sz w:val="21"/>
                <w:szCs w:val="21"/>
                <w:highlight w:val="none"/>
                <w:lang w:val="en-US" w:eastAsia="zh-CN" w:bidi="ar"/>
              </w:rPr>
              <w:t>现场基坑支护型式与设计文件不一致，或者基坑支护施工前未根据设计图纸编制施工方案，现场施工未严格按照方案执行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2</w:t>
            </w:r>
          </w:p>
        </w:tc>
        <w:tc>
          <w:tcPr>
            <w:tcW w:w="7570" w:type="dxa"/>
            <w:vAlign w:val="center"/>
          </w:tcPr>
          <w:p>
            <w:pPr>
              <w:keepNext w:val="0"/>
              <w:keepLines w:val="0"/>
              <w:widowControl/>
              <w:suppressLineNumbers w:val="0"/>
              <w:jc w:val="both"/>
              <w:rPr>
                <w:rFonts w:hint="eastAsia" w:ascii="宋体" w:hAnsi="宋体" w:eastAsia="宋体" w:cs="宋体"/>
                <w:color w:val="0000FF"/>
                <w:sz w:val="21"/>
                <w:szCs w:val="21"/>
                <w:highlight w:val="none"/>
                <w:vertAlign w:val="baseline"/>
              </w:rPr>
            </w:pPr>
            <w:r>
              <w:rPr>
                <w:rFonts w:hint="eastAsia" w:ascii="宋体" w:hAnsi="宋体" w:eastAsia="宋体" w:cs="宋体"/>
                <w:color w:val="0000FF"/>
                <w:kern w:val="0"/>
                <w:sz w:val="21"/>
                <w:szCs w:val="21"/>
                <w:highlight w:val="none"/>
                <w:lang w:val="en-US" w:eastAsia="zh-CN" w:bidi="ar"/>
              </w:rPr>
              <w:t>现场未按照设计图纸要求设置基坑监测项，如：（1）已达到施测条件的监测点漏设；（2）监测点位置错误导致无法达到监测目的；（3）监测点损坏未补设或无设计变更手续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3</w:t>
            </w:r>
          </w:p>
        </w:tc>
        <w:tc>
          <w:tcPr>
            <w:tcW w:w="7570" w:type="dxa"/>
            <w:vAlign w:val="center"/>
          </w:tcPr>
          <w:p>
            <w:pPr>
              <w:keepNext w:val="0"/>
              <w:keepLines w:val="0"/>
              <w:widowControl/>
              <w:suppressLineNumbers w:val="0"/>
              <w:jc w:val="both"/>
              <w:rPr>
                <w:rFonts w:hint="eastAsia" w:ascii="宋体" w:hAnsi="宋体" w:eastAsia="宋体" w:cs="宋体"/>
                <w:color w:val="0000FF"/>
                <w:sz w:val="21"/>
                <w:szCs w:val="21"/>
                <w:highlight w:val="none"/>
                <w:vertAlign w:val="baseline"/>
              </w:rPr>
            </w:pPr>
            <w:r>
              <w:rPr>
                <w:rFonts w:hint="eastAsia" w:ascii="宋体" w:hAnsi="宋体" w:eastAsia="宋体" w:cs="宋体"/>
                <w:color w:val="0000FF"/>
                <w:kern w:val="0"/>
                <w:sz w:val="21"/>
                <w:szCs w:val="21"/>
                <w:highlight w:val="none"/>
                <w:lang w:val="en-US" w:eastAsia="zh-CN" w:bidi="ar"/>
              </w:rPr>
              <w:t>基坑监测数据报警累计值3处及以上达到或超过设计与规范要求或单个监测点数据已超累积警戒值50%（变化速率仍未趋于稳定），无针对性处理措施或措施未执行；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4</w:t>
            </w:r>
          </w:p>
        </w:tc>
        <w:tc>
          <w:tcPr>
            <w:tcW w:w="7570" w:type="dxa"/>
            <w:vAlign w:val="center"/>
          </w:tcPr>
          <w:p>
            <w:pPr>
              <w:keepNext w:val="0"/>
              <w:keepLines w:val="0"/>
              <w:widowControl/>
              <w:suppressLineNumbers w:val="0"/>
              <w:jc w:val="both"/>
              <w:rPr>
                <w:rFonts w:hint="eastAsia" w:ascii="宋体" w:hAnsi="宋体" w:eastAsia="宋体" w:cs="宋体"/>
                <w:color w:val="0000FF"/>
                <w:sz w:val="21"/>
                <w:szCs w:val="21"/>
                <w:highlight w:val="none"/>
                <w:vertAlign w:val="baseline"/>
              </w:rPr>
            </w:pPr>
            <w:r>
              <w:rPr>
                <w:rFonts w:hint="eastAsia" w:ascii="宋体" w:hAnsi="宋体" w:eastAsia="宋体" w:cs="宋体"/>
                <w:color w:val="0000FF"/>
                <w:kern w:val="0"/>
                <w:sz w:val="21"/>
                <w:szCs w:val="21"/>
                <w:highlight w:val="none"/>
                <w:lang w:val="en-US" w:eastAsia="zh-CN" w:bidi="ar"/>
              </w:rPr>
              <w:t>基坑支护出现变形、开裂现象或导致邻近市政管线、街道出现塌陷，又未采取措施处理的；基坑内支撑拆除时，拆撑方式及顺序与支护结构设计工况不一致，或未严格按照拆撑方案执行出现重大隐患。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5</w:t>
            </w:r>
          </w:p>
        </w:tc>
        <w:tc>
          <w:tcPr>
            <w:tcW w:w="7570" w:type="dxa"/>
            <w:vAlign w:val="center"/>
          </w:tcPr>
          <w:p>
            <w:pPr>
              <w:keepNext w:val="0"/>
              <w:keepLines w:val="0"/>
              <w:widowControl/>
              <w:suppressLineNumbers w:val="0"/>
              <w:jc w:val="both"/>
              <w:rPr>
                <w:rFonts w:hint="eastAsia" w:ascii="宋体" w:hAnsi="宋体" w:eastAsia="宋体" w:cs="宋体"/>
                <w:color w:val="0000FF"/>
                <w:sz w:val="21"/>
                <w:szCs w:val="21"/>
                <w:highlight w:val="none"/>
                <w:vertAlign w:val="baseline"/>
              </w:rPr>
            </w:pPr>
            <w:r>
              <w:rPr>
                <w:rFonts w:hint="eastAsia" w:ascii="宋体" w:hAnsi="宋体" w:eastAsia="宋体" w:cs="宋体"/>
                <w:color w:val="0000FF"/>
                <w:kern w:val="0"/>
                <w:sz w:val="21"/>
                <w:szCs w:val="21"/>
                <w:highlight w:val="none"/>
                <w:lang w:val="en-US" w:eastAsia="zh-CN" w:bidi="ar"/>
              </w:rPr>
              <w:t>采用锚杆支护时，锚杆承载力、龄期未达到设计要求即进行下一层土方开挖；预应力锚杆未经试验检测合格即进行下一层土方开挖；采用内支撑开挖应在混凝土支撑达到混凝土强度要求后进行下层土方开挖；钢支撑未进行质量验收并按设计要求施加预应力后进行下层土方开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6</w:t>
            </w:r>
          </w:p>
        </w:tc>
        <w:tc>
          <w:tcPr>
            <w:tcW w:w="7570" w:type="dxa"/>
            <w:vAlign w:val="center"/>
          </w:tcPr>
          <w:p>
            <w:pPr>
              <w:keepNext w:val="0"/>
              <w:keepLines w:val="0"/>
              <w:widowControl/>
              <w:suppressLineNumbers w:val="0"/>
              <w:jc w:val="both"/>
              <w:rPr>
                <w:rFonts w:hint="eastAsia" w:ascii="宋体" w:hAnsi="宋体" w:eastAsia="宋体" w:cs="宋体"/>
                <w:color w:val="0000FF"/>
                <w:sz w:val="21"/>
                <w:szCs w:val="21"/>
                <w:highlight w:val="none"/>
                <w:vertAlign w:val="baseline"/>
              </w:rPr>
            </w:pPr>
            <w:r>
              <w:rPr>
                <w:rFonts w:hint="eastAsia" w:ascii="宋体" w:hAnsi="宋体" w:eastAsia="宋体" w:cs="宋体"/>
                <w:color w:val="0000FF"/>
                <w:kern w:val="0"/>
                <w:sz w:val="21"/>
                <w:szCs w:val="21"/>
                <w:highlight w:val="none"/>
                <w:lang w:val="en-US" w:eastAsia="zh-CN" w:bidi="ar"/>
              </w:rPr>
              <w:t>现场塔吊在安装前或使用过程中出现下列情况仍然安装和使用的：构件上有可见裂纹和严重锈蚀的；主要受力构件存在塑性变形的；连接件存在严重磨损和塑性变形的；塔吊钢丝绳达到报废标准的；安全装置不齐全或失效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7</w:t>
            </w:r>
          </w:p>
        </w:tc>
        <w:tc>
          <w:tcPr>
            <w:tcW w:w="7570" w:type="dxa"/>
            <w:vAlign w:val="center"/>
          </w:tcPr>
          <w:p>
            <w:pPr>
              <w:keepNext w:val="0"/>
              <w:keepLines w:val="0"/>
              <w:widowControl/>
              <w:suppressLineNumbers w:val="0"/>
              <w:jc w:val="both"/>
              <w:rPr>
                <w:rFonts w:hint="eastAsia" w:ascii="宋体" w:hAnsi="宋体" w:eastAsia="宋体" w:cs="宋体"/>
                <w:color w:val="0000FF"/>
                <w:sz w:val="21"/>
                <w:szCs w:val="21"/>
                <w:highlight w:val="none"/>
                <w:vertAlign w:val="baseline"/>
              </w:rPr>
            </w:pPr>
            <w:r>
              <w:rPr>
                <w:rFonts w:hint="eastAsia" w:ascii="宋体" w:hAnsi="宋体" w:eastAsia="宋体" w:cs="宋体"/>
                <w:color w:val="0000FF"/>
                <w:kern w:val="0"/>
                <w:sz w:val="21"/>
                <w:szCs w:val="21"/>
                <w:highlight w:val="none"/>
                <w:lang w:val="en-US" w:eastAsia="zh-CN" w:bidi="ar"/>
              </w:rPr>
              <w:t>现场所使用塔吊存在下列情况仍然使用的：国家明令淘汰的产品；超过规定使用年限经评估不合格的产品；不符合国家现行相关标准的产品；没有完整安全技术档案的产品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8</w:t>
            </w:r>
          </w:p>
        </w:tc>
        <w:tc>
          <w:tcPr>
            <w:tcW w:w="7570" w:type="dxa"/>
            <w:vAlign w:val="center"/>
          </w:tcPr>
          <w:p>
            <w:pPr>
              <w:keepNext w:val="0"/>
              <w:keepLines w:val="0"/>
              <w:widowControl/>
              <w:suppressLineNumbers w:val="0"/>
              <w:jc w:val="both"/>
              <w:rPr>
                <w:rFonts w:hint="eastAsia" w:ascii="宋体" w:hAnsi="宋体" w:eastAsia="宋体" w:cs="宋体"/>
                <w:color w:val="0000FF"/>
                <w:sz w:val="21"/>
                <w:szCs w:val="21"/>
                <w:highlight w:val="none"/>
                <w:vertAlign w:val="baseline"/>
              </w:rPr>
            </w:pPr>
            <w:r>
              <w:rPr>
                <w:rFonts w:hint="eastAsia" w:ascii="宋体" w:hAnsi="宋体" w:eastAsia="宋体" w:cs="宋体"/>
                <w:color w:val="0000FF"/>
                <w:kern w:val="0"/>
                <w:sz w:val="21"/>
                <w:szCs w:val="21"/>
                <w:highlight w:val="none"/>
                <w:lang w:val="en-US" w:eastAsia="zh-CN" w:bidi="ar"/>
              </w:rPr>
              <w:t>相邻塔吊不满足防碰撞安全距离要求，且无防碰撞安全措施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9</w:t>
            </w:r>
          </w:p>
        </w:tc>
        <w:tc>
          <w:tcPr>
            <w:tcW w:w="7570" w:type="dxa"/>
            <w:vAlign w:val="center"/>
          </w:tcPr>
          <w:p>
            <w:pPr>
              <w:keepNext w:val="0"/>
              <w:keepLines w:val="0"/>
              <w:widowControl/>
              <w:suppressLineNumbers w:val="0"/>
              <w:jc w:val="both"/>
              <w:rPr>
                <w:rFonts w:hint="eastAsia" w:ascii="宋体" w:hAnsi="宋体" w:eastAsia="宋体" w:cs="宋体"/>
                <w:color w:val="0000FF"/>
                <w:sz w:val="21"/>
                <w:szCs w:val="21"/>
                <w:highlight w:val="none"/>
                <w:vertAlign w:val="baseline"/>
              </w:rPr>
            </w:pPr>
            <w:r>
              <w:rPr>
                <w:rFonts w:hint="eastAsia" w:ascii="宋体" w:hAnsi="宋体" w:eastAsia="宋体" w:cs="宋体"/>
                <w:color w:val="0000FF"/>
                <w:kern w:val="0"/>
                <w:sz w:val="21"/>
                <w:szCs w:val="21"/>
                <w:highlight w:val="none"/>
                <w:lang w:val="en-US" w:eastAsia="zh-CN" w:bidi="ar"/>
              </w:rPr>
              <w:t>大型机械专项检查整改反馈后，经复查发现问题整改存在弄虚作假现象。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10</w:t>
            </w:r>
          </w:p>
        </w:tc>
        <w:tc>
          <w:tcPr>
            <w:tcW w:w="7570" w:type="dxa"/>
            <w:vAlign w:val="center"/>
          </w:tcPr>
          <w:p>
            <w:pPr>
              <w:keepNext w:val="0"/>
              <w:keepLines w:val="0"/>
              <w:widowControl/>
              <w:suppressLineNumbers w:val="0"/>
              <w:jc w:val="both"/>
              <w:rPr>
                <w:rFonts w:hint="eastAsia" w:ascii="宋体" w:hAnsi="宋体" w:eastAsia="宋体" w:cs="宋体"/>
                <w:color w:val="0000FF"/>
                <w:sz w:val="21"/>
                <w:szCs w:val="21"/>
                <w:highlight w:val="none"/>
                <w:vertAlign w:val="baseline"/>
              </w:rPr>
            </w:pPr>
            <w:r>
              <w:rPr>
                <w:rFonts w:hint="eastAsia" w:ascii="宋体" w:hAnsi="宋体" w:eastAsia="宋体" w:cs="宋体"/>
                <w:color w:val="0000FF"/>
                <w:kern w:val="0"/>
                <w:sz w:val="21"/>
                <w:szCs w:val="21"/>
                <w:highlight w:val="none"/>
                <w:lang w:val="en-US" w:eastAsia="zh-CN" w:bidi="ar"/>
              </w:rPr>
              <w:t>深度≥5m 边坡，顶部临边防护缺失 5 处及以上，或漏设长度累计超过 5m;临边安全防护系统性缺失；高处作业（含作业人员重心高于栏杆高度的临空作业）未佩戴安全带或安全带（绳）无法起安全保护作用≥3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11</w:t>
            </w:r>
          </w:p>
        </w:tc>
        <w:tc>
          <w:tcPr>
            <w:tcW w:w="7570" w:type="dxa"/>
            <w:vAlign w:val="center"/>
          </w:tcPr>
          <w:p>
            <w:pPr>
              <w:keepNext w:val="0"/>
              <w:keepLines w:val="0"/>
              <w:widowControl/>
              <w:suppressLineNumbers w:val="0"/>
              <w:jc w:val="both"/>
              <w:rPr>
                <w:rFonts w:hint="eastAsia" w:ascii="宋体" w:hAnsi="宋体" w:eastAsia="宋体" w:cs="宋体"/>
                <w:color w:val="0000FF"/>
                <w:sz w:val="21"/>
                <w:szCs w:val="21"/>
                <w:highlight w:val="none"/>
                <w:vertAlign w:val="baseline"/>
              </w:rPr>
            </w:pPr>
            <w:r>
              <w:rPr>
                <w:rFonts w:hint="eastAsia" w:ascii="宋体" w:hAnsi="宋体" w:eastAsia="宋体" w:cs="宋体"/>
                <w:color w:val="0000FF"/>
                <w:kern w:val="0"/>
                <w:sz w:val="21"/>
                <w:szCs w:val="21"/>
                <w:highlight w:val="none"/>
                <w:lang w:val="en-US" w:eastAsia="zh-CN" w:bidi="ar"/>
              </w:rPr>
              <w:t>脚手架连墙件/附墙支座（含防坠器）大面积缺失或失效（应设置的部位连续缺失或失效超过≥3 处、单栋总计超过 5 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12</w:t>
            </w:r>
          </w:p>
        </w:tc>
        <w:tc>
          <w:tcPr>
            <w:tcW w:w="7570" w:type="dxa"/>
            <w:vAlign w:val="center"/>
          </w:tcPr>
          <w:p>
            <w:pPr>
              <w:keepNext w:val="0"/>
              <w:keepLines w:val="0"/>
              <w:widowControl/>
              <w:suppressLineNumbers w:val="0"/>
              <w:jc w:val="both"/>
              <w:rPr>
                <w:rFonts w:hint="eastAsia" w:ascii="宋体" w:hAnsi="宋体" w:eastAsia="宋体" w:cs="宋体"/>
                <w:color w:val="0000FF"/>
                <w:sz w:val="21"/>
                <w:szCs w:val="21"/>
                <w:highlight w:val="none"/>
                <w:vertAlign w:val="baseline"/>
              </w:rPr>
            </w:pPr>
            <w:r>
              <w:rPr>
                <w:rFonts w:hint="eastAsia" w:ascii="宋体" w:hAnsi="宋体" w:eastAsia="宋体" w:cs="宋体"/>
                <w:color w:val="0000FF"/>
                <w:kern w:val="0"/>
                <w:sz w:val="21"/>
                <w:szCs w:val="21"/>
                <w:highlight w:val="none"/>
                <w:lang w:val="en-US" w:eastAsia="zh-CN" w:bidi="ar"/>
              </w:rPr>
              <w:t>临建板房隔板夹心材料未达到 A 级防火阻燃要求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13</w:t>
            </w:r>
          </w:p>
        </w:tc>
        <w:tc>
          <w:tcPr>
            <w:tcW w:w="7570" w:type="dxa"/>
            <w:vAlign w:val="center"/>
          </w:tcPr>
          <w:p>
            <w:pPr>
              <w:keepNext w:val="0"/>
              <w:keepLines w:val="0"/>
              <w:widowControl/>
              <w:suppressLineNumbers w:val="0"/>
              <w:jc w:val="both"/>
              <w:rPr>
                <w:rFonts w:hint="eastAsia" w:ascii="宋体" w:hAnsi="宋体" w:eastAsia="宋体" w:cs="宋体"/>
                <w:color w:val="0000FF"/>
                <w:sz w:val="21"/>
                <w:szCs w:val="21"/>
                <w:highlight w:val="none"/>
                <w:vertAlign w:val="baseline"/>
              </w:rPr>
            </w:pPr>
            <w:r>
              <w:rPr>
                <w:rFonts w:hint="eastAsia" w:ascii="宋体" w:hAnsi="宋体" w:eastAsia="宋体" w:cs="宋体"/>
                <w:color w:val="0000FF"/>
                <w:kern w:val="0"/>
                <w:sz w:val="21"/>
                <w:szCs w:val="21"/>
                <w:highlight w:val="none"/>
                <w:lang w:val="en-US" w:eastAsia="zh-CN" w:bidi="ar"/>
              </w:rPr>
              <w:t>施工现场存在住人现象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14</w:t>
            </w:r>
          </w:p>
        </w:tc>
        <w:tc>
          <w:tcPr>
            <w:tcW w:w="7570" w:type="dxa"/>
            <w:vAlign w:val="center"/>
          </w:tcPr>
          <w:p>
            <w:pPr>
              <w:keepNext w:val="0"/>
              <w:keepLines w:val="0"/>
              <w:widowControl/>
              <w:suppressLineNumbers w:val="0"/>
              <w:jc w:val="both"/>
              <w:rPr>
                <w:rFonts w:hint="eastAsia" w:ascii="宋体" w:hAnsi="宋体" w:eastAsia="宋体" w:cs="宋体"/>
                <w:color w:val="0000FF"/>
                <w:sz w:val="21"/>
                <w:szCs w:val="21"/>
                <w:highlight w:val="none"/>
                <w:vertAlign w:val="baseline"/>
              </w:rPr>
            </w:pPr>
            <w:r>
              <w:rPr>
                <w:rFonts w:hint="eastAsia" w:ascii="宋体" w:hAnsi="宋体" w:eastAsia="宋体" w:cs="宋体"/>
                <w:color w:val="0000FF"/>
                <w:kern w:val="0"/>
                <w:sz w:val="21"/>
                <w:szCs w:val="21"/>
                <w:highlight w:val="none"/>
                <w:lang w:val="en-US" w:eastAsia="zh-CN" w:bidi="ar"/>
              </w:rPr>
              <w:t>未编制危大工程清单或危大工程施工方案未按要求审批及未按要求通过专家论证就进行施工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15</w:t>
            </w:r>
          </w:p>
        </w:tc>
        <w:tc>
          <w:tcPr>
            <w:tcW w:w="7570" w:type="dxa"/>
            <w:vAlign w:val="center"/>
          </w:tcPr>
          <w:p>
            <w:pPr>
              <w:keepNext w:val="0"/>
              <w:keepLines w:val="0"/>
              <w:widowControl/>
              <w:suppressLineNumbers w:val="0"/>
              <w:jc w:val="both"/>
              <w:rPr>
                <w:rFonts w:hint="eastAsia" w:ascii="宋体" w:hAnsi="宋体" w:eastAsia="宋体" w:cs="宋体"/>
                <w:color w:val="0000FF"/>
                <w:sz w:val="21"/>
                <w:szCs w:val="21"/>
                <w:highlight w:val="none"/>
                <w:vertAlign w:val="baseline"/>
              </w:rPr>
            </w:pPr>
            <w:r>
              <w:rPr>
                <w:rFonts w:hint="eastAsia" w:ascii="宋体" w:hAnsi="宋体" w:eastAsia="宋体" w:cs="宋体"/>
                <w:color w:val="0000FF"/>
                <w:kern w:val="0"/>
                <w:sz w:val="21"/>
                <w:szCs w:val="21"/>
                <w:highlight w:val="none"/>
                <w:lang w:val="en-US" w:eastAsia="zh-CN" w:bidi="ar"/>
              </w:rPr>
              <w:t>同一标段同一次检查出现触碰 5 个 B 级安全生产红线问题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restart"/>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eastAsia="zh-CN"/>
              </w:rPr>
            </w:pPr>
            <w:r>
              <w:rPr>
                <w:rFonts w:hint="eastAsia" w:ascii="宋体" w:hAnsi="宋体" w:eastAsia="宋体" w:cs="宋体"/>
                <w:b/>
                <w:bCs/>
                <w:color w:val="0000FF"/>
                <w:sz w:val="21"/>
                <w:szCs w:val="21"/>
                <w:highlight w:val="none"/>
                <w:vertAlign w:val="baseline"/>
                <w:lang w:eastAsia="zh-CN"/>
              </w:rPr>
              <w:t>结构安全</w:t>
            </w: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16</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单次评估，梁、墙、板、柱、基础结构截面尺寸负偏差超允许值 50%的情况超过已测点30%且存在5处及以上：梁、墙、板、柱截面尺寸允许误差范围[-5，+10]；筏板厚度允许误差范围[-10，+15]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17</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超过8m的大跨度构件或悬挑构件未达到方案要求拆模时间提前拆模；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18</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悬臂混凝土构件严禁使用后植筋；现场植筋部位无设计变更或设计手续不完善，植筋后未进行拉拔试验，梁、柱、墙钢筋植筋过程施工质量不满足设计及规范要求（植筋孔深、位置及钢筋规格，清孔处理，植筋胶材料选型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19</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地下室顶板堆载、行车无专项施工方案；超过地下室顶板允许施工荷载的堆载或行车等专项方案未经设计院复核（结构安全及裂缝验算）；未按照专项方案的措施执行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20</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地下室顶板或外墙混凝土强度未达到设计要求，顶板或外墙提前回填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21</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墙、柱、梁等承重结构开孔开洞、切除钢筋，且无结构设计变更或无未经设计认可的专项施工方案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22</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在钢筋混凝土构件上使用海砂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23</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桩基检测采用预选桩的方式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24</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钢筋工程检验批经项目各方隐蔽验收通过后，仍存在较大问题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restart"/>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r>
              <w:rPr>
                <w:rFonts w:hint="eastAsia" w:ascii="宋体" w:hAnsi="宋体" w:eastAsia="宋体" w:cs="宋体"/>
                <w:b/>
                <w:bCs/>
                <w:color w:val="0000FF"/>
                <w:kern w:val="0"/>
                <w:sz w:val="21"/>
                <w:szCs w:val="21"/>
                <w:highlight w:val="none"/>
                <w:lang w:val="en-US" w:eastAsia="zh-CN" w:bidi="ar"/>
              </w:rPr>
              <w:t>渗漏</w:t>
            </w: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25</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卫生间、厨房、楼阳台、屋面等反坎未按集团标准做法施工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26</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卫生间门槛石未按集团标准做法施工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27</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卫生间、阳露台地面砖未采用湿铺法施工。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28</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管线直接从防水反坎根部、推拉门底部塞缝处穿设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restart"/>
            <w:vAlign w:val="center"/>
          </w:tcPr>
          <w:p>
            <w:pPr>
              <w:keepNext w:val="0"/>
              <w:keepLines w:val="0"/>
              <w:widowControl/>
              <w:suppressLineNumbers w:val="0"/>
              <w:jc w:val="center"/>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空鼓</w:t>
            </w:r>
          </w:p>
          <w:p>
            <w:pPr>
              <w:keepNext w:val="0"/>
              <w:keepLines w:val="0"/>
              <w:widowControl/>
              <w:suppressLineNumbers w:val="0"/>
              <w:jc w:val="center"/>
              <w:rPr>
                <w:rFonts w:hint="eastAsia" w:ascii="宋体" w:hAnsi="宋体" w:eastAsia="宋体" w:cs="宋体"/>
                <w:color w:val="0000FF"/>
                <w:sz w:val="21"/>
                <w:szCs w:val="21"/>
                <w:highlight w:val="none"/>
                <w:vertAlign w:val="baseline"/>
              </w:rPr>
            </w:pPr>
            <w:r>
              <w:rPr>
                <w:rFonts w:hint="eastAsia" w:ascii="宋体" w:hAnsi="宋体" w:eastAsia="宋体" w:cs="宋体"/>
                <w:b/>
                <w:bCs/>
                <w:color w:val="0000FF"/>
                <w:kern w:val="0"/>
                <w:sz w:val="21"/>
                <w:szCs w:val="21"/>
                <w:highlight w:val="none"/>
                <w:lang w:val="en-US" w:eastAsia="zh-CN" w:bidi="ar"/>
              </w:rPr>
              <w:t>开裂</w:t>
            </w: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29</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在结构外挑翼板底部采用湿贴、胶粘（T 挂）石材或瓷砖等施工工艺。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30</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装饰构件、装饰线条、外墙外保温等未与主体结构有效连接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31</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公共区域规格超过300mm×600mm的瓷砖未使用挂贴或干挂等有效防止瓷砖脱落的工艺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r>
              <w:rPr>
                <w:rFonts w:hint="eastAsia" w:ascii="宋体" w:hAnsi="宋体" w:eastAsia="宋体" w:cs="宋体"/>
                <w:b/>
                <w:bCs/>
                <w:color w:val="0000FF"/>
                <w:kern w:val="0"/>
                <w:sz w:val="21"/>
                <w:szCs w:val="21"/>
                <w:highlight w:val="none"/>
                <w:lang w:val="en-US" w:eastAsia="zh-CN" w:bidi="ar"/>
              </w:rPr>
              <w:t>其他</w:t>
            </w: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32</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使用非合同约定品牌及型号的材料、设备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restart"/>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b/>
                <w:bCs/>
                <w:color w:val="0000FF"/>
                <w:sz w:val="21"/>
                <w:szCs w:val="21"/>
                <w:highlight w:val="none"/>
                <w:vertAlign w:val="baseline"/>
                <w:lang w:val="en-US" w:eastAsia="zh-CN"/>
              </w:rPr>
              <w:t>B级</w:t>
            </w:r>
          </w:p>
        </w:tc>
        <w:tc>
          <w:tcPr>
            <w:tcW w:w="810" w:type="dxa"/>
            <w:vMerge w:val="restart"/>
            <w:vAlign w:val="center"/>
          </w:tcPr>
          <w:p>
            <w:pPr>
              <w:keepNext w:val="0"/>
              <w:keepLines w:val="0"/>
              <w:widowControl/>
              <w:suppressLineNumbers w:val="0"/>
              <w:jc w:val="center"/>
              <w:rPr>
                <w:rFonts w:hint="eastAsia" w:ascii="宋体" w:hAnsi="宋体" w:eastAsia="宋体" w:cs="宋体"/>
                <w:b/>
                <w:bCs/>
                <w:color w:val="0000FF"/>
                <w:kern w:val="0"/>
                <w:sz w:val="21"/>
                <w:szCs w:val="21"/>
                <w:highlight w:val="none"/>
                <w:lang w:val="en-US" w:eastAsia="zh-CN" w:bidi="ar"/>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1</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基坑周边存在超过设计要求的地面荷载限值的施工材料、设施或车辆荷载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b/>
                <w:bCs/>
                <w:color w:val="0000FF"/>
                <w:kern w:val="0"/>
                <w:sz w:val="21"/>
                <w:szCs w:val="21"/>
                <w:highlight w:val="none"/>
                <w:lang w:val="en-US" w:eastAsia="zh-CN" w:bidi="ar"/>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2</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支护结构施工完成后（已投入使用）未按照设计或规范要求进行支护结构检测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b/>
                <w:bCs/>
                <w:color w:val="0000FF"/>
                <w:kern w:val="0"/>
                <w:sz w:val="21"/>
                <w:szCs w:val="21"/>
                <w:highlight w:val="none"/>
                <w:lang w:val="en-US" w:eastAsia="zh-CN" w:bidi="ar"/>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3</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基坑施工前，未按照设计及方案要求编制基坑工程监测方案，对基坑施工安全等级为一级的基坑工程，未进行基坑安全监测方案的专家评审或监测方案未按照专家评审意见进行补充、调整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b/>
                <w:bCs/>
                <w:color w:val="0000FF"/>
                <w:kern w:val="0"/>
                <w:sz w:val="21"/>
                <w:szCs w:val="21"/>
                <w:highlight w:val="none"/>
                <w:lang w:val="en-US" w:eastAsia="zh-CN" w:bidi="ar"/>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4</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开挖深度超过5m的基坑，土方开挖深度、分层开挖顺序及临时边坡放坡与施工方案不符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b/>
                <w:bCs/>
                <w:color w:val="0000FF"/>
                <w:kern w:val="0"/>
                <w:sz w:val="21"/>
                <w:szCs w:val="21"/>
                <w:highlight w:val="none"/>
                <w:lang w:val="en-US" w:eastAsia="zh-CN" w:bidi="ar"/>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5</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对特殊条件下施工安全等级为一级、超过设计使用年限的基坑工程未未重新进行验算、论证、编制方案，或未按照方案、论证执行。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b/>
                <w:bCs/>
                <w:color w:val="0000FF"/>
                <w:kern w:val="0"/>
                <w:sz w:val="21"/>
                <w:szCs w:val="21"/>
                <w:highlight w:val="none"/>
                <w:lang w:val="en-US" w:eastAsia="zh-CN" w:bidi="ar"/>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6</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2m＜深度＜5m的边坡，顶部临边防护缺失5处及以上，或漏设长度累计超过5m；楼层临边防护缺失（阳台栏杆未设置≥2层或5处；窗户玻璃安装滞后≥2 层,且未设置有效的安全防护）；单栋楼电梯井防护门(含室内电梯安装)缺失累计超过2层或≥4扇；垂直同一位置短边尺寸大于30cm的水平洞口防护连续缺失≥2层或整栋缺失≥5 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b/>
                <w:bCs/>
                <w:color w:val="0000FF"/>
                <w:kern w:val="0"/>
                <w:sz w:val="21"/>
                <w:szCs w:val="21"/>
                <w:highlight w:val="none"/>
                <w:lang w:val="en-US" w:eastAsia="zh-CN" w:bidi="ar"/>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7</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吊篮构配件钢丝绳未按方案安装，未经检测、验收即使用；吊篮配重缺失；限位器缺失或安全锁超过标定有效期限；吊篮平台使用完悬挂在空中；同一吊篮内作业人员超过2人。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b/>
                <w:bCs/>
                <w:color w:val="0000FF"/>
                <w:kern w:val="0"/>
                <w:sz w:val="21"/>
                <w:szCs w:val="21"/>
                <w:highlight w:val="none"/>
                <w:lang w:val="en-US" w:eastAsia="zh-CN" w:bidi="ar"/>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8</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高处作业（含作业人员重心高于栏杆高度的临空作业）未佩戴安全带或安全带（绳）无法起安全保护作用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b/>
                <w:bCs/>
                <w:color w:val="0000FF"/>
                <w:kern w:val="0"/>
                <w:sz w:val="21"/>
                <w:szCs w:val="21"/>
                <w:highlight w:val="none"/>
                <w:lang w:val="en-US" w:eastAsia="zh-CN" w:bidi="ar"/>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9</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安全通道、施工升降机防护棚未设置或顶部未设置硬质防砸措施。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b/>
                <w:bCs/>
                <w:color w:val="0000FF"/>
                <w:kern w:val="0"/>
                <w:sz w:val="21"/>
                <w:szCs w:val="21"/>
                <w:highlight w:val="none"/>
                <w:lang w:val="en-US" w:eastAsia="zh-CN" w:bidi="ar"/>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10</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汽车吊、泵车、桩基设备支腿不稳或基础不牢靠的；桩机进场未验收即投入使用；钢丝绳达到报废标准未及时更换。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b/>
                <w:bCs/>
                <w:color w:val="0000FF"/>
                <w:kern w:val="0"/>
                <w:sz w:val="21"/>
                <w:szCs w:val="21"/>
                <w:highlight w:val="none"/>
                <w:lang w:val="en-US" w:eastAsia="zh-CN" w:bidi="ar"/>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11</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未搭设塔吊司机专用安全通道，使用方木、跳板代替或搭设不规范存在重大安全隐患。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b/>
                <w:bCs/>
                <w:color w:val="0000FF"/>
                <w:kern w:val="0"/>
                <w:sz w:val="21"/>
                <w:szCs w:val="21"/>
                <w:highlight w:val="none"/>
                <w:lang w:val="en-US" w:eastAsia="zh-CN" w:bidi="ar"/>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12</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非施工电梯司机驾驶施工电梯。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b/>
                <w:bCs/>
                <w:color w:val="0000FF"/>
                <w:kern w:val="0"/>
                <w:sz w:val="21"/>
                <w:szCs w:val="21"/>
                <w:highlight w:val="none"/>
                <w:lang w:val="en-US" w:eastAsia="zh-CN" w:bidi="ar"/>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13</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未采取三级配电两级保护；未采用TN-S配电系统；漏电保护器未配备或失效≥3处；临时用电配电房积水。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b/>
                <w:bCs/>
                <w:color w:val="0000FF"/>
                <w:kern w:val="0"/>
                <w:sz w:val="21"/>
                <w:szCs w:val="21"/>
                <w:highlight w:val="none"/>
                <w:lang w:val="en-US" w:eastAsia="zh-CN" w:bidi="ar"/>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14</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在建工程设施与外电线路安全距离不足，且未采取防护措施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b/>
                <w:bCs/>
                <w:color w:val="0000FF"/>
                <w:kern w:val="0"/>
                <w:sz w:val="21"/>
                <w:szCs w:val="21"/>
                <w:highlight w:val="none"/>
                <w:lang w:val="en-US" w:eastAsia="zh-CN" w:bidi="ar"/>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15</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悬挑卸料平台周围未封闭，工字钢、钢丝绳锚环位置砼开裂严重，工字钢末端固定不牢固；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b/>
                <w:bCs/>
                <w:color w:val="0000FF"/>
                <w:kern w:val="0"/>
                <w:sz w:val="21"/>
                <w:szCs w:val="21"/>
                <w:highlight w:val="none"/>
                <w:lang w:val="en-US" w:eastAsia="zh-CN" w:bidi="ar"/>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16</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悬挑工字钢严重锈蚀，工字钢悬挑段与固定段比例不符合安全要求且无加固措施，单层≥3 处；脚手架架体变形严重；爬架受力构件变形严重、附墙支座混凝土开裂未采取加固补救措施的。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b/>
                <w:bCs/>
                <w:color w:val="0000FF"/>
                <w:kern w:val="0"/>
                <w:sz w:val="21"/>
                <w:szCs w:val="21"/>
                <w:highlight w:val="none"/>
                <w:lang w:val="en-US" w:eastAsia="zh-CN" w:bidi="ar"/>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17</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模板、叠合板等的支撑架杆件系统性缺失或未能起到应有的支撑作用；模板、叠合板等的支撑架与外架连接超过2处。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b/>
                <w:bCs/>
                <w:color w:val="0000FF"/>
                <w:kern w:val="0"/>
                <w:sz w:val="21"/>
                <w:szCs w:val="21"/>
                <w:highlight w:val="none"/>
                <w:lang w:val="en-US" w:eastAsia="zh-CN" w:bidi="ar"/>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18</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任意施工阶段同一楼栋灭火器连续缺失或失效≥3层。易燃物品周围动火作业未配备有效的消防器材≥3处。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b/>
                <w:bCs/>
                <w:color w:val="0000FF"/>
                <w:kern w:val="0"/>
                <w:sz w:val="21"/>
                <w:szCs w:val="21"/>
                <w:highlight w:val="none"/>
                <w:lang w:val="en-US" w:eastAsia="zh-CN" w:bidi="ar"/>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19</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建筑高度大于24m或单体体积超过30000m³，未设置临时室内消防给水系统或无消防水；楼层消防栓接口滞后于作业层≥3层。当临建建筑面积之和＞1000㎡或在建工程单体体积大于10000m³，且不在市政消火栓有效保护范围内时，未设置室外消防给水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restart"/>
            <w:vAlign w:val="center"/>
          </w:tcPr>
          <w:p>
            <w:pPr>
              <w:keepNext w:val="0"/>
              <w:keepLines w:val="0"/>
              <w:widowControl/>
              <w:suppressLineNumbers w:val="0"/>
              <w:jc w:val="center"/>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结构</w:t>
            </w:r>
          </w:p>
          <w:p>
            <w:pPr>
              <w:keepNext w:val="0"/>
              <w:keepLines w:val="0"/>
              <w:widowControl/>
              <w:suppressLineNumbers w:val="0"/>
              <w:jc w:val="center"/>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安全</w:t>
            </w:r>
          </w:p>
          <w:p>
            <w:pPr>
              <w:keepNext w:val="0"/>
              <w:keepLines w:val="0"/>
              <w:widowControl/>
              <w:suppressLineNumbers w:val="0"/>
              <w:jc w:val="center"/>
              <w:rPr>
                <w:rFonts w:hint="eastAsia" w:ascii="宋体" w:hAnsi="宋体" w:eastAsia="宋体" w:cs="宋体"/>
                <w:b/>
                <w:bCs/>
                <w:color w:val="0000FF"/>
                <w:kern w:val="0"/>
                <w:sz w:val="21"/>
                <w:szCs w:val="21"/>
                <w:highlight w:val="none"/>
                <w:lang w:val="en-US" w:eastAsia="zh-CN" w:bidi="ar"/>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20</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景观建筑、构筑物的结构未经有资质的设计院盖章出施工图即施工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b/>
                <w:bCs/>
                <w:color w:val="0000FF"/>
                <w:kern w:val="0"/>
                <w:sz w:val="21"/>
                <w:szCs w:val="21"/>
                <w:highlight w:val="none"/>
                <w:lang w:val="en-US" w:eastAsia="zh-CN" w:bidi="ar"/>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21</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后浇带周边悬臂构件未搭设独立支撑，或独立支撑在后浇带封闭前提前拆除，先拆后搭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b/>
                <w:bCs/>
                <w:color w:val="0000FF"/>
                <w:kern w:val="0"/>
                <w:sz w:val="21"/>
                <w:szCs w:val="21"/>
                <w:highlight w:val="none"/>
                <w:lang w:val="en-US" w:eastAsia="zh-CN" w:bidi="ar"/>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22</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单次评估，梁、墙、板、柱、基础结构截面尺寸负偏差超允许值50%的情况超过已测点15%且存在3处及以上：梁、墙、板、柱截面尺寸允许误差范围[-5，+10]；筏板厚度允许误差范围[-10，+15]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b/>
                <w:bCs/>
                <w:color w:val="0000FF"/>
                <w:kern w:val="0"/>
                <w:sz w:val="21"/>
                <w:szCs w:val="21"/>
                <w:highlight w:val="none"/>
                <w:lang w:val="en-US" w:eastAsia="zh-CN" w:bidi="ar"/>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23</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塔吊、后浇带位置不合理导致人防门、人防洞口及转换梁无法一次施工完整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b/>
                <w:bCs/>
                <w:color w:val="0000FF"/>
                <w:kern w:val="0"/>
                <w:sz w:val="21"/>
                <w:szCs w:val="21"/>
                <w:highlight w:val="none"/>
                <w:lang w:val="en-US" w:eastAsia="zh-CN" w:bidi="ar"/>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24</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楼板钢筋植筋过程施工质量不满足设计及规范要求（植筋孔深、位置及钢筋规格，清孔处理，植筋胶材料选型等）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b/>
                <w:bCs/>
                <w:color w:val="0000FF"/>
                <w:kern w:val="0"/>
                <w:sz w:val="21"/>
                <w:szCs w:val="21"/>
                <w:highlight w:val="none"/>
                <w:lang w:val="en-US" w:eastAsia="zh-CN" w:bidi="ar"/>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25</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地下室底板浇筑之前，未取得有资质的检测单位提供的桩基检测报告或中间报告。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restart"/>
            <w:vAlign w:val="center"/>
          </w:tcPr>
          <w:p>
            <w:pPr>
              <w:keepNext w:val="0"/>
              <w:keepLines w:val="0"/>
              <w:widowControl/>
              <w:suppressLineNumbers w:val="0"/>
              <w:jc w:val="center"/>
              <w:rPr>
                <w:rFonts w:hint="eastAsia" w:ascii="宋体" w:hAnsi="宋体" w:eastAsia="宋体" w:cs="宋体"/>
                <w:b/>
                <w:bCs/>
                <w:color w:val="0000FF"/>
                <w:kern w:val="0"/>
                <w:sz w:val="21"/>
                <w:szCs w:val="21"/>
                <w:highlight w:val="none"/>
                <w:lang w:val="en-US" w:eastAsia="zh-CN" w:bidi="ar"/>
              </w:rPr>
            </w:pPr>
            <w:r>
              <w:rPr>
                <w:rFonts w:hint="eastAsia" w:ascii="宋体" w:hAnsi="宋体" w:eastAsia="宋体" w:cs="宋体"/>
                <w:b/>
                <w:bCs/>
                <w:color w:val="0000FF"/>
                <w:kern w:val="0"/>
                <w:sz w:val="21"/>
                <w:szCs w:val="21"/>
                <w:highlight w:val="none"/>
                <w:lang w:val="en-US" w:eastAsia="zh-CN" w:bidi="ar"/>
              </w:rPr>
              <w:t>渗漏</w:t>
            </w: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26</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窗户采用</w:t>
            </w:r>
            <w:r>
              <w:rPr>
                <w:rFonts w:hint="eastAsia" w:ascii="宋体" w:hAnsi="宋体" w:eastAsia="宋体" w:cs="宋体"/>
                <w:b/>
                <w:bCs/>
                <w:color w:val="0000FF"/>
                <w:kern w:val="0"/>
                <w:sz w:val="21"/>
                <w:szCs w:val="21"/>
                <w:highlight w:val="none"/>
                <w:lang w:val="en-US" w:eastAsia="zh-CN" w:bidi="ar"/>
              </w:rPr>
              <w:t>干硬性</w:t>
            </w:r>
            <w:r>
              <w:rPr>
                <w:rFonts w:hint="eastAsia" w:ascii="宋体" w:hAnsi="宋体" w:eastAsia="宋体" w:cs="宋体"/>
                <w:color w:val="0000FF"/>
                <w:kern w:val="0"/>
                <w:sz w:val="21"/>
                <w:szCs w:val="21"/>
                <w:highlight w:val="none"/>
                <w:lang w:val="en-US" w:eastAsia="zh-CN" w:bidi="ar"/>
              </w:rPr>
              <w:t>水泥砂浆塞缝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b/>
                <w:bCs/>
                <w:color w:val="0000FF"/>
                <w:kern w:val="0"/>
                <w:sz w:val="21"/>
                <w:szCs w:val="21"/>
                <w:highlight w:val="none"/>
                <w:lang w:val="en-US" w:eastAsia="zh-CN" w:bidi="ar"/>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27</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止水节未按集团指引要求安装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b/>
                <w:bCs/>
                <w:color w:val="0000FF"/>
                <w:kern w:val="0"/>
                <w:sz w:val="21"/>
                <w:szCs w:val="21"/>
                <w:highlight w:val="none"/>
                <w:lang w:val="en-US" w:eastAsia="zh-CN" w:bidi="ar"/>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28</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外墙预留洞口未采用混凝土封堵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b/>
                <w:bCs/>
                <w:color w:val="0000FF"/>
                <w:kern w:val="0"/>
                <w:sz w:val="21"/>
                <w:szCs w:val="21"/>
                <w:highlight w:val="none"/>
                <w:lang w:val="en-US" w:eastAsia="zh-CN" w:bidi="ar"/>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29</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外墙螺栓孔未封堵就进行甩浆、抹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b/>
                <w:bCs/>
                <w:color w:val="0000FF"/>
                <w:kern w:val="0"/>
                <w:sz w:val="21"/>
                <w:szCs w:val="21"/>
                <w:highlight w:val="none"/>
                <w:lang w:val="en-US" w:eastAsia="zh-CN" w:bidi="ar"/>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30</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屋面、卫生间、阳露台等有水部位的洞口封堵采用铁丝吊洞工艺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b/>
                <w:bCs/>
                <w:color w:val="0000FF"/>
                <w:kern w:val="0"/>
                <w:sz w:val="21"/>
                <w:szCs w:val="21"/>
                <w:highlight w:val="none"/>
                <w:lang w:val="en-US" w:eastAsia="zh-CN" w:bidi="ar"/>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31</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受雨水影响的入户门门槛未采用细石混凝土灌浆密实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restart"/>
            <w:vAlign w:val="center"/>
          </w:tcPr>
          <w:p>
            <w:pPr>
              <w:keepNext w:val="0"/>
              <w:keepLines w:val="0"/>
              <w:widowControl/>
              <w:suppressLineNumbers w:val="0"/>
              <w:jc w:val="center"/>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空鼓</w:t>
            </w:r>
          </w:p>
          <w:p>
            <w:pPr>
              <w:keepNext w:val="0"/>
              <w:keepLines w:val="0"/>
              <w:widowControl/>
              <w:suppressLineNumbers w:val="0"/>
              <w:jc w:val="center"/>
              <w:rPr>
                <w:rFonts w:hint="eastAsia" w:ascii="宋体" w:hAnsi="宋体" w:eastAsia="宋体" w:cs="宋体"/>
                <w:b/>
                <w:bCs/>
                <w:color w:val="0000FF"/>
                <w:kern w:val="0"/>
                <w:sz w:val="21"/>
                <w:szCs w:val="21"/>
                <w:highlight w:val="none"/>
                <w:lang w:val="en-US" w:eastAsia="zh-CN" w:bidi="ar"/>
              </w:rPr>
            </w:pPr>
            <w:r>
              <w:rPr>
                <w:rFonts w:hint="eastAsia" w:ascii="宋体" w:hAnsi="宋体" w:eastAsia="宋体" w:cs="宋体"/>
                <w:b/>
                <w:bCs/>
                <w:color w:val="0000FF"/>
                <w:kern w:val="0"/>
                <w:sz w:val="21"/>
                <w:szCs w:val="21"/>
                <w:highlight w:val="none"/>
                <w:lang w:val="en-US" w:eastAsia="zh-CN" w:bidi="ar"/>
              </w:rPr>
              <w:t>开裂</w:t>
            </w: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32</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砌体灰缝砌筑砂浆（粘结剂）不饱满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b/>
                <w:bCs/>
                <w:color w:val="0000FF"/>
                <w:kern w:val="0"/>
                <w:sz w:val="21"/>
                <w:szCs w:val="21"/>
                <w:highlight w:val="none"/>
                <w:lang w:val="en-US" w:eastAsia="zh-CN" w:bidi="ar"/>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33</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外墙抹灰未按规范要求设置分隔缝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b/>
                <w:bCs/>
                <w:color w:val="0000FF"/>
                <w:kern w:val="0"/>
                <w:sz w:val="21"/>
                <w:szCs w:val="21"/>
                <w:highlight w:val="none"/>
                <w:lang w:val="en-US" w:eastAsia="zh-CN" w:bidi="ar"/>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34</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外墙抹灰厚度超过 30mm 未按规范要求采取防脱落、防空鼓开裂措施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restart"/>
            <w:vAlign w:val="center"/>
          </w:tcPr>
          <w:p>
            <w:pPr>
              <w:keepNext w:val="0"/>
              <w:keepLines w:val="0"/>
              <w:widowControl/>
              <w:suppressLineNumbers w:val="0"/>
              <w:jc w:val="center"/>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使用</w:t>
            </w:r>
          </w:p>
          <w:p>
            <w:pPr>
              <w:keepNext w:val="0"/>
              <w:keepLines w:val="0"/>
              <w:widowControl/>
              <w:suppressLineNumbers w:val="0"/>
              <w:jc w:val="center"/>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功能</w:t>
            </w:r>
          </w:p>
          <w:p>
            <w:pPr>
              <w:keepNext w:val="0"/>
              <w:keepLines w:val="0"/>
              <w:widowControl/>
              <w:suppressLineNumbers w:val="0"/>
              <w:jc w:val="center"/>
              <w:rPr>
                <w:rFonts w:hint="eastAsia" w:ascii="宋体" w:hAnsi="宋体" w:eastAsia="宋体" w:cs="宋体"/>
                <w:b/>
                <w:bCs/>
                <w:color w:val="0000FF"/>
                <w:kern w:val="0"/>
                <w:sz w:val="21"/>
                <w:szCs w:val="21"/>
                <w:highlight w:val="none"/>
                <w:lang w:val="en-US" w:eastAsia="zh-CN" w:bidi="ar"/>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35</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立杆固定方式与设计图纸不符；栏杆固定不牢固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b/>
                <w:bCs/>
                <w:color w:val="0000FF"/>
                <w:kern w:val="0"/>
                <w:sz w:val="21"/>
                <w:szCs w:val="21"/>
                <w:highlight w:val="none"/>
                <w:lang w:val="en-US" w:eastAsia="zh-CN" w:bidi="ar"/>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36</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在铝合金窗塞缝砂浆上使用海砂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b/>
                <w:bCs/>
                <w:color w:val="0000FF"/>
                <w:kern w:val="0"/>
                <w:sz w:val="21"/>
                <w:szCs w:val="21"/>
                <w:highlight w:val="none"/>
                <w:lang w:val="en-US" w:eastAsia="zh-CN" w:bidi="ar"/>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37</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卫生间等电位未连线或接地扁钢未固定；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b/>
                <w:bCs/>
                <w:color w:val="0000FF"/>
                <w:kern w:val="0"/>
                <w:sz w:val="21"/>
                <w:szCs w:val="21"/>
                <w:highlight w:val="none"/>
                <w:lang w:val="en-US" w:eastAsia="zh-CN" w:bidi="ar"/>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38</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室内应做防腐防锈的支吊架未做处理即进行安装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b/>
                <w:bCs/>
                <w:color w:val="0000FF"/>
                <w:kern w:val="0"/>
                <w:sz w:val="21"/>
                <w:szCs w:val="21"/>
                <w:highlight w:val="none"/>
                <w:lang w:val="en-US" w:eastAsia="zh-CN" w:bidi="ar"/>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39</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室外应做防腐防锈的金属构件、管道未做处理即进行回填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b/>
                <w:bCs/>
                <w:color w:val="0000FF"/>
                <w:kern w:val="0"/>
                <w:sz w:val="21"/>
                <w:szCs w:val="21"/>
                <w:highlight w:val="none"/>
                <w:lang w:val="en-US" w:eastAsia="zh-CN" w:bidi="ar"/>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40</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阀门未设置阀门井直接埋设在土壤中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b/>
                <w:bCs/>
                <w:color w:val="0000FF"/>
                <w:kern w:val="0"/>
                <w:sz w:val="21"/>
                <w:szCs w:val="21"/>
                <w:highlight w:val="none"/>
                <w:lang w:val="en-US" w:eastAsia="zh-CN" w:bidi="ar"/>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41</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装修木作未做三防处理即进行施工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6" w:type="dxa"/>
            <w:vMerge w:val="continue"/>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rPr>
            </w:pPr>
          </w:p>
        </w:tc>
        <w:tc>
          <w:tcPr>
            <w:tcW w:w="810" w:type="dxa"/>
            <w:vMerge w:val="continue"/>
            <w:vAlign w:val="center"/>
          </w:tcPr>
          <w:p>
            <w:pPr>
              <w:keepNext w:val="0"/>
              <w:keepLines w:val="0"/>
              <w:widowControl/>
              <w:suppressLineNumbers w:val="0"/>
              <w:jc w:val="center"/>
              <w:rPr>
                <w:rFonts w:hint="eastAsia" w:ascii="宋体" w:hAnsi="宋体" w:eastAsia="宋体" w:cs="宋体"/>
                <w:b/>
                <w:bCs/>
                <w:color w:val="0000FF"/>
                <w:kern w:val="0"/>
                <w:sz w:val="21"/>
                <w:szCs w:val="21"/>
                <w:highlight w:val="none"/>
                <w:lang w:val="en-US" w:eastAsia="zh-CN" w:bidi="ar"/>
              </w:rPr>
            </w:pPr>
          </w:p>
        </w:tc>
        <w:tc>
          <w:tcPr>
            <w:tcW w:w="720" w:type="dxa"/>
            <w:vAlign w:val="center"/>
          </w:tcPr>
          <w:p>
            <w:pPr>
              <w:keepNext w:val="0"/>
              <w:keepLines w:val="0"/>
              <w:widowControl/>
              <w:suppressLineNumbers w:val="0"/>
              <w:jc w:val="center"/>
              <w:rPr>
                <w:rFonts w:hint="eastAsia" w:ascii="宋体" w:hAnsi="宋体" w:eastAsia="宋体" w:cs="宋体"/>
                <w:color w:val="0000FF"/>
                <w:sz w:val="21"/>
                <w:szCs w:val="21"/>
                <w:highlight w:val="none"/>
                <w:vertAlign w:val="baseline"/>
                <w:lang w:val="en-US" w:eastAsia="zh-CN"/>
              </w:rPr>
            </w:pPr>
            <w:r>
              <w:rPr>
                <w:rFonts w:hint="eastAsia" w:ascii="宋体" w:hAnsi="宋体" w:eastAsia="宋体" w:cs="宋体"/>
                <w:color w:val="0000FF"/>
                <w:sz w:val="21"/>
                <w:szCs w:val="21"/>
                <w:highlight w:val="none"/>
                <w:vertAlign w:val="baseline"/>
                <w:lang w:val="en-US" w:eastAsia="zh-CN"/>
              </w:rPr>
              <w:t>42</w:t>
            </w:r>
          </w:p>
        </w:tc>
        <w:tc>
          <w:tcPr>
            <w:tcW w:w="7570" w:type="dxa"/>
            <w:vAlign w:val="center"/>
          </w:tcPr>
          <w:p>
            <w:pPr>
              <w:keepNext w:val="0"/>
              <w:keepLines w:val="0"/>
              <w:widowControl/>
              <w:suppressLineNumbers w:val="0"/>
              <w:jc w:val="both"/>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室外雨污水管网铺设构造未按图纸或规范要求施工</w:t>
            </w:r>
          </w:p>
        </w:tc>
      </w:tr>
    </w:tbl>
    <w:p>
      <w:pPr>
        <w:keepNext w:val="0"/>
        <w:keepLines w:val="0"/>
        <w:widowControl/>
        <w:suppressLineNumbers w:val="0"/>
        <w:jc w:val="left"/>
        <w:rPr>
          <w:highlight w:val="none"/>
        </w:rPr>
      </w:pPr>
    </w:p>
    <w:p>
      <w:pPr>
        <w:keepNext w:val="0"/>
        <w:keepLines w:val="0"/>
        <w:widowControl/>
        <w:suppressLineNumbers w:val="0"/>
        <w:jc w:val="left"/>
        <w:rPr>
          <w:rFonts w:hint="eastAsia" w:ascii="仿宋" w:hAnsi="仿宋" w:eastAsia="仿宋" w:cs="仿宋"/>
          <w:color w:val="000000"/>
          <w:kern w:val="0"/>
          <w:sz w:val="20"/>
          <w:szCs w:val="20"/>
          <w:highlight w:val="none"/>
          <w:lang w:val="en-US" w:eastAsia="zh-CN" w:bidi="ar"/>
        </w:rPr>
      </w:pPr>
    </w:p>
    <w:p>
      <w:pPr>
        <w:keepNext w:val="0"/>
        <w:keepLines w:val="0"/>
        <w:widowControl/>
        <w:suppressLineNumbers w:val="0"/>
        <w:jc w:val="left"/>
        <w:rPr>
          <w:rFonts w:hint="eastAsia" w:ascii="宋体" w:hAnsi="宋体" w:eastAsia="宋体" w:cs="宋体"/>
          <w:color w:val="000000"/>
          <w:kern w:val="0"/>
          <w:sz w:val="24"/>
          <w:szCs w:val="24"/>
          <w:highlight w:val="none"/>
          <w:lang w:val="en-US" w:eastAsia="zh-CN" w:bidi="ar"/>
        </w:rPr>
      </w:pPr>
    </w:p>
    <w:p>
      <w:pPr>
        <w:keepNext w:val="0"/>
        <w:keepLines w:val="0"/>
        <w:widowControl/>
        <w:suppressLineNumbers w:val="0"/>
        <w:jc w:val="left"/>
        <w:rPr>
          <w:rFonts w:hint="eastAsia" w:ascii="宋体" w:hAnsi="宋体" w:eastAsia="宋体" w:cs="宋体"/>
          <w:color w:val="000000"/>
          <w:kern w:val="0"/>
          <w:sz w:val="24"/>
          <w:szCs w:val="24"/>
          <w:highlight w:val="none"/>
          <w:lang w:val="en-US" w:eastAsia="zh-CN" w:bidi="ar"/>
        </w:rPr>
      </w:pPr>
    </w:p>
    <w:p>
      <w:pPr>
        <w:keepNext w:val="0"/>
        <w:keepLines w:val="0"/>
        <w:widowControl/>
        <w:suppressLineNumbers w:val="0"/>
        <w:jc w:val="left"/>
        <w:rPr>
          <w:rFonts w:hint="eastAsia" w:ascii="宋体" w:hAnsi="宋体" w:eastAsia="宋体" w:cs="宋体"/>
          <w:color w:val="000000"/>
          <w:kern w:val="0"/>
          <w:sz w:val="24"/>
          <w:szCs w:val="24"/>
          <w:highlight w:val="none"/>
          <w:lang w:val="en-US" w:eastAsia="zh-CN" w:bidi="ar"/>
        </w:rPr>
      </w:pPr>
    </w:p>
    <w:p>
      <w:pPr>
        <w:keepNext w:val="0"/>
        <w:keepLines w:val="0"/>
        <w:widowControl/>
        <w:suppressLineNumbers w:val="0"/>
        <w:jc w:val="left"/>
        <w:rPr>
          <w:rFonts w:hint="eastAsia" w:ascii="宋体" w:hAnsi="宋体" w:eastAsia="宋体" w:cs="宋体"/>
          <w:color w:val="000000"/>
          <w:kern w:val="0"/>
          <w:sz w:val="24"/>
          <w:szCs w:val="24"/>
          <w:highlight w:val="none"/>
          <w:lang w:val="en-US" w:eastAsia="zh-CN" w:bidi="ar"/>
        </w:rPr>
      </w:pPr>
    </w:p>
    <w:p>
      <w:pPr>
        <w:keepNext w:val="0"/>
        <w:keepLines w:val="0"/>
        <w:widowControl/>
        <w:suppressLineNumbers w:val="0"/>
        <w:jc w:val="left"/>
        <w:rPr>
          <w:rFonts w:hint="eastAsia" w:ascii="宋体" w:hAnsi="宋体" w:eastAsia="宋体" w:cs="宋体"/>
          <w:color w:val="000000"/>
          <w:kern w:val="0"/>
          <w:sz w:val="24"/>
          <w:szCs w:val="24"/>
          <w:highlight w:val="none"/>
          <w:lang w:val="en-US" w:eastAsia="zh-CN" w:bidi="ar"/>
        </w:rPr>
      </w:pPr>
    </w:p>
    <w:p>
      <w:pPr>
        <w:keepNext w:val="0"/>
        <w:keepLines w:val="0"/>
        <w:widowControl/>
        <w:suppressLineNumbers w:val="0"/>
        <w:jc w:val="left"/>
        <w:rPr>
          <w:rFonts w:hint="eastAsia" w:ascii="宋体" w:hAnsi="宋体" w:eastAsia="宋体" w:cs="宋体"/>
          <w:color w:val="000000"/>
          <w:kern w:val="0"/>
          <w:sz w:val="24"/>
          <w:szCs w:val="24"/>
          <w:highlight w:val="none"/>
          <w:lang w:val="en-US" w:eastAsia="zh-CN" w:bidi="ar"/>
        </w:rPr>
      </w:pPr>
    </w:p>
    <w:p>
      <w:pPr>
        <w:keepNext w:val="0"/>
        <w:keepLines w:val="0"/>
        <w:widowControl/>
        <w:suppressLineNumbers w:val="0"/>
        <w:jc w:val="left"/>
        <w:rPr>
          <w:rFonts w:hint="eastAsia" w:ascii="宋体" w:hAnsi="宋体" w:eastAsia="宋体" w:cs="宋体"/>
          <w:color w:val="000000"/>
          <w:kern w:val="0"/>
          <w:sz w:val="24"/>
          <w:szCs w:val="24"/>
          <w:highlight w:val="none"/>
          <w:lang w:val="en-US" w:eastAsia="zh-CN" w:bidi="ar"/>
        </w:rPr>
      </w:pPr>
    </w:p>
    <w:p>
      <w:pPr>
        <w:keepNext w:val="0"/>
        <w:keepLines w:val="0"/>
        <w:widowControl/>
        <w:suppressLineNumbers w:val="0"/>
        <w:jc w:val="left"/>
        <w:rPr>
          <w:rFonts w:hint="eastAsia" w:ascii="宋体" w:hAnsi="宋体" w:eastAsia="宋体" w:cs="宋体"/>
          <w:color w:val="000000"/>
          <w:kern w:val="0"/>
          <w:sz w:val="24"/>
          <w:szCs w:val="24"/>
          <w:highlight w:val="none"/>
          <w:lang w:val="en-US" w:eastAsia="zh-CN" w:bidi="ar"/>
        </w:rPr>
      </w:pPr>
    </w:p>
    <w:p>
      <w:pPr>
        <w:keepNext w:val="0"/>
        <w:keepLines w:val="0"/>
        <w:widowControl/>
        <w:suppressLineNumbers w:val="0"/>
        <w:jc w:val="left"/>
        <w:rPr>
          <w:rFonts w:hint="eastAsia" w:ascii="宋体" w:hAnsi="宋体" w:eastAsia="宋体" w:cs="宋体"/>
          <w:color w:val="000000"/>
          <w:kern w:val="0"/>
          <w:sz w:val="24"/>
          <w:szCs w:val="24"/>
          <w:highlight w:val="none"/>
          <w:lang w:val="en-US" w:eastAsia="zh-CN" w:bidi="ar"/>
        </w:rPr>
      </w:pPr>
    </w:p>
    <w:p>
      <w:pPr>
        <w:keepNext w:val="0"/>
        <w:keepLines w:val="0"/>
        <w:widowControl/>
        <w:suppressLineNumbers w:val="0"/>
        <w:jc w:val="left"/>
        <w:rPr>
          <w:rFonts w:hint="eastAsia" w:ascii="宋体" w:hAnsi="宋体" w:eastAsia="宋体" w:cs="宋体"/>
          <w:color w:val="000000"/>
          <w:kern w:val="0"/>
          <w:sz w:val="24"/>
          <w:szCs w:val="24"/>
          <w:highlight w:val="none"/>
          <w:lang w:val="en-US" w:eastAsia="zh-CN" w:bidi="ar"/>
        </w:rPr>
      </w:pPr>
    </w:p>
    <w:p>
      <w:pPr>
        <w:keepNext w:val="0"/>
        <w:keepLines w:val="0"/>
        <w:widowControl/>
        <w:suppressLineNumbers w:val="0"/>
        <w:jc w:val="left"/>
        <w:rPr>
          <w:rFonts w:hint="eastAsia" w:ascii="宋体" w:hAnsi="宋体" w:eastAsia="宋体" w:cs="宋体"/>
          <w:color w:val="000000"/>
          <w:kern w:val="0"/>
          <w:sz w:val="24"/>
          <w:szCs w:val="24"/>
          <w:highlight w:val="none"/>
          <w:lang w:val="en-US" w:eastAsia="zh-CN" w:bidi="ar"/>
        </w:rPr>
      </w:pPr>
    </w:p>
    <w:p>
      <w:pPr>
        <w:keepNext w:val="0"/>
        <w:keepLines w:val="0"/>
        <w:widowControl/>
        <w:suppressLineNumbers w:val="0"/>
        <w:jc w:val="left"/>
        <w:rPr>
          <w:rFonts w:hint="eastAsia" w:ascii="宋体" w:hAnsi="宋体" w:eastAsia="宋体" w:cs="宋体"/>
          <w:color w:val="000000"/>
          <w:kern w:val="0"/>
          <w:sz w:val="24"/>
          <w:szCs w:val="24"/>
          <w:highlight w:val="none"/>
          <w:lang w:val="en-US" w:eastAsia="zh-CN" w:bidi="ar"/>
        </w:rPr>
      </w:pPr>
    </w:p>
    <w:p>
      <w:pPr>
        <w:keepNext w:val="0"/>
        <w:keepLines w:val="0"/>
        <w:widowControl/>
        <w:suppressLineNumbers w:val="0"/>
        <w:jc w:val="left"/>
        <w:rPr>
          <w:rFonts w:hint="eastAsia" w:ascii="宋体" w:hAnsi="宋体" w:eastAsia="宋体" w:cs="宋体"/>
          <w:color w:val="000000"/>
          <w:kern w:val="0"/>
          <w:sz w:val="24"/>
          <w:szCs w:val="24"/>
          <w:highlight w:val="none"/>
          <w:lang w:val="en-US" w:eastAsia="zh-CN" w:bidi="ar"/>
        </w:rPr>
      </w:pPr>
    </w:p>
    <w:p>
      <w:pPr>
        <w:keepNext w:val="0"/>
        <w:keepLines w:val="0"/>
        <w:widowControl/>
        <w:suppressLineNumbers w:val="0"/>
        <w:jc w:val="left"/>
        <w:rPr>
          <w:highlight w:val="none"/>
        </w:rPr>
      </w:pPr>
      <w:r>
        <w:rPr>
          <w:rFonts w:hint="eastAsia" w:ascii="黑体" w:hAnsi="宋体" w:eastAsia="黑体" w:cs="黑体"/>
          <w:color w:val="0000FF"/>
          <w:sz w:val="21"/>
          <w:szCs w:val="21"/>
          <w:highlight w:val="none"/>
          <w:lang w:val="en-US" w:eastAsia="zh-CN"/>
        </w:rPr>
        <w:t>附件15：</w:t>
      </w:r>
      <w:r>
        <w:rPr>
          <w:rFonts w:hint="eastAsia" w:ascii="宋体" w:hAnsi="宋体" w:eastAsia="宋体" w:cs="宋体"/>
          <w:color w:val="000000"/>
          <w:kern w:val="0"/>
          <w:sz w:val="24"/>
          <w:szCs w:val="24"/>
          <w:highlight w:val="none"/>
          <w:lang w:val="en-US" w:eastAsia="zh-CN" w:bidi="ar"/>
        </w:rPr>
        <w:t xml:space="preserve"> </w:t>
      </w:r>
    </w:p>
    <w:p>
      <w:pPr>
        <w:keepNext w:val="0"/>
        <w:keepLines w:val="0"/>
        <w:widowControl/>
        <w:suppressLineNumbers w:val="0"/>
        <w:jc w:val="center"/>
        <w:rPr>
          <w:rFonts w:hint="eastAsia" w:ascii="宋体" w:hAnsi="宋体" w:eastAsia="宋体" w:cs="宋体"/>
          <w:b/>
          <w:bCs/>
          <w:color w:val="000000"/>
          <w:kern w:val="0"/>
          <w:sz w:val="28"/>
          <w:szCs w:val="28"/>
          <w:highlight w:val="none"/>
          <w:lang w:val="en-US" w:eastAsia="zh-CN" w:bidi="ar"/>
        </w:rPr>
      </w:pPr>
    </w:p>
    <w:p>
      <w:pPr>
        <w:keepNext w:val="0"/>
        <w:keepLines w:val="0"/>
        <w:widowControl/>
        <w:suppressLineNumbers w:val="0"/>
        <w:jc w:val="center"/>
        <w:rPr>
          <w:color w:val="0000FF"/>
          <w:sz w:val="28"/>
          <w:szCs w:val="28"/>
          <w:highlight w:val="none"/>
        </w:rPr>
      </w:pPr>
      <w:r>
        <w:rPr>
          <w:rFonts w:hint="eastAsia" w:ascii="宋体" w:hAnsi="宋体" w:eastAsia="宋体" w:cs="宋体"/>
          <w:b/>
          <w:bCs/>
          <w:color w:val="0000FF"/>
          <w:kern w:val="0"/>
          <w:sz w:val="28"/>
          <w:szCs w:val="28"/>
          <w:highlight w:val="none"/>
          <w:lang w:val="en-US" w:eastAsia="zh-CN" w:bidi="ar"/>
        </w:rPr>
        <w:t>保证在建工程农民工工资及时足额发放协议书</w:t>
      </w:r>
    </w:p>
    <w:p>
      <w:pPr>
        <w:keepNext w:val="0"/>
        <w:keepLines w:val="0"/>
        <w:widowControl/>
        <w:suppressLineNumbers w:val="0"/>
        <w:ind w:firstLine="480" w:firstLineChars="200"/>
        <w:jc w:val="left"/>
        <w:rPr>
          <w:rFonts w:hint="eastAsia" w:ascii="宋体" w:hAnsi="宋体" w:eastAsia="宋体" w:cs="宋体"/>
          <w:color w:val="0000FF"/>
          <w:kern w:val="0"/>
          <w:sz w:val="24"/>
          <w:szCs w:val="24"/>
          <w:highlight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为在</w:t>
      </w:r>
      <w:r>
        <w:rPr>
          <w:rFonts w:hint="eastAsia" w:ascii="宋体" w:hAnsi="宋体" w:eastAsia="宋体" w:cs="宋体"/>
          <w:color w:val="0000FF"/>
          <w:kern w:val="0"/>
          <w:sz w:val="21"/>
          <w:szCs w:val="21"/>
          <w:highlight w:val="none"/>
          <w:u w:val="single"/>
          <w:lang w:val="en-US" w:eastAsia="zh-CN" w:bidi="ar"/>
        </w:rPr>
        <w:t xml:space="preserve">         </w:t>
      </w:r>
      <w:r>
        <w:rPr>
          <w:rFonts w:hint="eastAsia" w:ascii="宋体" w:hAnsi="宋体" w:eastAsia="宋体" w:cs="宋体"/>
          <w:color w:val="0000FF"/>
          <w:kern w:val="0"/>
          <w:sz w:val="21"/>
          <w:szCs w:val="21"/>
          <w:highlight w:val="none"/>
          <w:lang w:val="en-US" w:eastAsia="zh-CN" w:bidi="ar"/>
        </w:rPr>
        <w:t>工程项目的实施过程中贯彻落实各级有关切实解决建筑业存在的拖欠和克扣工程款及农民工工资问题，保护农民工合法权益，维护社会稳定的各项法律、法规、规章制度，本项目发包人</w:t>
      </w:r>
      <w:r>
        <w:rPr>
          <w:rFonts w:hint="eastAsia" w:ascii="宋体" w:hAnsi="宋体" w:eastAsia="宋体" w:cs="宋体"/>
          <w:color w:val="0000FF"/>
          <w:kern w:val="0"/>
          <w:sz w:val="21"/>
          <w:szCs w:val="21"/>
          <w:highlight w:val="none"/>
          <w:u w:val="single"/>
          <w:lang w:val="en-US" w:eastAsia="zh-CN" w:bidi="ar"/>
        </w:rPr>
        <w:t xml:space="preserve">             </w:t>
      </w:r>
      <w:r>
        <w:rPr>
          <w:rFonts w:hint="eastAsia" w:ascii="宋体" w:hAnsi="宋体" w:eastAsia="宋体" w:cs="宋体"/>
          <w:color w:val="0000FF"/>
          <w:kern w:val="0"/>
          <w:sz w:val="21"/>
          <w:szCs w:val="21"/>
          <w:highlight w:val="none"/>
          <w:lang w:val="en-US" w:eastAsia="zh-CN" w:bidi="ar"/>
        </w:rPr>
        <w:t>与承包人</w:t>
      </w:r>
      <w:r>
        <w:rPr>
          <w:rFonts w:hint="eastAsia" w:cs="宋体"/>
          <w:color w:val="0000FF"/>
          <w:kern w:val="0"/>
          <w:sz w:val="21"/>
          <w:szCs w:val="21"/>
          <w:highlight w:val="none"/>
          <w:u w:val="single"/>
          <w:lang w:val="en-US" w:eastAsia="zh-CN" w:bidi="ar"/>
        </w:rPr>
        <w:t xml:space="preserve">          </w:t>
      </w:r>
      <w:r>
        <w:rPr>
          <w:rFonts w:hint="eastAsia" w:ascii="宋体" w:hAnsi="宋体" w:eastAsia="宋体" w:cs="宋体"/>
          <w:color w:val="0000FF"/>
          <w:kern w:val="0"/>
          <w:sz w:val="21"/>
          <w:szCs w:val="21"/>
          <w:highlight w:val="none"/>
          <w:lang w:val="en-US" w:eastAsia="zh-CN" w:bidi="ar"/>
        </w:rPr>
        <w:t xml:space="preserve">特此签订防止拖欠农民工工资问题的协议，以资共同遵守。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1、承包人和发包人双方均应充分认识到解决拖欠农民工工资问题和保护农民工合法权益的对维护社会稳定的重要意义，在合同履行期间，双方都应将其作为一项重要工作，采取切实有效的措施抓紧抓好。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2、承包人应以法定货币形式按时足额支付劳动者工资，不得无故拖欠和克扣。在合同履行期间发包人将与有关部门加强协调，积极配合，定期对承包人工资支付情况进行监督检查。对经发包人或有关部门确认存在拖欠和克扣工资的行为，将责令其及时补发工资；不能立即补发的，要监督其制定清欠计划，限期补发。对查证核实存在恶意拖欠、克扣工资的企业，严格按国家有关规定上报有关部门，由劳动和社会保障行政部门等有关部门依法处罚。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3、如承包人拖欠工人工资应按合同约定向发包人支付违约金。造成发包人承担垫付责任的，承包人应退还代垫款。上述违约金和代垫款，发包人有权自主从应付承包人的工程进度款中收回。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4、承包人要规范用工行为，禁止无用工资格的个人、组织及“包工头”的非法用工行为。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5、作为对本合同工程的实施和完成及其缺陷修复的报酬，发包人在此立约：保证按照合同文件规定的时间和方式向承包人支付合同价款。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6、在加强对工程款的使用及监管方面，双方将遵循以下条款：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（1）发包人将按合同规定按期支付工程款，做到不拖、不欠，杜绝拖欠工程款。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2）发包人支付本工程的工程款，必须专款专用，承包人不得以任何理由挪作他用。发包人在整个项目管理中，除严格执行保证金制度和履约保函制度外，对每期支付的工程款有权进行监控，有权实行发包人印鉴制度（发包人代表）。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（3）发包人及监理工程师对该专用帐户有权进行监管，监管内容及要求包括：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①承包人依约向供应商、分包商支付货款或工程款；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②承包人依约支付工人工资；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③承包人的用款符合用款计划且不得将工程款挪作他用。发现承包人挪用工程款的，承包人应在二日内追回，并向发包人支付1万元/次的违约金，承包人挪用工程款累计超过30万元时，发包人有权终止合同，因此产生的所有损失由承包人承担。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4）报审当期应付工程进度款的同时，承包人应向监理工程师提供上期工程进度款（或预付款）支付后专户的使用情况。如不符合监管要求，发包人有权停止支付承包人要求支付的工程进度款，直到承包人整改符合监管要求。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（5）承包人在工程施工期间不得拖欠工人工资，否则，发包人为确保工程顺利施工，有权自主将工程进度款用于偿付被拖欠的工人工资。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（6）承包人不得以劳资纠纷为由缓、停施工或要求支付超出当期约定应支付的工程款。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（7）承包人应向监理工程师及发包人提交所有合同金额超过50万元的供应合同。必要时监理工程师或发包人有权要求承包人提供金额50万元以下的合同，承包人必须提供。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（8）发包人有权向专户开户银行查询专户使用情况，承包人不得就此向开户银行提出异议或通知开户银行不得提供查询，必要时，承包人应向开户银行出具同意查询的说明。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（9）办理结算期间，承包人不得以结算办理进展为由提出拖欠或缓付农民工工资。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7、在工程建设期间，若出现承包人因资金出现困难而影响工程建设或承包人出现劳资纠纷或拖欠工人工资的情况，发包人有权直接使用承包人提交的保证 金（或保函）作为工程建设资金及处理有关的劳资纠纷或拖欠工资的资金。若保证金（或保函）使用完毕，承包人仍出现资金不足问题而影响工程建设或承包人出现劳资纠纷或拖欠工人工资的情况，发包人为确保工程顺利施工，有权自主将工程进度款用于偿付有关的劳资纠纷或拖欠的工人工资，而不需经承包人同意，由此产生的一切后果由承包人承担。</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8、在合同履行过程中，若出现承包人资金不足问题而影响工程建设或承包人出现劳资纠纷或拖欠工人工资的情况，则发包人有权视为承包人违约，发包人有权中止合同及没收承包人提交的履约担保金或动用履约保函，由此产生的一切后果由承包人承担。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9、施工期间，因承包人拖欠工人工资发包人行使本协议书第7、8条合同权利导致的保证金低于原合同约定数额或履约担保金被没收或履约保函被索付的，承包人应按原合同约定数额补足或履约保函和履约担保金以确保后续工程建设。承包人未及时补足的，发包人有权自主将应付承包人的工程进度款用于补足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保证金或履约担保金。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10、发包人和监理工程师向专户开户银行查询专户使用情况时，承包人应予以配合。必要时承包人应向银行出具同意查询的说明。否则，发包人有权暂不支付工程进度款。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11、本合同有效期为双方签署之日起至该工程项目竣工验收后止。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12、本合同作为标段施工合同的附件，与工程施工合同具有同等的法律效力。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FF"/>
          <w:kern w:val="0"/>
          <w:sz w:val="21"/>
          <w:szCs w:val="21"/>
          <w:highlight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FF"/>
          <w:kern w:val="0"/>
          <w:sz w:val="21"/>
          <w:szCs w:val="21"/>
          <w:highlight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60" w:lineRule="auto"/>
        <w:ind w:firstLine="630" w:firstLineChars="3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承包人：</w:t>
      </w:r>
      <w:r>
        <w:rPr>
          <w:rFonts w:hint="eastAsia" w:ascii="宋体" w:hAnsi="宋体" w:eastAsia="宋体" w:cs="宋体"/>
          <w:color w:val="0000FF"/>
          <w:kern w:val="0"/>
          <w:sz w:val="21"/>
          <w:szCs w:val="21"/>
          <w:highlight w:val="none"/>
          <w:u w:val="single"/>
          <w:lang w:val="en-US" w:eastAsia="zh-CN" w:bidi="ar"/>
        </w:rPr>
        <w:t xml:space="preserve">                    </w:t>
      </w:r>
      <w:r>
        <w:rPr>
          <w:rFonts w:hint="eastAsia" w:ascii="宋体" w:hAnsi="宋体" w:eastAsia="宋体" w:cs="宋体"/>
          <w:color w:val="0000FF"/>
          <w:kern w:val="0"/>
          <w:sz w:val="21"/>
          <w:szCs w:val="21"/>
          <w:highlight w:val="none"/>
          <w:lang w:val="en-US" w:eastAsia="zh-CN" w:bidi="ar"/>
        </w:rPr>
        <w:t xml:space="preserve">（单位公章）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630" w:firstLineChars="3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法定代表人或其授权的代理人（签字或盖章）：</w:t>
      </w:r>
    </w:p>
    <w:p>
      <w:pPr>
        <w:keepNext w:val="0"/>
        <w:keepLines w:val="0"/>
        <w:widowControl/>
        <w:suppressLineNumbers w:val="0"/>
        <w:jc w:val="left"/>
        <w:rPr>
          <w:highlight w:val="none"/>
        </w:rPr>
      </w:pPr>
    </w:p>
    <w:p>
      <w:pPr>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br w:type="page"/>
      </w:r>
    </w:p>
    <w:p>
      <w:pPr>
        <w:keepNext w:val="0"/>
        <w:keepLines w:val="0"/>
        <w:widowControl/>
        <w:suppressLineNumbers w:val="0"/>
        <w:jc w:val="left"/>
        <w:rPr>
          <w:highlight w:val="none"/>
        </w:rPr>
      </w:pPr>
      <w:r>
        <w:rPr>
          <w:rFonts w:hint="eastAsia" w:ascii="黑体" w:hAnsi="宋体" w:eastAsia="黑体" w:cs="黑体"/>
          <w:color w:val="0000FF"/>
          <w:sz w:val="21"/>
          <w:szCs w:val="21"/>
          <w:highlight w:val="none"/>
          <w:lang w:val="en-US" w:eastAsia="zh-CN"/>
        </w:rPr>
        <w:t>附件 16：</w:t>
      </w:r>
      <w:r>
        <w:rPr>
          <w:rFonts w:hint="eastAsia" w:ascii="宋体" w:hAnsi="宋体" w:eastAsia="宋体" w:cs="宋体"/>
          <w:color w:val="000000"/>
          <w:kern w:val="0"/>
          <w:sz w:val="24"/>
          <w:szCs w:val="24"/>
          <w:highlight w:val="none"/>
          <w:lang w:val="en-US" w:eastAsia="zh-CN" w:bidi="ar"/>
        </w:rPr>
        <w:t xml:space="preserve"> </w:t>
      </w:r>
    </w:p>
    <w:p>
      <w:pPr>
        <w:keepNext w:val="0"/>
        <w:keepLines w:val="0"/>
        <w:widowControl/>
        <w:suppressLineNumbers w:val="0"/>
        <w:jc w:val="center"/>
        <w:rPr>
          <w:color w:val="0000FF"/>
          <w:sz w:val="28"/>
          <w:szCs w:val="28"/>
          <w:highlight w:val="none"/>
        </w:rPr>
      </w:pPr>
      <w:r>
        <w:rPr>
          <w:rFonts w:hint="eastAsia" w:ascii="宋体" w:hAnsi="宋体" w:eastAsia="宋体" w:cs="宋体"/>
          <w:b/>
          <w:bCs/>
          <w:color w:val="0000FF"/>
          <w:kern w:val="0"/>
          <w:sz w:val="28"/>
          <w:szCs w:val="28"/>
          <w:highlight w:val="none"/>
          <w:lang w:val="en-US" w:eastAsia="zh-CN" w:bidi="ar"/>
        </w:rPr>
        <w:t>项目危险性较大的分部分项工程清单</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 xml:space="preserve">一、危大工程清单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根据相关国家和地方法律法规要求，发包人组织项目勘察、设计等单位根据勘察结果和设计文件等资料，结合工程实际编制项目危大工程清单（具体如下表），请施工单位在投标时补充完善危大工程清单并明确相应的安全管理措施。</w:t>
      </w:r>
    </w:p>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FF"/>
          <w:sz w:val="21"/>
          <w:szCs w:val="21"/>
          <w:highlight w:val="none"/>
        </w:rPr>
      </w:pPr>
      <w:r>
        <w:rPr>
          <w:rFonts w:hint="eastAsia" w:ascii="宋体" w:hAnsi="宋体" w:eastAsia="宋体" w:cs="宋体"/>
          <w:b/>
          <w:bCs/>
          <w:color w:val="0000FF"/>
          <w:kern w:val="0"/>
          <w:sz w:val="21"/>
          <w:szCs w:val="21"/>
          <w:highlight w:val="none"/>
          <w:lang w:val="en-US" w:eastAsia="zh-CN" w:bidi="ar"/>
        </w:rPr>
        <w:t>项目危大工程清单</w:t>
      </w:r>
    </w:p>
    <w:tbl>
      <w:tblPr>
        <w:tblStyle w:val="6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1"/>
        <w:gridCol w:w="1980"/>
        <w:gridCol w:w="2280"/>
        <w:gridCol w:w="2465"/>
        <w:gridCol w:w="2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271" w:type="dxa"/>
            <w:vAlign w:val="center"/>
          </w:tcPr>
          <w:p>
            <w:pPr>
              <w:keepNext w:val="0"/>
              <w:keepLines w:val="0"/>
              <w:widowControl/>
              <w:suppressLineNumbers w:val="0"/>
              <w:jc w:val="center"/>
              <w:rPr>
                <w:rFonts w:hint="eastAsia" w:ascii="宋体" w:hAnsi="宋体" w:eastAsia="宋体" w:cs="宋体"/>
                <w:color w:val="000000"/>
                <w:kern w:val="0"/>
                <w:sz w:val="21"/>
                <w:szCs w:val="21"/>
                <w:highlight w:val="none"/>
                <w:vertAlign w:val="baseline"/>
                <w:lang w:val="en-US" w:eastAsia="zh-CN" w:bidi="ar"/>
              </w:rPr>
            </w:pPr>
            <w:r>
              <w:rPr>
                <w:rFonts w:hint="eastAsia" w:ascii="宋体" w:hAnsi="宋体" w:eastAsia="宋体" w:cs="宋体"/>
                <w:color w:val="000000"/>
                <w:kern w:val="0"/>
                <w:sz w:val="21"/>
                <w:szCs w:val="21"/>
                <w:highlight w:val="none"/>
                <w:vertAlign w:val="baseline"/>
                <w:lang w:val="en-US" w:eastAsia="zh-CN" w:bidi="ar"/>
              </w:rPr>
              <w:t>序号</w:t>
            </w:r>
          </w:p>
        </w:tc>
        <w:tc>
          <w:tcPr>
            <w:tcW w:w="1980" w:type="dxa"/>
            <w:vAlign w:val="center"/>
          </w:tcPr>
          <w:p>
            <w:pPr>
              <w:keepNext w:val="0"/>
              <w:keepLines w:val="0"/>
              <w:widowControl/>
              <w:suppressLineNumbers w:val="0"/>
              <w:jc w:val="center"/>
              <w:rPr>
                <w:rFonts w:hint="eastAsia" w:ascii="宋体" w:hAnsi="宋体" w:eastAsia="宋体" w:cs="宋体"/>
                <w:color w:val="000000"/>
                <w:kern w:val="0"/>
                <w:sz w:val="21"/>
                <w:szCs w:val="21"/>
                <w:highlight w:val="none"/>
                <w:vertAlign w:val="baseline"/>
                <w:lang w:val="en-US" w:eastAsia="zh-CN" w:bidi="ar"/>
              </w:rPr>
            </w:pPr>
            <w:r>
              <w:rPr>
                <w:rFonts w:hint="eastAsia" w:ascii="宋体" w:hAnsi="宋体" w:eastAsia="宋体" w:cs="宋体"/>
                <w:color w:val="000000"/>
                <w:kern w:val="0"/>
                <w:sz w:val="21"/>
                <w:szCs w:val="21"/>
                <w:highlight w:val="none"/>
                <w:vertAlign w:val="baseline"/>
                <w:lang w:val="en-US" w:eastAsia="zh-CN" w:bidi="ar"/>
              </w:rPr>
              <w:t>危大工程名称</w:t>
            </w:r>
          </w:p>
        </w:tc>
        <w:tc>
          <w:tcPr>
            <w:tcW w:w="2280" w:type="dxa"/>
            <w:vAlign w:val="center"/>
          </w:tcPr>
          <w:p>
            <w:pPr>
              <w:keepNext w:val="0"/>
              <w:keepLines w:val="0"/>
              <w:widowControl/>
              <w:suppressLineNumbers w:val="0"/>
              <w:jc w:val="center"/>
              <w:rPr>
                <w:rFonts w:hint="eastAsia" w:ascii="宋体" w:hAnsi="宋体" w:eastAsia="宋体" w:cs="宋体"/>
                <w:color w:val="000000"/>
                <w:kern w:val="0"/>
                <w:sz w:val="21"/>
                <w:szCs w:val="21"/>
                <w:highlight w:val="none"/>
                <w:vertAlign w:val="baseline"/>
                <w:lang w:val="en-US" w:eastAsia="zh-CN" w:bidi="ar"/>
              </w:rPr>
            </w:pPr>
            <w:r>
              <w:rPr>
                <w:rFonts w:hint="eastAsia" w:ascii="宋体" w:hAnsi="宋体" w:eastAsia="宋体" w:cs="宋体"/>
                <w:color w:val="000000"/>
                <w:kern w:val="0"/>
                <w:sz w:val="21"/>
                <w:szCs w:val="21"/>
                <w:highlight w:val="none"/>
                <w:vertAlign w:val="baseline"/>
                <w:lang w:val="en-US" w:eastAsia="zh-CN" w:bidi="ar"/>
              </w:rPr>
              <w:t>规模</w:t>
            </w:r>
          </w:p>
        </w:tc>
        <w:tc>
          <w:tcPr>
            <w:tcW w:w="2465" w:type="dxa"/>
            <w:vAlign w:val="center"/>
          </w:tcPr>
          <w:p>
            <w:pPr>
              <w:keepNext w:val="0"/>
              <w:keepLines w:val="0"/>
              <w:widowControl/>
              <w:suppressLineNumbers w:val="0"/>
              <w:jc w:val="center"/>
              <w:rPr>
                <w:rFonts w:hint="eastAsia" w:ascii="宋体" w:hAnsi="宋体" w:eastAsia="宋体" w:cs="宋体"/>
                <w:color w:val="000000"/>
                <w:kern w:val="0"/>
                <w:sz w:val="21"/>
                <w:szCs w:val="21"/>
                <w:highlight w:val="none"/>
                <w:vertAlign w:val="baseline"/>
                <w:lang w:val="en-US" w:eastAsia="zh-CN" w:bidi="ar"/>
              </w:rPr>
            </w:pPr>
            <w:r>
              <w:rPr>
                <w:rFonts w:hint="eastAsia" w:ascii="宋体" w:hAnsi="宋体" w:eastAsia="宋体" w:cs="宋体"/>
                <w:color w:val="000000"/>
                <w:kern w:val="0"/>
                <w:sz w:val="21"/>
                <w:szCs w:val="21"/>
                <w:highlight w:val="none"/>
                <w:vertAlign w:val="baseline"/>
                <w:lang w:val="en-US" w:eastAsia="zh-CN" w:bidi="ar"/>
              </w:rPr>
              <w:t>是否需要组织专家论证</w:t>
            </w:r>
          </w:p>
        </w:tc>
        <w:tc>
          <w:tcPr>
            <w:tcW w:w="2000" w:type="dxa"/>
            <w:vAlign w:val="center"/>
          </w:tcPr>
          <w:p>
            <w:pPr>
              <w:keepNext w:val="0"/>
              <w:keepLines w:val="0"/>
              <w:widowControl/>
              <w:suppressLineNumbers w:val="0"/>
              <w:jc w:val="center"/>
              <w:rPr>
                <w:rFonts w:hint="eastAsia" w:ascii="宋体" w:hAnsi="宋体" w:eastAsia="宋体" w:cs="宋体"/>
                <w:color w:val="000000"/>
                <w:kern w:val="0"/>
                <w:sz w:val="21"/>
                <w:szCs w:val="21"/>
                <w:highlight w:val="none"/>
                <w:vertAlign w:val="baseline"/>
                <w:lang w:val="en-US" w:eastAsia="zh-CN" w:bidi="ar"/>
              </w:rPr>
            </w:pPr>
            <w:r>
              <w:rPr>
                <w:rFonts w:hint="eastAsia" w:ascii="宋体" w:hAnsi="宋体" w:eastAsia="宋体" w:cs="宋体"/>
                <w:color w:val="000000"/>
                <w:kern w:val="0"/>
                <w:sz w:val="21"/>
                <w:szCs w:val="21"/>
                <w:highlight w:val="none"/>
                <w:vertAlign w:val="baseli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271" w:type="dxa"/>
            <w:vAlign w:val="center"/>
          </w:tcPr>
          <w:p>
            <w:pPr>
              <w:keepNext w:val="0"/>
              <w:keepLines w:val="0"/>
              <w:widowControl/>
              <w:suppressLineNumbers w:val="0"/>
              <w:jc w:val="center"/>
              <w:rPr>
                <w:rFonts w:hint="eastAsia" w:ascii="宋体" w:hAnsi="宋体" w:eastAsia="宋体" w:cs="宋体"/>
                <w:color w:val="000000"/>
                <w:kern w:val="0"/>
                <w:sz w:val="21"/>
                <w:szCs w:val="21"/>
                <w:highlight w:val="none"/>
                <w:vertAlign w:val="baseline"/>
                <w:lang w:val="en-US" w:eastAsia="zh-CN" w:bidi="ar"/>
              </w:rPr>
            </w:pPr>
            <w:r>
              <w:rPr>
                <w:rFonts w:hint="eastAsia" w:ascii="宋体" w:hAnsi="宋体" w:eastAsia="宋体" w:cs="宋体"/>
                <w:color w:val="000000"/>
                <w:kern w:val="0"/>
                <w:sz w:val="21"/>
                <w:szCs w:val="21"/>
                <w:highlight w:val="none"/>
                <w:vertAlign w:val="baseline"/>
                <w:lang w:val="en-US" w:eastAsia="zh-CN" w:bidi="ar"/>
              </w:rPr>
              <w:t>1</w:t>
            </w:r>
          </w:p>
        </w:tc>
        <w:tc>
          <w:tcPr>
            <w:tcW w:w="1980" w:type="dxa"/>
            <w:vAlign w:val="center"/>
          </w:tcPr>
          <w:p>
            <w:pPr>
              <w:keepNext w:val="0"/>
              <w:keepLines w:val="0"/>
              <w:widowControl/>
              <w:suppressLineNumbers w:val="0"/>
              <w:jc w:val="center"/>
              <w:rPr>
                <w:rFonts w:hint="eastAsia" w:ascii="宋体" w:hAnsi="宋体" w:eastAsia="宋体" w:cs="宋体"/>
                <w:color w:val="000000"/>
                <w:kern w:val="0"/>
                <w:sz w:val="21"/>
                <w:szCs w:val="21"/>
                <w:highlight w:val="none"/>
                <w:vertAlign w:val="baseline"/>
                <w:lang w:val="en-US" w:eastAsia="zh-CN" w:bidi="ar"/>
              </w:rPr>
            </w:pPr>
          </w:p>
        </w:tc>
        <w:tc>
          <w:tcPr>
            <w:tcW w:w="2280" w:type="dxa"/>
            <w:vAlign w:val="center"/>
          </w:tcPr>
          <w:p>
            <w:pPr>
              <w:keepNext w:val="0"/>
              <w:keepLines w:val="0"/>
              <w:widowControl/>
              <w:suppressLineNumbers w:val="0"/>
              <w:jc w:val="center"/>
              <w:rPr>
                <w:rFonts w:hint="eastAsia" w:ascii="宋体" w:hAnsi="宋体" w:eastAsia="宋体" w:cs="宋体"/>
                <w:color w:val="000000"/>
                <w:kern w:val="0"/>
                <w:sz w:val="21"/>
                <w:szCs w:val="21"/>
                <w:highlight w:val="none"/>
                <w:vertAlign w:val="baseline"/>
                <w:lang w:val="en-US" w:eastAsia="zh-CN" w:bidi="ar"/>
              </w:rPr>
            </w:pPr>
          </w:p>
        </w:tc>
        <w:tc>
          <w:tcPr>
            <w:tcW w:w="2465" w:type="dxa"/>
            <w:vAlign w:val="center"/>
          </w:tcPr>
          <w:p>
            <w:pPr>
              <w:keepNext w:val="0"/>
              <w:keepLines w:val="0"/>
              <w:widowControl/>
              <w:suppressLineNumbers w:val="0"/>
              <w:jc w:val="center"/>
              <w:rPr>
                <w:rFonts w:hint="eastAsia" w:ascii="宋体" w:hAnsi="宋体" w:eastAsia="宋体" w:cs="宋体"/>
                <w:color w:val="000000"/>
                <w:kern w:val="0"/>
                <w:sz w:val="21"/>
                <w:szCs w:val="21"/>
                <w:highlight w:val="none"/>
                <w:vertAlign w:val="baseline"/>
                <w:lang w:val="en-US" w:eastAsia="zh-CN" w:bidi="ar"/>
              </w:rPr>
            </w:pPr>
          </w:p>
        </w:tc>
        <w:tc>
          <w:tcPr>
            <w:tcW w:w="2000" w:type="dxa"/>
            <w:vAlign w:val="center"/>
          </w:tcPr>
          <w:p>
            <w:pPr>
              <w:keepNext w:val="0"/>
              <w:keepLines w:val="0"/>
              <w:widowControl/>
              <w:suppressLineNumbers w:val="0"/>
              <w:jc w:val="center"/>
              <w:rPr>
                <w:rFonts w:hint="eastAsia" w:ascii="宋体" w:hAnsi="宋体" w:eastAsia="宋体" w:cs="宋体"/>
                <w:color w:val="000000"/>
                <w:kern w:val="0"/>
                <w:sz w:val="21"/>
                <w:szCs w:val="21"/>
                <w:highlight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271" w:type="dxa"/>
            <w:vAlign w:val="center"/>
          </w:tcPr>
          <w:p>
            <w:pPr>
              <w:keepNext w:val="0"/>
              <w:keepLines w:val="0"/>
              <w:widowControl/>
              <w:suppressLineNumbers w:val="0"/>
              <w:jc w:val="center"/>
              <w:rPr>
                <w:rFonts w:hint="eastAsia" w:ascii="宋体" w:hAnsi="宋体" w:eastAsia="宋体" w:cs="宋体"/>
                <w:color w:val="000000"/>
                <w:kern w:val="0"/>
                <w:sz w:val="21"/>
                <w:szCs w:val="21"/>
                <w:highlight w:val="none"/>
                <w:vertAlign w:val="baseline"/>
                <w:lang w:val="en-US" w:eastAsia="zh-CN" w:bidi="ar"/>
              </w:rPr>
            </w:pPr>
            <w:r>
              <w:rPr>
                <w:rFonts w:hint="eastAsia" w:ascii="宋体" w:hAnsi="宋体" w:eastAsia="宋体" w:cs="宋体"/>
                <w:color w:val="000000"/>
                <w:kern w:val="0"/>
                <w:sz w:val="21"/>
                <w:szCs w:val="21"/>
                <w:highlight w:val="none"/>
                <w:vertAlign w:val="baseline"/>
                <w:lang w:val="en-US" w:eastAsia="zh-CN" w:bidi="ar"/>
              </w:rPr>
              <w:t>2</w:t>
            </w:r>
          </w:p>
        </w:tc>
        <w:tc>
          <w:tcPr>
            <w:tcW w:w="1980" w:type="dxa"/>
            <w:vAlign w:val="center"/>
          </w:tcPr>
          <w:p>
            <w:pPr>
              <w:keepNext w:val="0"/>
              <w:keepLines w:val="0"/>
              <w:widowControl/>
              <w:suppressLineNumbers w:val="0"/>
              <w:jc w:val="center"/>
              <w:rPr>
                <w:rFonts w:hint="eastAsia" w:ascii="宋体" w:hAnsi="宋体" w:eastAsia="宋体" w:cs="宋体"/>
                <w:color w:val="000000"/>
                <w:kern w:val="0"/>
                <w:sz w:val="21"/>
                <w:szCs w:val="21"/>
                <w:highlight w:val="none"/>
                <w:vertAlign w:val="baseline"/>
                <w:lang w:val="en-US" w:eastAsia="zh-CN" w:bidi="ar"/>
              </w:rPr>
            </w:pPr>
          </w:p>
        </w:tc>
        <w:tc>
          <w:tcPr>
            <w:tcW w:w="2280" w:type="dxa"/>
            <w:vAlign w:val="center"/>
          </w:tcPr>
          <w:p>
            <w:pPr>
              <w:keepNext w:val="0"/>
              <w:keepLines w:val="0"/>
              <w:widowControl/>
              <w:suppressLineNumbers w:val="0"/>
              <w:jc w:val="center"/>
              <w:rPr>
                <w:rFonts w:hint="eastAsia" w:ascii="宋体" w:hAnsi="宋体" w:eastAsia="宋体" w:cs="宋体"/>
                <w:color w:val="000000"/>
                <w:kern w:val="0"/>
                <w:sz w:val="21"/>
                <w:szCs w:val="21"/>
                <w:highlight w:val="none"/>
                <w:vertAlign w:val="baseline"/>
                <w:lang w:val="en-US" w:eastAsia="zh-CN" w:bidi="ar"/>
              </w:rPr>
            </w:pPr>
          </w:p>
        </w:tc>
        <w:tc>
          <w:tcPr>
            <w:tcW w:w="2465" w:type="dxa"/>
            <w:vAlign w:val="center"/>
          </w:tcPr>
          <w:p>
            <w:pPr>
              <w:keepNext w:val="0"/>
              <w:keepLines w:val="0"/>
              <w:widowControl/>
              <w:suppressLineNumbers w:val="0"/>
              <w:jc w:val="center"/>
              <w:rPr>
                <w:rFonts w:hint="eastAsia" w:ascii="宋体" w:hAnsi="宋体" w:eastAsia="宋体" w:cs="宋体"/>
                <w:color w:val="000000"/>
                <w:kern w:val="0"/>
                <w:sz w:val="21"/>
                <w:szCs w:val="21"/>
                <w:highlight w:val="none"/>
                <w:vertAlign w:val="baseline"/>
                <w:lang w:val="en-US" w:eastAsia="zh-CN" w:bidi="ar"/>
              </w:rPr>
            </w:pPr>
          </w:p>
        </w:tc>
        <w:tc>
          <w:tcPr>
            <w:tcW w:w="2000" w:type="dxa"/>
            <w:vAlign w:val="center"/>
          </w:tcPr>
          <w:p>
            <w:pPr>
              <w:keepNext w:val="0"/>
              <w:keepLines w:val="0"/>
              <w:widowControl/>
              <w:suppressLineNumbers w:val="0"/>
              <w:jc w:val="center"/>
              <w:rPr>
                <w:rFonts w:hint="eastAsia" w:ascii="宋体" w:hAnsi="宋体" w:eastAsia="宋体" w:cs="宋体"/>
                <w:color w:val="000000"/>
                <w:kern w:val="0"/>
                <w:sz w:val="21"/>
                <w:szCs w:val="21"/>
                <w:highlight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271" w:type="dxa"/>
            <w:vAlign w:val="center"/>
          </w:tcPr>
          <w:p>
            <w:pPr>
              <w:keepNext w:val="0"/>
              <w:keepLines w:val="0"/>
              <w:widowControl/>
              <w:suppressLineNumbers w:val="0"/>
              <w:jc w:val="center"/>
              <w:rPr>
                <w:rFonts w:hint="eastAsia" w:ascii="宋体" w:hAnsi="宋体" w:eastAsia="宋体" w:cs="宋体"/>
                <w:color w:val="000000"/>
                <w:kern w:val="0"/>
                <w:sz w:val="21"/>
                <w:szCs w:val="21"/>
                <w:highlight w:val="none"/>
                <w:vertAlign w:val="baseline"/>
                <w:lang w:val="en-US" w:eastAsia="zh-CN" w:bidi="ar"/>
              </w:rPr>
            </w:pPr>
            <w:r>
              <w:rPr>
                <w:rFonts w:hint="eastAsia" w:ascii="宋体" w:hAnsi="宋体" w:eastAsia="宋体" w:cs="宋体"/>
                <w:color w:val="000000"/>
                <w:kern w:val="0"/>
                <w:sz w:val="21"/>
                <w:szCs w:val="21"/>
                <w:highlight w:val="none"/>
                <w:vertAlign w:val="baseline"/>
                <w:lang w:val="en-US" w:eastAsia="zh-CN" w:bidi="ar"/>
              </w:rPr>
              <w:t>3</w:t>
            </w:r>
          </w:p>
        </w:tc>
        <w:tc>
          <w:tcPr>
            <w:tcW w:w="1980" w:type="dxa"/>
            <w:vAlign w:val="center"/>
          </w:tcPr>
          <w:p>
            <w:pPr>
              <w:keepNext w:val="0"/>
              <w:keepLines w:val="0"/>
              <w:widowControl/>
              <w:suppressLineNumbers w:val="0"/>
              <w:jc w:val="center"/>
              <w:rPr>
                <w:rFonts w:hint="eastAsia" w:ascii="宋体" w:hAnsi="宋体" w:eastAsia="宋体" w:cs="宋体"/>
                <w:color w:val="000000"/>
                <w:kern w:val="0"/>
                <w:sz w:val="21"/>
                <w:szCs w:val="21"/>
                <w:highlight w:val="none"/>
                <w:vertAlign w:val="baseline"/>
                <w:lang w:val="en-US" w:eastAsia="zh-CN" w:bidi="ar"/>
              </w:rPr>
            </w:pPr>
          </w:p>
        </w:tc>
        <w:tc>
          <w:tcPr>
            <w:tcW w:w="2280" w:type="dxa"/>
            <w:vAlign w:val="center"/>
          </w:tcPr>
          <w:p>
            <w:pPr>
              <w:keepNext w:val="0"/>
              <w:keepLines w:val="0"/>
              <w:widowControl/>
              <w:suppressLineNumbers w:val="0"/>
              <w:jc w:val="center"/>
              <w:rPr>
                <w:rFonts w:hint="eastAsia" w:ascii="宋体" w:hAnsi="宋体" w:eastAsia="宋体" w:cs="宋体"/>
                <w:color w:val="000000"/>
                <w:kern w:val="0"/>
                <w:sz w:val="21"/>
                <w:szCs w:val="21"/>
                <w:highlight w:val="none"/>
                <w:vertAlign w:val="baseline"/>
                <w:lang w:val="en-US" w:eastAsia="zh-CN" w:bidi="ar"/>
              </w:rPr>
            </w:pPr>
          </w:p>
        </w:tc>
        <w:tc>
          <w:tcPr>
            <w:tcW w:w="2465" w:type="dxa"/>
            <w:vAlign w:val="center"/>
          </w:tcPr>
          <w:p>
            <w:pPr>
              <w:keepNext w:val="0"/>
              <w:keepLines w:val="0"/>
              <w:widowControl/>
              <w:suppressLineNumbers w:val="0"/>
              <w:jc w:val="center"/>
              <w:rPr>
                <w:rFonts w:hint="eastAsia" w:ascii="宋体" w:hAnsi="宋体" w:eastAsia="宋体" w:cs="宋体"/>
                <w:color w:val="000000"/>
                <w:kern w:val="0"/>
                <w:sz w:val="21"/>
                <w:szCs w:val="21"/>
                <w:highlight w:val="none"/>
                <w:vertAlign w:val="baseline"/>
                <w:lang w:val="en-US" w:eastAsia="zh-CN" w:bidi="ar"/>
              </w:rPr>
            </w:pPr>
          </w:p>
        </w:tc>
        <w:tc>
          <w:tcPr>
            <w:tcW w:w="2000" w:type="dxa"/>
            <w:vAlign w:val="center"/>
          </w:tcPr>
          <w:p>
            <w:pPr>
              <w:keepNext w:val="0"/>
              <w:keepLines w:val="0"/>
              <w:widowControl/>
              <w:suppressLineNumbers w:val="0"/>
              <w:jc w:val="center"/>
              <w:rPr>
                <w:rFonts w:hint="eastAsia" w:ascii="宋体" w:hAnsi="宋体" w:eastAsia="宋体" w:cs="宋体"/>
                <w:color w:val="000000"/>
                <w:kern w:val="0"/>
                <w:sz w:val="21"/>
                <w:szCs w:val="21"/>
                <w:highlight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271" w:type="dxa"/>
            <w:vAlign w:val="center"/>
          </w:tcPr>
          <w:p>
            <w:pPr>
              <w:keepNext w:val="0"/>
              <w:keepLines w:val="0"/>
              <w:widowControl/>
              <w:suppressLineNumbers w:val="0"/>
              <w:jc w:val="center"/>
              <w:rPr>
                <w:rFonts w:hint="eastAsia" w:ascii="宋体" w:hAnsi="宋体" w:eastAsia="宋体" w:cs="宋体"/>
                <w:color w:val="000000"/>
                <w:kern w:val="0"/>
                <w:sz w:val="21"/>
                <w:szCs w:val="21"/>
                <w:highlight w:val="none"/>
                <w:vertAlign w:val="baseline"/>
                <w:lang w:val="en-US" w:eastAsia="zh-CN" w:bidi="ar"/>
              </w:rPr>
            </w:pPr>
            <w:r>
              <w:rPr>
                <w:rFonts w:hint="eastAsia" w:ascii="宋体" w:hAnsi="宋体" w:eastAsia="宋体" w:cs="宋体"/>
                <w:color w:val="000000"/>
                <w:kern w:val="0"/>
                <w:sz w:val="21"/>
                <w:szCs w:val="21"/>
                <w:highlight w:val="none"/>
                <w:vertAlign w:val="baseline"/>
                <w:lang w:val="en-US" w:eastAsia="zh-CN" w:bidi="ar"/>
              </w:rPr>
              <w:t>4</w:t>
            </w:r>
          </w:p>
        </w:tc>
        <w:tc>
          <w:tcPr>
            <w:tcW w:w="1980" w:type="dxa"/>
            <w:vAlign w:val="center"/>
          </w:tcPr>
          <w:p>
            <w:pPr>
              <w:keepNext w:val="0"/>
              <w:keepLines w:val="0"/>
              <w:widowControl/>
              <w:suppressLineNumbers w:val="0"/>
              <w:jc w:val="center"/>
              <w:rPr>
                <w:rFonts w:hint="eastAsia" w:ascii="宋体" w:hAnsi="宋体" w:eastAsia="宋体" w:cs="宋体"/>
                <w:color w:val="000000"/>
                <w:kern w:val="0"/>
                <w:sz w:val="21"/>
                <w:szCs w:val="21"/>
                <w:highlight w:val="none"/>
                <w:vertAlign w:val="baseline"/>
                <w:lang w:val="en-US" w:eastAsia="zh-CN" w:bidi="ar"/>
              </w:rPr>
            </w:pPr>
          </w:p>
        </w:tc>
        <w:tc>
          <w:tcPr>
            <w:tcW w:w="2280" w:type="dxa"/>
            <w:vAlign w:val="center"/>
          </w:tcPr>
          <w:p>
            <w:pPr>
              <w:keepNext w:val="0"/>
              <w:keepLines w:val="0"/>
              <w:widowControl/>
              <w:suppressLineNumbers w:val="0"/>
              <w:jc w:val="center"/>
              <w:rPr>
                <w:rFonts w:hint="eastAsia" w:ascii="宋体" w:hAnsi="宋体" w:eastAsia="宋体" w:cs="宋体"/>
                <w:color w:val="000000"/>
                <w:kern w:val="0"/>
                <w:sz w:val="21"/>
                <w:szCs w:val="21"/>
                <w:highlight w:val="none"/>
                <w:vertAlign w:val="baseline"/>
                <w:lang w:val="en-US" w:eastAsia="zh-CN" w:bidi="ar"/>
              </w:rPr>
            </w:pPr>
          </w:p>
        </w:tc>
        <w:tc>
          <w:tcPr>
            <w:tcW w:w="2465" w:type="dxa"/>
            <w:vAlign w:val="center"/>
          </w:tcPr>
          <w:p>
            <w:pPr>
              <w:keepNext w:val="0"/>
              <w:keepLines w:val="0"/>
              <w:widowControl/>
              <w:suppressLineNumbers w:val="0"/>
              <w:jc w:val="center"/>
              <w:rPr>
                <w:rFonts w:hint="eastAsia" w:ascii="宋体" w:hAnsi="宋体" w:eastAsia="宋体" w:cs="宋体"/>
                <w:color w:val="000000"/>
                <w:kern w:val="0"/>
                <w:sz w:val="21"/>
                <w:szCs w:val="21"/>
                <w:highlight w:val="none"/>
                <w:vertAlign w:val="baseline"/>
                <w:lang w:val="en-US" w:eastAsia="zh-CN" w:bidi="ar"/>
              </w:rPr>
            </w:pPr>
          </w:p>
        </w:tc>
        <w:tc>
          <w:tcPr>
            <w:tcW w:w="2000" w:type="dxa"/>
            <w:vAlign w:val="center"/>
          </w:tcPr>
          <w:p>
            <w:pPr>
              <w:keepNext w:val="0"/>
              <w:keepLines w:val="0"/>
              <w:widowControl/>
              <w:suppressLineNumbers w:val="0"/>
              <w:jc w:val="center"/>
              <w:rPr>
                <w:rFonts w:hint="eastAsia" w:ascii="宋体" w:hAnsi="宋体" w:eastAsia="宋体" w:cs="宋体"/>
                <w:color w:val="000000"/>
                <w:kern w:val="0"/>
                <w:sz w:val="21"/>
                <w:szCs w:val="21"/>
                <w:highlight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271" w:type="dxa"/>
            <w:vAlign w:val="center"/>
          </w:tcPr>
          <w:p>
            <w:pPr>
              <w:keepNext w:val="0"/>
              <w:keepLines w:val="0"/>
              <w:widowControl/>
              <w:suppressLineNumbers w:val="0"/>
              <w:jc w:val="center"/>
              <w:rPr>
                <w:rFonts w:hint="eastAsia" w:ascii="宋体" w:hAnsi="宋体" w:eastAsia="宋体" w:cs="宋体"/>
                <w:color w:val="000000"/>
                <w:kern w:val="0"/>
                <w:sz w:val="21"/>
                <w:szCs w:val="21"/>
                <w:highlight w:val="none"/>
                <w:vertAlign w:val="baseline"/>
                <w:lang w:val="en-US" w:eastAsia="zh-CN" w:bidi="ar"/>
              </w:rPr>
            </w:pPr>
            <w:r>
              <w:rPr>
                <w:rFonts w:hint="eastAsia" w:ascii="宋体" w:hAnsi="宋体" w:eastAsia="宋体" w:cs="宋体"/>
                <w:color w:val="000000"/>
                <w:kern w:val="0"/>
                <w:sz w:val="21"/>
                <w:szCs w:val="21"/>
                <w:highlight w:val="none"/>
                <w:vertAlign w:val="baseline"/>
                <w:lang w:val="en-US" w:eastAsia="zh-CN" w:bidi="ar"/>
              </w:rPr>
              <w:t>5</w:t>
            </w:r>
          </w:p>
        </w:tc>
        <w:tc>
          <w:tcPr>
            <w:tcW w:w="1980" w:type="dxa"/>
            <w:vAlign w:val="center"/>
          </w:tcPr>
          <w:p>
            <w:pPr>
              <w:keepNext w:val="0"/>
              <w:keepLines w:val="0"/>
              <w:widowControl/>
              <w:suppressLineNumbers w:val="0"/>
              <w:jc w:val="center"/>
              <w:rPr>
                <w:rFonts w:hint="eastAsia" w:ascii="宋体" w:hAnsi="宋体" w:eastAsia="宋体" w:cs="宋体"/>
                <w:color w:val="000000"/>
                <w:kern w:val="0"/>
                <w:sz w:val="21"/>
                <w:szCs w:val="21"/>
                <w:highlight w:val="none"/>
                <w:vertAlign w:val="baseline"/>
                <w:lang w:val="en-US" w:eastAsia="zh-CN" w:bidi="ar"/>
              </w:rPr>
            </w:pPr>
          </w:p>
        </w:tc>
        <w:tc>
          <w:tcPr>
            <w:tcW w:w="2280" w:type="dxa"/>
            <w:vAlign w:val="center"/>
          </w:tcPr>
          <w:p>
            <w:pPr>
              <w:keepNext w:val="0"/>
              <w:keepLines w:val="0"/>
              <w:widowControl/>
              <w:suppressLineNumbers w:val="0"/>
              <w:jc w:val="center"/>
              <w:rPr>
                <w:rFonts w:hint="eastAsia" w:ascii="宋体" w:hAnsi="宋体" w:eastAsia="宋体" w:cs="宋体"/>
                <w:color w:val="000000"/>
                <w:kern w:val="0"/>
                <w:sz w:val="21"/>
                <w:szCs w:val="21"/>
                <w:highlight w:val="none"/>
                <w:vertAlign w:val="baseline"/>
                <w:lang w:val="en-US" w:eastAsia="zh-CN" w:bidi="ar"/>
              </w:rPr>
            </w:pPr>
          </w:p>
        </w:tc>
        <w:tc>
          <w:tcPr>
            <w:tcW w:w="2465" w:type="dxa"/>
            <w:vAlign w:val="center"/>
          </w:tcPr>
          <w:p>
            <w:pPr>
              <w:keepNext w:val="0"/>
              <w:keepLines w:val="0"/>
              <w:widowControl/>
              <w:suppressLineNumbers w:val="0"/>
              <w:jc w:val="center"/>
              <w:rPr>
                <w:rFonts w:hint="eastAsia" w:ascii="宋体" w:hAnsi="宋体" w:eastAsia="宋体" w:cs="宋体"/>
                <w:color w:val="000000"/>
                <w:kern w:val="0"/>
                <w:sz w:val="21"/>
                <w:szCs w:val="21"/>
                <w:highlight w:val="none"/>
                <w:vertAlign w:val="baseline"/>
                <w:lang w:val="en-US" w:eastAsia="zh-CN" w:bidi="ar"/>
              </w:rPr>
            </w:pPr>
          </w:p>
        </w:tc>
        <w:tc>
          <w:tcPr>
            <w:tcW w:w="2000" w:type="dxa"/>
            <w:vAlign w:val="center"/>
          </w:tcPr>
          <w:p>
            <w:pPr>
              <w:keepNext w:val="0"/>
              <w:keepLines w:val="0"/>
              <w:widowControl/>
              <w:suppressLineNumbers w:val="0"/>
              <w:jc w:val="center"/>
              <w:rPr>
                <w:rFonts w:hint="eastAsia" w:ascii="宋体" w:hAnsi="宋体" w:eastAsia="宋体" w:cs="宋体"/>
                <w:color w:val="000000"/>
                <w:kern w:val="0"/>
                <w:sz w:val="21"/>
                <w:szCs w:val="21"/>
                <w:highlight w:val="none"/>
                <w:vertAlign w:val="baseline"/>
                <w:lang w:val="en-US" w:eastAsia="zh-CN" w:bidi="ar"/>
              </w:rPr>
            </w:pPr>
          </w:p>
        </w:tc>
      </w:tr>
    </w:tbl>
    <w:p>
      <w:pPr>
        <w:keepNext w:val="0"/>
        <w:keepLines w:val="0"/>
        <w:widowControl/>
        <w:suppressLineNumbers w:val="0"/>
        <w:jc w:val="left"/>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注：本危大工程清单参照《住房城乡建设部办公厅关于实施&lt;危险性较大的分部分项工程安全管理规定&gt;有关问题的通知》[建办质〔2018〕31 号]相关危大工程范围规定和地方针对性管理 要求进行辨识。</w:t>
      </w:r>
    </w:p>
    <w:p>
      <w:pPr>
        <w:keepNext w:val="0"/>
        <w:keepLines w:val="0"/>
        <w:widowControl/>
        <w:suppressLineNumbers w:val="0"/>
        <w:jc w:val="left"/>
        <w:rPr>
          <w:rFonts w:hint="eastAsia" w:ascii="仿宋" w:hAnsi="仿宋" w:eastAsia="仿宋" w:cs="仿宋"/>
          <w:color w:val="000000"/>
          <w:kern w:val="0"/>
          <w:sz w:val="24"/>
          <w:szCs w:val="24"/>
          <w:highlight w:val="none"/>
          <w:lang w:val="en-US" w:eastAsia="zh-CN" w:bidi="ar"/>
        </w:rPr>
      </w:pPr>
    </w:p>
    <w:p>
      <w:pPr>
        <w:pStyle w:val="3"/>
        <w:widowControl/>
        <w:spacing w:before="0" w:after="0" w:line="240" w:lineRule="auto"/>
        <w:jc w:val="both"/>
        <w:rPr>
          <w:rFonts w:hint="eastAsia" w:ascii="黑体" w:eastAsia="黑体" w:cs="黑体"/>
          <w:color w:val="auto"/>
          <w:kern w:val="1"/>
          <w:sz w:val="52"/>
          <w:szCs w:val="52"/>
          <w:highlight w:val="none"/>
        </w:rPr>
      </w:pPr>
    </w:p>
    <w:p>
      <w:pPr>
        <w:rPr>
          <w:rFonts w:hint="eastAsia" w:ascii="黑体" w:eastAsia="黑体" w:cs="黑体"/>
          <w:color w:val="auto"/>
          <w:kern w:val="1"/>
          <w:sz w:val="52"/>
          <w:szCs w:val="52"/>
          <w:highlight w:val="none"/>
        </w:rPr>
      </w:pPr>
      <w:r>
        <w:rPr>
          <w:rFonts w:hint="eastAsia" w:ascii="黑体" w:eastAsia="黑体" w:cs="黑体"/>
          <w:color w:val="auto"/>
          <w:kern w:val="1"/>
          <w:sz w:val="52"/>
          <w:szCs w:val="52"/>
          <w:highlight w:val="none"/>
        </w:rPr>
        <w:br w:type="page"/>
      </w:r>
    </w:p>
    <w:p>
      <w:pPr>
        <w:keepNext w:val="0"/>
        <w:keepLines w:val="0"/>
        <w:widowControl/>
        <w:suppressLineNumbers w:val="0"/>
        <w:jc w:val="left"/>
        <w:rPr>
          <w:color w:val="0000FF"/>
          <w:highlight w:val="none"/>
        </w:rPr>
      </w:pPr>
      <w:r>
        <w:rPr>
          <w:rFonts w:hint="eastAsia" w:ascii="黑体" w:hAnsi="宋体" w:eastAsia="黑体" w:cs="黑体"/>
          <w:color w:val="0000FF"/>
          <w:sz w:val="21"/>
          <w:szCs w:val="21"/>
          <w:highlight w:val="none"/>
          <w:lang w:val="en-US" w:eastAsia="zh-CN"/>
        </w:rPr>
        <w:t>附件17：</w:t>
      </w:r>
      <w:r>
        <w:rPr>
          <w:rFonts w:hint="eastAsia" w:ascii="宋体" w:hAnsi="宋体" w:eastAsia="宋体" w:cs="宋体"/>
          <w:color w:val="000000"/>
          <w:kern w:val="0"/>
          <w:sz w:val="24"/>
          <w:szCs w:val="24"/>
          <w:highlight w:val="none"/>
          <w:lang w:val="en-US" w:eastAsia="zh-CN" w:bidi="ar"/>
        </w:rPr>
        <w:t xml:space="preserve"> </w:t>
      </w:r>
    </w:p>
    <w:p>
      <w:pPr>
        <w:keepNext w:val="0"/>
        <w:keepLines w:val="0"/>
        <w:widowControl/>
        <w:suppressLineNumbers w:val="0"/>
        <w:jc w:val="center"/>
        <w:rPr>
          <w:color w:val="0000FF"/>
          <w:sz w:val="28"/>
          <w:szCs w:val="28"/>
          <w:highlight w:val="none"/>
        </w:rPr>
      </w:pPr>
      <w:r>
        <w:rPr>
          <w:rFonts w:hint="eastAsia" w:ascii="宋体" w:hAnsi="宋体" w:eastAsia="宋体" w:cs="宋体"/>
          <w:b/>
          <w:bCs/>
          <w:color w:val="0000FF"/>
          <w:kern w:val="0"/>
          <w:sz w:val="28"/>
          <w:szCs w:val="28"/>
          <w:highlight w:val="none"/>
          <w:lang w:val="en-US" w:eastAsia="zh-CN" w:bidi="ar"/>
        </w:rPr>
        <w:t>扬尘污染防治措施管理协议</w:t>
      </w:r>
    </w:p>
    <w:p>
      <w:pPr>
        <w:keepNext w:val="0"/>
        <w:keepLines w:val="0"/>
        <w:widowControl/>
        <w:suppressLineNumbers w:val="0"/>
        <w:jc w:val="left"/>
        <w:rPr>
          <w:rFonts w:hint="eastAsia" w:ascii="宋体" w:hAnsi="宋体" w:eastAsia="宋体" w:cs="宋体"/>
          <w:color w:val="000000"/>
          <w:kern w:val="0"/>
          <w:sz w:val="24"/>
          <w:szCs w:val="24"/>
          <w:highlight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FF"/>
          <w:sz w:val="21"/>
          <w:szCs w:val="21"/>
          <w:highlight w:val="none"/>
          <w:u w:val="single"/>
          <w:lang w:val="en-US"/>
        </w:rPr>
      </w:pPr>
      <w:r>
        <w:rPr>
          <w:rFonts w:hint="eastAsia" w:ascii="宋体" w:hAnsi="宋体" w:eastAsia="宋体" w:cs="宋体"/>
          <w:color w:val="0000FF"/>
          <w:kern w:val="0"/>
          <w:sz w:val="21"/>
          <w:szCs w:val="21"/>
          <w:highlight w:val="none"/>
          <w:lang w:val="en-US" w:eastAsia="zh-CN" w:bidi="ar"/>
        </w:rPr>
        <w:t>工程项目名称：</w:t>
      </w:r>
      <w:r>
        <w:rPr>
          <w:rFonts w:hint="eastAsia" w:ascii="宋体" w:hAnsi="宋体" w:eastAsia="宋体" w:cs="宋体"/>
          <w:color w:val="0000FF"/>
          <w:kern w:val="0"/>
          <w:sz w:val="21"/>
          <w:szCs w:val="21"/>
          <w:highlight w:val="none"/>
          <w:u w:val="single"/>
          <w:lang w:val="en-US" w:eastAsia="zh-CN" w:bidi="ar"/>
        </w:rPr>
        <w:t xml:space="preserve">      </w:t>
      </w:r>
      <w:r>
        <w:rPr>
          <w:rFonts w:hint="eastAsia" w:cs="宋体"/>
          <w:color w:val="0000FF"/>
          <w:kern w:val="0"/>
          <w:sz w:val="21"/>
          <w:szCs w:val="21"/>
          <w:highlight w:val="none"/>
          <w:u w:val="single"/>
          <w:lang w:val="en-US" w:eastAsia="zh-CN" w:bidi="ar"/>
        </w:rPr>
        <w:t xml:space="preserve">   </w:t>
      </w:r>
      <w:r>
        <w:rPr>
          <w:rFonts w:hint="eastAsia" w:ascii="宋体" w:hAnsi="宋体" w:eastAsia="宋体" w:cs="宋体"/>
          <w:color w:val="0000FF"/>
          <w:kern w:val="0"/>
          <w:sz w:val="21"/>
          <w:szCs w:val="21"/>
          <w:highlight w:val="none"/>
          <w:u w:val="single"/>
          <w:lang w:val="en-US" w:eastAsia="zh-CN" w:bidi="ar"/>
        </w:rPr>
        <w:t xml:space="preserve"> </w:t>
      </w:r>
      <w:r>
        <w:rPr>
          <w:rFonts w:hint="eastAsia" w:cs="宋体"/>
          <w:color w:val="0000FF"/>
          <w:kern w:val="0"/>
          <w:sz w:val="21"/>
          <w:szCs w:val="21"/>
          <w:highlight w:val="none"/>
          <w:u w:val="single"/>
          <w:lang w:val="en-US" w:eastAsia="zh-CN" w:bidi="ar"/>
        </w:rPr>
        <w:t xml:space="preserve">  </w:t>
      </w:r>
      <w:r>
        <w:rPr>
          <w:rFonts w:hint="eastAsia" w:ascii="宋体" w:hAnsi="宋体" w:eastAsia="宋体" w:cs="宋体"/>
          <w:color w:val="0000FF"/>
          <w:kern w:val="0"/>
          <w:sz w:val="21"/>
          <w:szCs w:val="21"/>
          <w:highlight w:val="none"/>
          <w:u w:val="single"/>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FF"/>
          <w:sz w:val="21"/>
          <w:szCs w:val="21"/>
          <w:highlight w:val="none"/>
          <w:u w:val="single"/>
          <w:lang w:val="en-US"/>
        </w:rPr>
      </w:pPr>
      <w:r>
        <w:rPr>
          <w:rFonts w:hint="eastAsia" w:ascii="宋体" w:hAnsi="宋体" w:eastAsia="宋体" w:cs="宋体"/>
          <w:color w:val="0000FF"/>
          <w:kern w:val="0"/>
          <w:sz w:val="21"/>
          <w:szCs w:val="21"/>
          <w:highlight w:val="none"/>
          <w:lang w:val="en-US" w:eastAsia="zh-CN" w:bidi="ar"/>
        </w:rPr>
        <w:t>工程项目地址：</w:t>
      </w:r>
      <w:r>
        <w:rPr>
          <w:rFonts w:hint="eastAsia" w:ascii="宋体" w:hAnsi="宋体" w:eastAsia="宋体" w:cs="宋体"/>
          <w:color w:val="0000FF"/>
          <w:kern w:val="0"/>
          <w:sz w:val="21"/>
          <w:szCs w:val="21"/>
          <w:highlight w:val="none"/>
          <w:u w:val="single"/>
          <w:lang w:val="en-US" w:eastAsia="zh-CN" w:bidi="ar"/>
        </w:rPr>
        <w:t xml:space="preserve">        </w:t>
      </w:r>
      <w:r>
        <w:rPr>
          <w:rFonts w:hint="eastAsia" w:cs="宋体"/>
          <w:color w:val="0000FF"/>
          <w:kern w:val="0"/>
          <w:sz w:val="21"/>
          <w:szCs w:val="21"/>
          <w:highlight w:val="none"/>
          <w:u w:val="single"/>
          <w:lang w:val="en-US" w:eastAsia="zh-CN" w:bidi="ar"/>
        </w:rPr>
        <w:t xml:space="preserve">     </w:t>
      </w:r>
      <w:r>
        <w:rPr>
          <w:rFonts w:hint="eastAsia" w:ascii="宋体" w:hAnsi="宋体" w:eastAsia="宋体" w:cs="宋体"/>
          <w:color w:val="0000FF"/>
          <w:kern w:val="0"/>
          <w:sz w:val="21"/>
          <w:szCs w:val="21"/>
          <w:highlight w:val="none"/>
          <w:u w:val="single"/>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FF"/>
          <w:sz w:val="21"/>
          <w:szCs w:val="21"/>
          <w:highlight w:val="none"/>
          <w:u w:val="single"/>
          <w:lang w:val="en-US"/>
        </w:rPr>
      </w:pPr>
      <w:r>
        <w:rPr>
          <w:rFonts w:hint="eastAsia" w:ascii="宋体" w:hAnsi="宋体" w:eastAsia="宋体" w:cs="宋体"/>
          <w:color w:val="0000FF"/>
          <w:kern w:val="0"/>
          <w:sz w:val="21"/>
          <w:szCs w:val="21"/>
          <w:highlight w:val="none"/>
          <w:lang w:val="en-US" w:eastAsia="zh-CN" w:bidi="ar"/>
        </w:rPr>
        <w:t>发包人（全称）：</w:t>
      </w:r>
      <w:r>
        <w:rPr>
          <w:rFonts w:hint="eastAsia" w:ascii="宋体" w:hAnsi="宋体" w:eastAsia="宋体" w:cs="宋体"/>
          <w:color w:val="0000FF"/>
          <w:kern w:val="0"/>
          <w:sz w:val="21"/>
          <w:szCs w:val="21"/>
          <w:highlight w:val="none"/>
          <w:u w:val="single"/>
          <w:lang w:val="en-US" w:eastAsia="zh-CN" w:bidi="ar"/>
        </w:rPr>
        <w:t xml:space="preserve">        </w:t>
      </w:r>
      <w:r>
        <w:rPr>
          <w:rFonts w:hint="eastAsia" w:cs="宋体"/>
          <w:color w:val="0000FF"/>
          <w:kern w:val="0"/>
          <w:sz w:val="21"/>
          <w:szCs w:val="21"/>
          <w:highlight w:val="none"/>
          <w:u w:val="single"/>
          <w:lang w:val="en-US" w:eastAsia="zh-CN" w:bidi="ar"/>
        </w:rPr>
        <w:t xml:space="preserve">    </w:t>
      </w:r>
      <w:r>
        <w:rPr>
          <w:rFonts w:hint="eastAsia" w:ascii="宋体" w:hAnsi="宋体" w:eastAsia="宋体" w:cs="宋体"/>
          <w:color w:val="0000FF"/>
          <w:kern w:val="0"/>
          <w:sz w:val="21"/>
          <w:szCs w:val="21"/>
          <w:highlight w:val="none"/>
          <w:u w:val="single"/>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FF"/>
          <w:sz w:val="21"/>
          <w:szCs w:val="21"/>
          <w:highlight w:val="none"/>
          <w:u w:val="single"/>
          <w:lang w:val="en-US"/>
        </w:rPr>
      </w:pPr>
      <w:r>
        <w:rPr>
          <w:rFonts w:hint="eastAsia" w:ascii="宋体" w:hAnsi="宋体" w:eastAsia="宋体" w:cs="宋体"/>
          <w:color w:val="0000FF"/>
          <w:kern w:val="0"/>
          <w:sz w:val="21"/>
          <w:szCs w:val="21"/>
          <w:highlight w:val="none"/>
          <w:lang w:val="en-US" w:eastAsia="zh-CN" w:bidi="ar"/>
        </w:rPr>
        <w:t>承包人（全称）：</w:t>
      </w:r>
      <w:r>
        <w:rPr>
          <w:rFonts w:hint="eastAsia" w:ascii="宋体" w:hAnsi="宋体" w:eastAsia="宋体" w:cs="宋体"/>
          <w:color w:val="0000FF"/>
          <w:kern w:val="0"/>
          <w:sz w:val="21"/>
          <w:szCs w:val="21"/>
          <w:highlight w:val="none"/>
          <w:u w:val="single"/>
          <w:lang w:val="en-US" w:eastAsia="zh-CN" w:bidi="ar"/>
        </w:rPr>
        <w:t xml:space="preserve">        </w:t>
      </w:r>
      <w:r>
        <w:rPr>
          <w:rFonts w:hint="eastAsia" w:cs="宋体"/>
          <w:color w:val="0000FF"/>
          <w:kern w:val="0"/>
          <w:sz w:val="21"/>
          <w:szCs w:val="21"/>
          <w:highlight w:val="none"/>
          <w:u w:val="single"/>
          <w:lang w:val="en-US" w:eastAsia="zh-CN" w:bidi="ar"/>
        </w:rPr>
        <w:t xml:space="preserve">   </w:t>
      </w:r>
      <w:r>
        <w:rPr>
          <w:rFonts w:hint="eastAsia" w:ascii="宋体" w:hAnsi="宋体" w:eastAsia="宋体" w:cs="宋体"/>
          <w:color w:val="0000FF"/>
          <w:kern w:val="0"/>
          <w:sz w:val="21"/>
          <w:szCs w:val="21"/>
          <w:highlight w:val="none"/>
          <w:u w:val="single"/>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kern w:val="0"/>
          <w:sz w:val="21"/>
          <w:szCs w:val="21"/>
          <w:highlight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为进一步加强在建工程扬尘污染防治措施管理工作，切实有效控制扬尘污染，提升环境空气质量，根据《厦门市工地扬尘污染防治工作方案》意见要求，实现最大限度地控制和减少扬尘污染发生，努力提升工地扬尘污染防治整体水平、改善环境空气质量，经双方协商一致，共同遵守本协议所列条款，协议内容如下：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一、乙方应当建立健全建筑工地文明施工扬尘防治及管理责任制，切实履行相应责任和义务，相关扬尘措施费用已包含在安全文明施工费中。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二、乙方是本项目文明施工扬尘防治第一责任单位，承担本项目文明施工扬尘防治的具体工作，应按相关政策法规及合同约定，结合工程项目特点，编制专项方案，指定具体防治措施，建立工作档案，对施工全过程进行动态管理，严格落实有关工作要求，按规定使用安全文明施工费用。并牵头各分包落实各项工作措施。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三、乙方应严格准守各级主管部门部门对于裸土覆盖（裸土覆盖要求100%、全工程周期、多次覆盖）、场地硬化、扬尘整治（雾炮全天开启，每5000平米占地面积至少配备一台雾炮机，围墙设置喷淋系统）、不允许带泥上路、噪音污染控制、交通限行等方面的要求，不得以此进行工期、费用索赔。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四、乙方应在工地大门须设置冲洗槽和冲洗平台，配备冲洗设备，并在工地大门侧边或其他醒目位置设置文明施工扬尘防治监管公示牌，公布管理措施、责任人、主管部门及污染监督举报电话等信息。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五、乙方在现场施工过程中需做到6个100%（工地围墙100%封闭、裸土及散装物料100%覆盖、初入车辆100%冲洗、施工道路100%硬化、扬尘作业100%湿作业、渣土车辆100%密闭运输）及文明施工精细化管理的要求，有效控制扬尘污染，提高工地文明施工管理。</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六、乙方需按照《厦门市房屋建筑和市政基础设施工程文明施工扬尘防治工作方案》、《厦门市建设工程施工围挡标准图集》、《国贸地产施工现场扬尘防尘管理要求》等文件要求，落实裸土覆盖100%（包括多次覆盖）、扬尘监控系统、围墙、塔吊喷雾系统、布置雾炮机、施工道路清洗等要求。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七、乙方需按要求设置喷雾降尘措施：（1）现场按照厦门市要求设置工地扬尘监控系统；（2）塔吊设置塔吊喷淋系统；（3）现场设置雾炮机，满足厦门市降尘要求；（4）按照厦门市政府要求，围墙设置喷淋系统。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八、乙方应建立扬尘污染防治措施责任制度、教育培训、日常检查、定期考核等扬尘管理制度，并组织培训和实施。扬尘污染防治措施责任制度，各责任人要明确规定自身职责并将目标层层分解下达，确实贯彻落实到位。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九、乙方应当建立防尘降尘应急响应制度，分时段开启防尘降尘设备设施，每天7：30～8：00、10：30～11：00、14：30～15：00、17：00～17：30四个时段应开启喷淋设备设施进行降尘（雨天除外）。同时根据市环保委办公室及我局下达的启动轻微污染天气响应一级（控尘、控氮氧化物、控臭氧等）、二级（控尘、控氮氧化物、控臭氧等）、三级（控尘）通知要求及时开启防尘降尘设备设施和落实相关措施。当启动一级响应时，乙方应将实时响应情况按要求及时反馈项目质量安全机构或建设行政主管部门。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十、乙方根据项目进度节点需要采用分区分段施工的，应合理安排建设时序，控制土方开挖和存留时间。非作业区裸置土方和临时集中堆放的土方应当及时采取网膜覆盖等降尘措施。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十一、若乙方现场实施过程中扬尘管控不到位，甲方有权根据情况对承包人处以1000元至10万元罚款，如因承包人原因扬尘管控不到位造成发包人被主管部门处罚的，则根据处罚金额的双倍对乙方进行处罚。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十二、本协议作为承发包双方工程合同的附件，在工程合同签约后生效，与工程合同具有同等法律效力。工程合同期满，本协议终止。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十三、本协议中未涉及的有关条款，承发包双方可根据需要协商补充修改。如遇有国家和地方的有关法规不符的，应按国家和地方的有关法规执行。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十四、本协议一式肆份，双方各执贰份，本协议双方签字并盖章之日起生效。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十五、本协议附件为协议不可分割的组成部分，与本协议具有同等法律效力。</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本协议包括以下附件：《厦门市建设局关于印发房屋建筑和市政基础设施工程文明施工扬尘防治工作方案的通知》厦建工【2022】29号文。</w:t>
      </w:r>
    </w:p>
    <w:p>
      <w:pPr>
        <w:keepNext w:val="0"/>
        <w:keepLines w:val="0"/>
        <w:widowControl/>
        <w:suppressLineNumbers w:val="0"/>
        <w:jc w:val="left"/>
        <w:rPr>
          <w:rFonts w:hint="eastAsia" w:ascii="宋体" w:hAnsi="宋体" w:eastAsia="宋体" w:cs="宋体"/>
          <w:color w:val="0000FF"/>
          <w:kern w:val="0"/>
          <w:sz w:val="21"/>
          <w:szCs w:val="21"/>
          <w:highlight w:val="none"/>
          <w:lang w:val="en-US" w:eastAsia="zh-CN" w:bidi="ar"/>
        </w:rPr>
      </w:pPr>
    </w:p>
    <w:p>
      <w:pPr>
        <w:keepNext w:val="0"/>
        <w:keepLines w:val="0"/>
        <w:widowControl/>
        <w:suppressLineNumbers w:val="0"/>
        <w:jc w:val="left"/>
        <w:rPr>
          <w:rFonts w:hint="eastAsia" w:ascii="宋体" w:hAnsi="宋体" w:eastAsia="宋体" w:cs="宋体"/>
          <w:color w:val="0000FF"/>
          <w:kern w:val="0"/>
          <w:sz w:val="21"/>
          <w:szCs w:val="21"/>
          <w:highlight w:val="none"/>
          <w:lang w:val="en-US" w:eastAsia="zh-CN" w:bidi="ar"/>
        </w:rPr>
      </w:pPr>
    </w:p>
    <w:p>
      <w:pPr>
        <w:keepNext w:val="0"/>
        <w:keepLines w:val="0"/>
        <w:widowControl/>
        <w:suppressLineNumbers w:val="0"/>
        <w:jc w:val="left"/>
        <w:rPr>
          <w:rFonts w:hint="eastAsia" w:ascii="宋体" w:hAnsi="宋体" w:eastAsia="宋体" w:cs="宋体"/>
          <w:color w:val="0000FF"/>
          <w:kern w:val="0"/>
          <w:sz w:val="21"/>
          <w:szCs w:val="21"/>
          <w:highlight w:val="none"/>
          <w:lang w:val="en-US" w:eastAsia="zh-CN" w:bidi="ar"/>
        </w:rPr>
      </w:pPr>
    </w:p>
    <w:p>
      <w:pPr>
        <w:keepNext w:val="0"/>
        <w:keepLines w:val="0"/>
        <w:widowControl/>
        <w:suppressLineNumbers w:val="0"/>
        <w:ind w:firstLine="210" w:firstLineChars="100"/>
        <w:jc w:val="left"/>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 xml:space="preserve">发 包 人（公章）：                               承 包 人（公章）： </w:t>
      </w:r>
    </w:p>
    <w:p>
      <w:pPr>
        <w:keepNext w:val="0"/>
        <w:keepLines w:val="0"/>
        <w:widowControl/>
        <w:suppressLineNumbers w:val="0"/>
        <w:jc w:val="left"/>
        <w:rPr>
          <w:rFonts w:hint="eastAsia" w:ascii="宋体" w:hAnsi="宋体" w:eastAsia="宋体" w:cs="宋体"/>
          <w:color w:val="0000FF"/>
          <w:kern w:val="0"/>
          <w:sz w:val="21"/>
          <w:szCs w:val="21"/>
          <w:highlight w:val="none"/>
          <w:lang w:val="en-US" w:eastAsia="zh-CN" w:bidi="ar"/>
        </w:rPr>
      </w:pPr>
    </w:p>
    <w:p>
      <w:pPr>
        <w:keepNext w:val="0"/>
        <w:keepLines w:val="0"/>
        <w:widowControl/>
        <w:suppressLineNumbers w:val="0"/>
        <w:ind w:firstLine="210" w:firstLineChars="100"/>
        <w:jc w:val="left"/>
        <w:rPr>
          <w:rFonts w:hint="eastAsia" w:ascii="宋体" w:hAnsi="宋体" w:eastAsia="宋体" w:cs="宋体"/>
          <w:color w:val="0000FF"/>
          <w:kern w:val="0"/>
          <w:sz w:val="21"/>
          <w:szCs w:val="21"/>
          <w:highlight w:val="none"/>
          <w:lang w:val="en-US" w:eastAsia="zh-CN" w:bidi="ar"/>
        </w:rPr>
      </w:pPr>
      <w:r>
        <w:rPr>
          <w:rFonts w:hint="eastAsia" w:ascii="宋体" w:hAnsi="宋体" w:eastAsia="宋体" w:cs="宋体"/>
          <w:color w:val="0000FF"/>
          <w:kern w:val="0"/>
          <w:sz w:val="21"/>
          <w:szCs w:val="21"/>
          <w:highlight w:val="none"/>
          <w:lang w:val="en-US" w:eastAsia="zh-CN" w:bidi="ar"/>
        </w:rPr>
        <w:t xml:space="preserve">法定代表人                                       法定代表人 </w:t>
      </w:r>
    </w:p>
    <w:p>
      <w:pPr>
        <w:keepNext w:val="0"/>
        <w:keepLines w:val="0"/>
        <w:widowControl/>
        <w:suppressLineNumbers w:val="0"/>
        <w:ind w:firstLine="210" w:firstLineChars="100"/>
        <w:jc w:val="left"/>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val="en-US" w:eastAsia="zh-CN" w:bidi="ar"/>
        </w:rPr>
        <w:t>或委托代理人（签字或盖章）：                     或委托代理人（签字或盖章）：</w:t>
      </w:r>
    </w:p>
    <w:p>
      <w:pPr>
        <w:rPr>
          <w:rFonts w:hint="eastAsia" w:ascii="黑体" w:eastAsia="黑体" w:cs="黑体"/>
          <w:color w:val="auto"/>
          <w:kern w:val="1"/>
          <w:sz w:val="52"/>
          <w:szCs w:val="52"/>
          <w:highlight w:val="none"/>
        </w:rPr>
      </w:pPr>
    </w:p>
    <w:p>
      <w:pPr>
        <w:rPr>
          <w:rFonts w:hint="eastAsia" w:ascii="黑体" w:eastAsia="黑体" w:cs="黑体"/>
          <w:color w:val="auto"/>
          <w:kern w:val="1"/>
          <w:sz w:val="52"/>
          <w:szCs w:val="52"/>
          <w:highlight w:val="none"/>
        </w:rPr>
      </w:pPr>
    </w:p>
    <w:p>
      <w:pPr>
        <w:rPr>
          <w:rFonts w:hint="eastAsia" w:ascii="黑体" w:eastAsia="黑体" w:cs="黑体"/>
          <w:color w:val="auto"/>
          <w:kern w:val="1"/>
          <w:sz w:val="52"/>
          <w:szCs w:val="52"/>
          <w:highlight w:val="none"/>
        </w:rPr>
      </w:pPr>
    </w:p>
    <w:p>
      <w:pPr>
        <w:rPr>
          <w:rFonts w:hint="eastAsia" w:ascii="黑体" w:eastAsia="黑体" w:cs="黑体"/>
          <w:color w:val="auto"/>
          <w:kern w:val="1"/>
          <w:sz w:val="52"/>
          <w:szCs w:val="52"/>
          <w:highlight w:val="none"/>
        </w:rPr>
      </w:pPr>
    </w:p>
    <w:p>
      <w:pPr>
        <w:rPr>
          <w:rFonts w:hint="eastAsia" w:ascii="黑体" w:eastAsia="黑体" w:cs="黑体"/>
          <w:color w:val="auto"/>
          <w:kern w:val="1"/>
          <w:sz w:val="52"/>
          <w:szCs w:val="52"/>
          <w:highlight w:val="none"/>
        </w:rPr>
      </w:pPr>
    </w:p>
    <w:p>
      <w:pPr>
        <w:rPr>
          <w:rFonts w:hint="eastAsia" w:ascii="黑体" w:eastAsia="黑体" w:cs="黑体"/>
          <w:color w:val="auto"/>
          <w:kern w:val="1"/>
          <w:sz w:val="52"/>
          <w:szCs w:val="52"/>
          <w:highlight w:val="none"/>
        </w:rPr>
      </w:pPr>
    </w:p>
    <w:p>
      <w:pPr>
        <w:pStyle w:val="2"/>
        <w:rPr>
          <w:rFonts w:hint="eastAsia"/>
          <w:highlight w:val="none"/>
        </w:rPr>
      </w:pPr>
    </w:p>
    <w:p>
      <w:pPr>
        <w:keepNext w:val="0"/>
        <w:keepLines w:val="0"/>
        <w:widowControl/>
        <w:suppressLineNumbers w:val="0"/>
        <w:jc w:val="left"/>
        <w:rPr>
          <w:rFonts w:hint="eastAsia" w:ascii="黑体" w:hAnsi="宋体" w:eastAsia="黑体" w:cs="黑体"/>
          <w:color w:val="0000FF"/>
          <w:sz w:val="21"/>
          <w:szCs w:val="21"/>
          <w:highlight w:val="none"/>
          <w:lang w:val="en-US" w:eastAsia="zh-CN"/>
        </w:rPr>
      </w:pPr>
    </w:p>
    <w:p>
      <w:pPr>
        <w:keepNext w:val="0"/>
        <w:keepLines w:val="0"/>
        <w:widowControl/>
        <w:suppressLineNumbers w:val="0"/>
        <w:jc w:val="left"/>
        <w:rPr>
          <w:rFonts w:hint="eastAsia"/>
          <w:highlight w:val="none"/>
        </w:rPr>
      </w:pPr>
      <w:r>
        <w:rPr>
          <w:rFonts w:hint="eastAsia" w:ascii="宋体" w:hAnsi="Calibri" w:eastAsia="宋体" w:cs="黑体"/>
          <w:color w:val="1552D1"/>
          <w:sz w:val="21"/>
          <w:szCs w:val="21"/>
          <w:highlight w:val="none"/>
          <w:lang w:val="en-US" w:eastAsia="zh-CN"/>
        </w:rPr>
        <w:t>附件18：《国贸地产安全文明施工标准化手册V2.0版</w:t>
      </w:r>
      <w:r>
        <w:rPr>
          <w:rFonts w:hint="eastAsia" w:ascii="黑体" w:eastAsia="黑体" w:cs="黑体"/>
          <w:color w:val="1552D1"/>
          <w:sz w:val="21"/>
          <w:szCs w:val="21"/>
          <w:highlight w:val="none"/>
          <w:lang w:val="en-US" w:eastAsia="zh-CN"/>
        </w:rPr>
        <w:t>》</w:t>
      </w:r>
    </w:p>
    <w:p>
      <w:pPr>
        <w:rPr>
          <w:rFonts w:hint="eastAsia" w:ascii="黑体" w:eastAsia="黑体" w:cs="黑体"/>
          <w:color w:val="auto"/>
          <w:kern w:val="1"/>
          <w:sz w:val="52"/>
          <w:szCs w:val="52"/>
          <w:highlight w:val="none"/>
        </w:rPr>
      </w:pPr>
      <w:r>
        <w:rPr>
          <w:rFonts w:hint="eastAsia" w:ascii="黑体" w:eastAsia="黑体" w:cs="黑体"/>
          <w:color w:val="auto"/>
          <w:kern w:val="1"/>
          <w:sz w:val="52"/>
          <w:szCs w:val="52"/>
          <w:highlight w:val="none"/>
        </w:rPr>
        <w:br w:type="page"/>
      </w:r>
    </w:p>
    <w:p>
      <w:pPr>
        <w:pStyle w:val="3"/>
        <w:widowControl/>
        <w:spacing w:before="4000" w:line="360" w:lineRule="auto"/>
        <w:jc w:val="center"/>
        <w:rPr>
          <w:rFonts w:hint="eastAsia" w:ascii="黑体" w:eastAsia="黑体" w:cs="黑体"/>
          <w:color w:val="auto"/>
          <w:kern w:val="1"/>
          <w:sz w:val="52"/>
          <w:szCs w:val="52"/>
          <w:highlight w:val="none"/>
        </w:rPr>
      </w:pPr>
    </w:p>
    <w:p>
      <w:pPr>
        <w:pStyle w:val="3"/>
        <w:widowControl/>
        <w:spacing w:before="4000" w:line="360" w:lineRule="auto"/>
        <w:jc w:val="center"/>
        <w:rPr>
          <w:rFonts w:ascii="黑体" w:eastAsia="黑体" w:cs="宋体"/>
          <w:color w:val="auto"/>
          <w:sz w:val="52"/>
          <w:szCs w:val="52"/>
          <w:highlight w:val="none"/>
        </w:rPr>
      </w:pPr>
      <w:bookmarkStart w:id="1467" w:name="_Toc26548"/>
      <w:bookmarkStart w:id="1468" w:name="_Toc23963"/>
      <w:r>
        <w:rPr>
          <w:rFonts w:hint="eastAsia" w:ascii="黑体" w:eastAsia="黑体" w:cs="黑体"/>
          <w:color w:val="auto"/>
          <w:kern w:val="1"/>
          <w:sz w:val="52"/>
          <w:szCs w:val="52"/>
          <w:highlight w:val="none"/>
        </w:rPr>
        <w:t>第二卷</w:t>
      </w:r>
      <w:bookmarkEnd w:id="1460"/>
      <w:bookmarkEnd w:id="1461"/>
      <w:bookmarkEnd w:id="1462"/>
      <w:bookmarkEnd w:id="1463"/>
      <w:bookmarkEnd w:id="1464"/>
      <w:bookmarkEnd w:id="1465"/>
      <w:bookmarkEnd w:id="1466"/>
      <w:bookmarkEnd w:id="1467"/>
      <w:bookmarkEnd w:id="1468"/>
    </w:p>
    <w:p>
      <w:pPr>
        <w:spacing w:line="360" w:lineRule="auto"/>
        <w:jc w:val="center"/>
        <w:rPr>
          <w:rFonts w:cs="宋体"/>
          <w:color w:val="auto"/>
          <w:kern w:val="1"/>
          <w:sz w:val="20"/>
          <w:highlight w:val="none"/>
        </w:rPr>
      </w:pPr>
      <w:r>
        <w:rPr>
          <w:rFonts w:hint="eastAsia" w:cs="宋体"/>
          <w:color w:val="auto"/>
          <w:kern w:val="1"/>
          <w:sz w:val="20"/>
          <w:highlight w:val="none"/>
        </w:rPr>
        <w:br w:type="page"/>
      </w:r>
    </w:p>
    <w:p>
      <w:pPr>
        <w:spacing w:line="360" w:lineRule="auto"/>
        <w:jc w:val="center"/>
        <w:rPr>
          <w:rFonts w:cs="宋体"/>
          <w:color w:val="auto"/>
          <w:kern w:val="1"/>
          <w:sz w:val="20"/>
          <w:highlight w:val="none"/>
        </w:rPr>
      </w:pPr>
      <w:r>
        <w:rPr>
          <w:rFonts w:hint="eastAsia" w:cs="宋体"/>
          <w:color w:val="auto"/>
          <w:kern w:val="1"/>
          <w:sz w:val="20"/>
          <w:highlight w:val="none"/>
        </w:rPr>
        <w:t xml:space="preserve"> </w:t>
      </w:r>
    </w:p>
    <w:p>
      <w:pPr>
        <w:pStyle w:val="3"/>
        <w:keepNext w:val="0"/>
        <w:keepLines w:val="0"/>
        <w:spacing w:before="4000" w:line="360" w:lineRule="auto"/>
        <w:jc w:val="center"/>
        <w:rPr>
          <w:rFonts w:ascii="黑体" w:eastAsia="黑体" w:cs="宋体"/>
          <w:b w:val="0"/>
          <w:color w:val="auto"/>
          <w:kern w:val="1"/>
          <w:highlight w:val="none"/>
        </w:rPr>
      </w:pPr>
      <w:bookmarkStart w:id="1469" w:name="_Toc144974851"/>
      <w:bookmarkEnd w:id="1469"/>
      <w:bookmarkStart w:id="1470" w:name="_Toc458440237"/>
      <w:bookmarkEnd w:id="1470"/>
      <w:bookmarkStart w:id="1471" w:name="_Toc30385"/>
      <w:bookmarkEnd w:id="1471"/>
      <w:bookmarkStart w:id="1472" w:name="_Toc247514233"/>
      <w:bookmarkEnd w:id="1472"/>
      <w:bookmarkStart w:id="1473" w:name="_Toc18911"/>
      <w:bookmarkEnd w:id="1473"/>
      <w:bookmarkStart w:id="1474" w:name="_Toc152045782"/>
      <w:bookmarkEnd w:id="1474"/>
      <w:bookmarkStart w:id="1475" w:name="_Toc247527820"/>
      <w:bookmarkEnd w:id="1475"/>
      <w:bookmarkStart w:id="1476" w:name="_Toc414046955"/>
      <w:bookmarkEnd w:id="1476"/>
      <w:bookmarkStart w:id="1477" w:name="_Toc30170690"/>
      <w:bookmarkEnd w:id="1477"/>
      <w:bookmarkStart w:id="1478" w:name="_Toc152042571"/>
      <w:bookmarkEnd w:id="1478"/>
      <w:bookmarkStart w:id="1479" w:name="_Toc52112983"/>
      <w:bookmarkStart w:id="1480" w:name="_Toc14335"/>
      <w:bookmarkStart w:id="1481" w:name="_Toc106703312"/>
      <w:bookmarkStart w:id="1482" w:name="_Toc29735"/>
      <w:bookmarkStart w:id="1483" w:name="_Toc23763"/>
      <w:bookmarkStart w:id="1484" w:name="_Toc61877325"/>
      <w:bookmarkStart w:id="1485" w:name="_Toc16174"/>
      <w:bookmarkStart w:id="1486" w:name="_Toc805"/>
      <w:bookmarkStart w:id="1487" w:name="_Toc30865"/>
      <w:r>
        <w:rPr>
          <w:rFonts w:hint="eastAsia" w:ascii="黑体" w:eastAsia="黑体" w:cs="黑体"/>
          <w:b w:val="0"/>
          <w:color w:val="auto"/>
          <w:kern w:val="1"/>
          <w:highlight w:val="none"/>
        </w:rPr>
        <w:t>第六章</w:t>
      </w:r>
      <w:r>
        <w:rPr>
          <w:rFonts w:hint="eastAsia" w:ascii="黑体" w:eastAsia="黑体" w:cs="宋体"/>
          <w:b w:val="0"/>
          <w:color w:val="auto"/>
          <w:kern w:val="1"/>
          <w:highlight w:val="none"/>
        </w:rPr>
        <w:t xml:space="preserve">  </w:t>
      </w:r>
      <w:bookmarkEnd w:id="1479"/>
      <w:r>
        <w:rPr>
          <w:rFonts w:hint="eastAsia" w:ascii="黑体" w:eastAsia="黑体" w:cs="黑体"/>
          <w:b w:val="0"/>
          <w:color w:val="auto"/>
          <w:kern w:val="1"/>
          <w:highlight w:val="none"/>
        </w:rPr>
        <w:t>工程量清单与计价</w:t>
      </w:r>
      <w:bookmarkEnd w:id="1480"/>
      <w:bookmarkEnd w:id="1481"/>
      <w:bookmarkEnd w:id="1482"/>
      <w:bookmarkEnd w:id="1483"/>
      <w:bookmarkEnd w:id="1484"/>
      <w:bookmarkEnd w:id="1485"/>
      <w:bookmarkEnd w:id="1486"/>
      <w:bookmarkEnd w:id="1487"/>
    </w:p>
    <w:p>
      <w:pPr>
        <w:spacing w:line="360" w:lineRule="auto"/>
        <w:rPr>
          <w:rFonts w:cs="宋体"/>
          <w:color w:val="auto"/>
          <w:kern w:val="1"/>
          <w:sz w:val="21"/>
          <w:szCs w:val="21"/>
          <w:highlight w:val="none"/>
        </w:rPr>
      </w:pPr>
      <w:r>
        <w:rPr>
          <w:rFonts w:hint="eastAsia" w:cs="宋体"/>
          <w:color w:val="auto"/>
          <w:kern w:val="1"/>
          <w:sz w:val="21"/>
          <w:szCs w:val="21"/>
          <w:highlight w:val="none"/>
        </w:rPr>
        <w:t xml:space="preserve"> </w:t>
      </w:r>
    </w:p>
    <w:p>
      <w:pPr>
        <w:pStyle w:val="4"/>
        <w:widowControl/>
        <w:spacing w:beforeLines="0" w:afterLines="0"/>
        <w:rPr>
          <w:rFonts w:hAnsi="宋体" w:cs="黑体"/>
          <w:color w:val="auto"/>
          <w:highlight w:val="none"/>
        </w:rPr>
      </w:pPr>
      <w:r>
        <w:rPr>
          <w:rFonts w:hint="eastAsia" w:ascii="宋体" w:hAnsi="宋体" w:cs="宋体"/>
          <w:color w:val="auto"/>
          <w:highlight w:val="none"/>
        </w:rPr>
        <w:br w:type="page"/>
      </w:r>
      <w:bookmarkStart w:id="1488" w:name="_Toc4384"/>
      <w:bookmarkEnd w:id="1488"/>
      <w:bookmarkStart w:id="1489" w:name="_Toc29491"/>
      <w:bookmarkEnd w:id="1489"/>
      <w:bookmarkStart w:id="1490" w:name="_Toc1688"/>
      <w:bookmarkEnd w:id="1490"/>
      <w:bookmarkStart w:id="1491" w:name="_Toc52112984"/>
      <w:bookmarkStart w:id="1492" w:name="_Toc61877326"/>
      <w:bookmarkStart w:id="1493" w:name="_Toc17794"/>
      <w:bookmarkStart w:id="1494" w:name="_Toc32581"/>
      <w:bookmarkStart w:id="1495" w:name="_Toc24497"/>
      <w:bookmarkStart w:id="1496" w:name="_Toc106703313"/>
      <w:bookmarkStart w:id="1497" w:name="_Toc7993"/>
      <w:bookmarkStart w:id="1498" w:name="_Toc26149"/>
      <w:bookmarkStart w:id="1499" w:name="_Toc5234"/>
      <w:r>
        <w:rPr>
          <w:rFonts w:hint="eastAsia" w:hAnsi="宋体" w:cs="黑体"/>
          <w:color w:val="auto"/>
          <w:highlight w:val="none"/>
        </w:rPr>
        <w:t>工</w:t>
      </w:r>
      <w:bookmarkEnd w:id="1491"/>
      <w:bookmarkStart w:id="1500" w:name="_Toc63471506"/>
      <w:bookmarkEnd w:id="1500"/>
      <w:bookmarkStart w:id="1501" w:name="_Toc49663137"/>
      <w:bookmarkEnd w:id="1501"/>
      <w:bookmarkStart w:id="1502" w:name="_Toc13309407"/>
      <w:r>
        <w:rPr>
          <w:rFonts w:hint="eastAsia" w:hAnsi="宋体" w:cs="黑体"/>
          <w:color w:val="auto"/>
          <w:highlight w:val="none"/>
        </w:rPr>
        <w:t>程量清单</w:t>
      </w:r>
      <w:bookmarkEnd w:id="1492"/>
      <w:bookmarkEnd w:id="1493"/>
      <w:bookmarkEnd w:id="1494"/>
      <w:bookmarkEnd w:id="1495"/>
      <w:bookmarkEnd w:id="1496"/>
      <w:bookmarkEnd w:id="1497"/>
      <w:bookmarkEnd w:id="1498"/>
      <w:bookmarkEnd w:id="1499"/>
      <w:bookmarkEnd w:id="1502"/>
    </w:p>
    <w:p>
      <w:pPr>
        <w:pStyle w:val="5"/>
        <w:widowControl/>
        <w:spacing w:beforeLines="0" w:afterLines="0"/>
        <w:rPr>
          <w:rFonts w:hAnsi="宋体" w:cs="黑体"/>
          <w:color w:val="auto"/>
          <w:highlight w:val="none"/>
        </w:rPr>
      </w:pPr>
      <w:bookmarkStart w:id="1503" w:name="_Toc52112985"/>
      <w:bookmarkEnd w:id="1503"/>
      <w:bookmarkStart w:id="1504" w:name="_Toc7058"/>
      <w:bookmarkStart w:id="1505" w:name="_Toc8537"/>
      <w:bookmarkStart w:id="1506" w:name="_Toc23275"/>
      <w:bookmarkStart w:id="1507" w:name="_Toc61877327"/>
      <w:bookmarkStart w:id="1508" w:name="_Toc106703314"/>
      <w:bookmarkStart w:id="1509" w:name="_Toc10984"/>
      <w:bookmarkStart w:id="1510" w:name="_Toc22586"/>
      <w:bookmarkStart w:id="1511" w:name="_Toc30878"/>
      <w:r>
        <w:rPr>
          <w:rFonts w:hint="eastAsia" w:hAnsi="宋体" w:cs="黑体"/>
          <w:color w:val="auto"/>
          <w:highlight w:val="none"/>
        </w:rPr>
        <w:t>1.说明</w:t>
      </w:r>
      <w:bookmarkEnd w:id="1504"/>
      <w:bookmarkEnd w:id="1505"/>
      <w:bookmarkEnd w:id="1506"/>
      <w:bookmarkEnd w:id="1507"/>
      <w:bookmarkEnd w:id="1508"/>
      <w:bookmarkEnd w:id="1509"/>
      <w:bookmarkEnd w:id="1510"/>
      <w:bookmarkEnd w:id="1511"/>
    </w:p>
    <w:p>
      <w:pPr>
        <w:adjustRightInd w:val="0"/>
        <w:spacing w:line="360" w:lineRule="auto"/>
        <w:ind w:firstLine="436" w:firstLineChars="208"/>
        <w:textAlignment w:val="baseline"/>
        <w:rPr>
          <w:rFonts w:ascii="Calibri" w:hAnsi="Calibri" w:cs="Calibri"/>
          <w:color w:val="auto"/>
          <w:kern w:val="2"/>
          <w:sz w:val="21"/>
          <w:szCs w:val="21"/>
          <w:highlight w:val="none"/>
        </w:rPr>
      </w:pPr>
      <w:r>
        <w:rPr>
          <w:rFonts w:hint="eastAsia" w:cs="宋体"/>
          <w:color w:val="auto"/>
          <w:kern w:val="2"/>
          <w:sz w:val="21"/>
          <w:szCs w:val="21"/>
          <w:highlight w:val="none"/>
        </w:rPr>
        <w:t>1.1工程量清单是依据现行工程量清单计价计量规范、招标文件中包括的图纸以及我省现行有关计价规定等编制。计量采用中华人民共和国法定计量单位。</w:t>
      </w:r>
    </w:p>
    <w:p>
      <w:pPr>
        <w:adjustRightInd w:val="0"/>
        <w:spacing w:line="360" w:lineRule="auto"/>
        <w:ind w:firstLine="436" w:firstLineChars="208"/>
        <w:textAlignment w:val="baseline"/>
        <w:rPr>
          <w:rFonts w:ascii="Calibri" w:hAnsi="Calibri" w:cs="Calibri"/>
          <w:color w:val="auto"/>
          <w:kern w:val="2"/>
          <w:sz w:val="21"/>
          <w:szCs w:val="21"/>
          <w:highlight w:val="none"/>
        </w:rPr>
      </w:pPr>
      <w:r>
        <w:rPr>
          <w:rFonts w:hint="eastAsia" w:cs="宋体"/>
          <w:color w:val="auto"/>
          <w:kern w:val="2"/>
          <w:sz w:val="21"/>
          <w:szCs w:val="21"/>
          <w:highlight w:val="none"/>
        </w:rPr>
        <w:t>1.2工程量清单作为招标文件的组成部分，应与招标文件中的投标人须知、通用合同条款、专用合同条款、技术标准和要求以及图纸等章节内容一起阅读和理解。</w:t>
      </w:r>
    </w:p>
    <w:p>
      <w:pPr>
        <w:adjustRightInd w:val="0"/>
        <w:spacing w:line="360" w:lineRule="auto"/>
        <w:ind w:firstLine="436" w:firstLineChars="208"/>
        <w:textAlignment w:val="baseline"/>
        <w:rPr>
          <w:rFonts w:ascii="Calibri" w:hAnsi="Calibri" w:cs="Calibri"/>
          <w:color w:val="auto"/>
          <w:kern w:val="2"/>
          <w:sz w:val="21"/>
          <w:szCs w:val="21"/>
          <w:highlight w:val="none"/>
        </w:rPr>
      </w:pPr>
      <w:r>
        <w:rPr>
          <w:rFonts w:hint="eastAsia" w:cs="宋体"/>
          <w:color w:val="auto"/>
          <w:kern w:val="2"/>
          <w:sz w:val="21"/>
          <w:szCs w:val="21"/>
          <w:highlight w:val="none"/>
        </w:rPr>
        <w:t>1.3工程量清单仅是投标报价的共同基础，其准确性和完整性由招标人负责。合同价款的确定、工程计量和价款支付应遵循合同条款（包括通用合同条款和专用合同条款）、技术标准和要求以及本章的有关约定。</w:t>
      </w:r>
    </w:p>
    <w:p>
      <w:pPr>
        <w:adjustRightInd w:val="0"/>
        <w:spacing w:line="360" w:lineRule="auto"/>
        <w:ind w:firstLine="436" w:firstLineChars="208"/>
        <w:textAlignment w:val="baseline"/>
        <w:rPr>
          <w:rFonts w:ascii="Calibri" w:hAnsi="Calibri" w:cs="Calibri"/>
          <w:color w:val="auto"/>
          <w:kern w:val="2"/>
          <w:sz w:val="21"/>
          <w:szCs w:val="21"/>
          <w:highlight w:val="none"/>
        </w:rPr>
      </w:pPr>
      <w:r>
        <w:rPr>
          <w:rFonts w:hint="eastAsia" w:cs="宋体"/>
          <w:color w:val="auto"/>
          <w:kern w:val="2"/>
          <w:sz w:val="21"/>
          <w:szCs w:val="21"/>
          <w:highlight w:val="none"/>
        </w:rPr>
        <w:t>1.4补充子目工程量计算规则及子目工作内容说明详见工程量清单中的“总说明”。</w:t>
      </w:r>
    </w:p>
    <w:p>
      <w:pPr>
        <w:adjustRightInd w:val="0"/>
        <w:spacing w:line="360" w:lineRule="auto"/>
        <w:ind w:firstLine="436" w:firstLineChars="208"/>
        <w:textAlignment w:val="baseline"/>
        <w:rPr>
          <w:rFonts w:cs="宋体"/>
          <w:color w:val="auto"/>
          <w:kern w:val="2"/>
          <w:sz w:val="21"/>
          <w:szCs w:val="21"/>
          <w:highlight w:val="none"/>
        </w:rPr>
      </w:pPr>
      <w:r>
        <w:rPr>
          <w:rFonts w:hint="eastAsia" w:cs="宋体"/>
          <w:color w:val="auto"/>
          <w:kern w:val="2"/>
          <w:sz w:val="21"/>
          <w:szCs w:val="21"/>
          <w:highlight w:val="none"/>
        </w:rPr>
        <w:t>1.5工程量清单的格式符合现行工程量清单计价规范及福建省和厦门市现行有关规定，其电子文件格式同时符合《福建省建设工程造价电子数据交换导则》的规定。</w:t>
      </w:r>
    </w:p>
    <w:p>
      <w:pPr>
        <w:pStyle w:val="5"/>
        <w:widowControl/>
        <w:spacing w:beforeLines="0" w:afterLines="0"/>
        <w:rPr>
          <w:rFonts w:hAnsi="宋体" w:cs="黑体"/>
          <w:color w:val="auto"/>
          <w:highlight w:val="none"/>
        </w:rPr>
      </w:pPr>
      <w:bookmarkStart w:id="1512" w:name="_Toc52112986"/>
      <w:bookmarkEnd w:id="1512"/>
      <w:bookmarkStart w:id="1513" w:name="_Toc6487"/>
      <w:bookmarkStart w:id="1514" w:name="_Toc29732"/>
      <w:bookmarkStart w:id="1515" w:name="_Toc61877328"/>
      <w:bookmarkStart w:id="1516" w:name="_Toc16958"/>
      <w:bookmarkStart w:id="1517" w:name="_Toc4138"/>
      <w:bookmarkStart w:id="1518" w:name="_Toc30069"/>
      <w:bookmarkStart w:id="1519" w:name="_Toc26513"/>
      <w:bookmarkStart w:id="1520" w:name="_Toc106703315"/>
      <w:r>
        <w:rPr>
          <w:rFonts w:hint="eastAsia" w:hAnsi="宋体" w:cs="黑体"/>
          <w:color w:val="auto"/>
          <w:highlight w:val="none"/>
        </w:rPr>
        <w:t>2.本项目招标工程量清单</w:t>
      </w:r>
      <w:bookmarkEnd w:id="1513"/>
      <w:bookmarkEnd w:id="1514"/>
      <w:bookmarkEnd w:id="1515"/>
      <w:bookmarkEnd w:id="1516"/>
      <w:bookmarkEnd w:id="1517"/>
      <w:bookmarkEnd w:id="1518"/>
      <w:bookmarkEnd w:id="1519"/>
      <w:bookmarkEnd w:id="1520"/>
    </w:p>
    <w:p>
      <w:pPr>
        <w:adjustRightInd w:val="0"/>
        <w:spacing w:line="360" w:lineRule="auto"/>
        <w:ind w:firstLine="480"/>
        <w:textAlignment w:val="baseline"/>
        <w:rPr>
          <w:rFonts w:cs="宋体"/>
          <w:color w:val="auto"/>
          <w:sz w:val="21"/>
          <w:szCs w:val="21"/>
          <w:highlight w:val="none"/>
        </w:rPr>
      </w:pPr>
      <w:r>
        <w:rPr>
          <w:rFonts w:hint="eastAsia" w:cs="宋体"/>
          <w:color w:val="auto"/>
          <w:sz w:val="21"/>
          <w:szCs w:val="21"/>
          <w:highlight w:val="none"/>
        </w:rPr>
        <w:t>本项目招标工程量清单由招标人另册提供，包括编制说明和表格。其中，编制说明按照后页格式填写。招标项目明确应用建筑信息模型（BIM）技术的，招标工程量清单应列明BIM技术应用费。</w:t>
      </w:r>
    </w:p>
    <w:p>
      <w:pPr>
        <w:snapToGrid w:val="0"/>
        <w:spacing w:beforeLines="100" w:afterLines="100" w:line="360" w:lineRule="auto"/>
        <w:jc w:val="center"/>
        <w:rPr>
          <w:rFonts w:ascii="黑体" w:hAnsi="黑体" w:eastAsia="黑体"/>
          <w:bCs/>
          <w:color w:val="auto"/>
          <w:sz w:val="21"/>
          <w:szCs w:val="21"/>
          <w:highlight w:val="none"/>
        </w:rPr>
      </w:pPr>
      <w:r>
        <w:rPr>
          <w:color w:val="auto"/>
          <w:highlight w:val="none"/>
        </w:rPr>
        <w:br w:type="page"/>
      </w:r>
      <w:r>
        <w:rPr>
          <w:rFonts w:hint="eastAsia" w:ascii="黑体" w:hAnsi="黑体" w:eastAsia="黑体"/>
          <w:bCs/>
          <w:color w:val="auto"/>
          <w:sz w:val="21"/>
          <w:szCs w:val="21"/>
          <w:highlight w:val="none"/>
        </w:rPr>
        <w:t>房屋建筑工程工程量清单编制说明</w:t>
      </w:r>
    </w:p>
    <w:p>
      <w:pPr>
        <w:adjustRightInd w:val="0"/>
        <w:spacing w:line="360" w:lineRule="auto"/>
        <w:jc w:val="left"/>
        <w:textAlignment w:val="baseline"/>
        <w:rPr>
          <w:color w:val="auto"/>
          <w:sz w:val="21"/>
          <w:szCs w:val="21"/>
          <w:highlight w:val="none"/>
          <w:u w:val="single"/>
        </w:rPr>
      </w:pPr>
      <w:r>
        <w:rPr>
          <w:rFonts w:hint="eastAsia"/>
          <w:color w:val="auto"/>
          <w:sz w:val="21"/>
          <w:szCs w:val="21"/>
          <w:highlight w:val="none"/>
        </w:rPr>
        <w:t>工程名称（全称）：</w:t>
      </w:r>
      <w:r>
        <w:rPr>
          <w:rFonts w:hint="eastAsia" w:cs="Times New Roman"/>
          <w:color w:val="0000FF"/>
          <w:sz w:val="21"/>
          <w:szCs w:val="21"/>
          <w:highlight w:val="none"/>
          <w:u w:val="single"/>
          <w:lang w:eastAsia="zh-CN"/>
        </w:rPr>
        <w:t>信达智慧科技园（施工“评定分离”）</w:t>
      </w:r>
    </w:p>
    <w:p>
      <w:pPr>
        <w:adjustRightInd w:val="0"/>
        <w:spacing w:line="360" w:lineRule="auto"/>
        <w:jc w:val="left"/>
        <w:textAlignment w:val="baseline"/>
        <w:rPr>
          <w:rFonts w:cs="宋体"/>
          <w:color w:val="0000FF"/>
          <w:sz w:val="21"/>
          <w:szCs w:val="21"/>
          <w:highlight w:val="none"/>
          <w:u w:val="single"/>
        </w:rPr>
      </w:pPr>
      <w:bookmarkStart w:id="1521" w:name="_Toc6623"/>
      <w:bookmarkEnd w:id="1521"/>
      <w:bookmarkStart w:id="1522" w:name="_Toc30013"/>
      <w:bookmarkEnd w:id="1522"/>
      <w:bookmarkStart w:id="1523" w:name="_Toc63471507"/>
      <w:bookmarkEnd w:id="1523"/>
      <w:bookmarkStart w:id="1524" w:name="_Toc49663138"/>
      <w:bookmarkEnd w:id="1524"/>
      <w:bookmarkStart w:id="1525" w:name="_Toc26813"/>
      <w:bookmarkEnd w:id="1525"/>
      <w:r>
        <w:rPr>
          <w:rFonts w:hint="eastAsia" w:cs="宋体"/>
          <w:color w:val="0000FF"/>
          <w:sz w:val="21"/>
          <w:szCs w:val="21"/>
          <w:highlight w:val="none"/>
          <w:u w:val="single"/>
          <w:lang w:eastAsia="zh-CN"/>
        </w:rPr>
        <w:t>具体</w:t>
      </w:r>
      <w:r>
        <w:rPr>
          <w:rFonts w:hint="eastAsia" w:cs="宋体"/>
          <w:color w:val="0000FF"/>
          <w:sz w:val="21"/>
          <w:szCs w:val="21"/>
          <w:highlight w:val="none"/>
          <w:u w:val="single"/>
        </w:rPr>
        <w:t>详见本工程工程量清单编制说明</w:t>
      </w:r>
    </w:p>
    <w:p>
      <w:pPr>
        <w:pStyle w:val="4"/>
        <w:widowControl/>
        <w:spacing w:beforeLines="0" w:afterLines="0"/>
        <w:rPr>
          <w:rFonts w:hAnsi="宋体" w:cs="黑体"/>
          <w:color w:val="auto"/>
          <w:highlight w:val="none"/>
        </w:rPr>
      </w:pPr>
    </w:p>
    <w:p>
      <w:pPr>
        <w:pStyle w:val="4"/>
        <w:spacing w:beforeLines="0" w:afterLines="0"/>
        <w:rPr>
          <w:color w:val="auto"/>
          <w:highlight w:val="none"/>
        </w:rPr>
      </w:pPr>
      <w:r>
        <w:rPr>
          <w:color w:val="auto"/>
          <w:highlight w:val="none"/>
        </w:rPr>
        <w:br w:type="page"/>
      </w:r>
      <w:bookmarkStart w:id="1526" w:name="_Toc106703316"/>
      <w:bookmarkStart w:id="1527" w:name="_Toc22972"/>
      <w:bookmarkStart w:id="1528" w:name="_Toc23854"/>
      <w:r>
        <w:rPr>
          <w:rFonts w:hint="eastAsia"/>
          <w:color w:val="auto"/>
          <w:highlight w:val="none"/>
        </w:rPr>
        <w:t>最高投标报价限价</w:t>
      </w:r>
      <w:bookmarkEnd w:id="1526"/>
      <w:bookmarkEnd w:id="1527"/>
      <w:bookmarkEnd w:id="1528"/>
    </w:p>
    <w:p>
      <w:pPr>
        <w:pStyle w:val="5"/>
        <w:widowControl/>
        <w:spacing w:beforeLines="0" w:afterLines="0"/>
        <w:rPr>
          <w:rFonts w:hAnsi="宋体" w:cs="黑体"/>
          <w:color w:val="auto"/>
          <w:highlight w:val="none"/>
        </w:rPr>
      </w:pPr>
      <w:bookmarkStart w:id="1529" w:name="_Toc52112988"/>
      <w:bookmarkEnd w:id="1529"/>
      <w:bookmarkStart w:id="1530" w:name="_Toc3930"/>
      <w:bookmarkStart w:id="1531" w:name="_Toc1187"/>
      <w:bookmarkStart w:id="1532" w:name="_Toc31398"/>
      <w:bookmarkStart w:id="1533" w:name="_Toc61877330"/>
      <w:bookmarkStart w:id="1534" w:name="_Toc9601"/>
      <w:bookmarkStart w:id="1535" w:name="_Toc31316"/>
      <w:bookmarkStart w:id="1536" w:name="_Toc11295"/>
      <w:bookmarkStart w:id="1537" w:name="_Toc106703317"/>
      <w:r>
        <w:rPr>
          <w:rFonts w:hint="eastAsia" w:hAnsi="宋体" w:cs="黑体"/>
          <w:color w:val="auto"/>
          <w:highlight w:val="none"/>
        </w:rPr>
        <w:t>1.说明</w:t>
      </w:r>
      <w:bookmarkEnd w:id="1530"/>
      <w:bookmarkEnd w:id="1531"/>
      <w:bookmarkEnd w:id="1532"/>
      <w:bookmarkEnd w:id="1533"/>
      <w:bookmarkEnd w:id="1534"/>
      <w:bookmarkEnd w:id="1535"/>
      <w:bookmarkEnd w:id="1536"/>
      <w:bookmarkEnd w:id="1537"/>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1.1最高投标报价限价作为投标报价的参考。</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1.2最高投标报价限价的格式符合现行工程量清单计价规范及福建省和厦门市现行有关规定，其电子文件格式同时符合《福建省建设工程造价电子数据交换导则》的规定。</w:t>
      </w:r>
    </w:p>
    <w:p>
      <w:pPr>
        <w:pStyle w:val="59"/>
        <w:spacing w:after="0" w:line="360" w:lineRule="auto"/>
        <w:ind w:left="0" w:firstLineChars="200"/>
        <w:rPr>
          <w:rFonts w:ascii="宋体" w:hAnsi="宋体" w:cs="宋体"/>
          <w:color w:val="auto"/>
          <w:kern w:val="0"/>
          <w:szCs w:val="21"/>
          <w:highlight w:val="none"/>
        </w:rPr>
      </w:pPr>
      <w:r>
        <w:rPr>
          <w:rFonts w:hint="eastAsia" w:ascii="宋体" w:hAnsi="宋体" w:cs="宋体"/>
          <w:color w:val="auto"/>
          <w:kern w:val="0"/>
          <w:szCs w:val="21"/>
          <w:highlight w:val="none"/>
        </w:rPr>
        <w:t>1.3最高投标报价限价依据现行工程量清单计价计量规范、招标工程量清单、招标文件中包括的图纸以及建设行政主管部门现行有关计价规定等编制。</w:t>
      </w:r>
    </w:p>
    <w:p>
      <w:pPr>
        <w:pStyle w:val="59"/>
        <w:spacing w:after="0" w:line="360" w:lineRule="auto"/>
        <w:ind w:left="0" w:firstLineChars="200"/>
        <w:rPr>
          <w:rFonts w:ascii="宋体" w:hAnsi="宋体" w:cs="宋体"/>
          <w:color w:val="auto"/>
          <w:kern w:val="0"/>
          <w:szCs w:val="21"/>
          <w:highlight w:val="none"/>
        </w:rPr>
      </w:pPr>
      <w:r>
        <w:rPr>
          <w:rFonts w:hint="eastAsia" w:ascii="宋体" w:hAnsi="宋体" w:cs="宋体"/>
          <w:color w:val="auto"/>
          <w:kern w:val="0"/>
          <w:szCs w:val="21"/>
          <w:highlight w:val="none"/>
        </w:rPr>
        <w:t>1.4投标人在投标截止前未在规定时间内对招标控制价等招标文件中影响投标人报价的内容提出异议的，除招标文件和合同另有规定外，纳入风险承包范围，中标后不再调整；招标人未对投标人（含未中标的其他投标人）在投标截止前并在规定时间内提出的异议提供实质性回复或修正的，在中标后发现确属错误的，不纳入风险承包范围，中标后据实予以调整。</w:t>
      </w:r>
    </w:p>
    <w:p>
      <w:pPr>
        <w:pStyle w:val="5"/>
        <w:widowControl/>
        <w:spacing w:beforeLines="0" w:afterLines="0"/>
        <w:rPr>
          <w:rFonts w:hAnsi="宋体" w:cs="黑体"/>
          <w:color w:val="auto"/>
          <w:highlight w:val="none"/>
        </w:rPr>
      </w:pPr>
      <w:bookmarkStart w:id="1538" w:name="_Toc52112989"/>
      <w:bookmarkEnd w:id="1538"/>
      <w:bookmarkStart w:id="1539" w:name="_Toc9116"/>
      <w:bookmarkStart w:id="1540" w:name="_Toc18249"/>
      <w:bookmarkStart w:id="1541" w:name="_Toc106703318"/>
      <w:bookmarkStart w:id="1542" w:name="_Toc22556"/>
      <w:bookmarkStart w:id="1543" w:name="_Toc61877331"/>
      <w:bookmarkStart w:id="1544" w:name="_Toc7999"/>
      <w:bookmarkStart w:id="1545" w:name="_Toc25190"/>
      <w:bookmarkStart w:id="1546" w:name="_Toc5697"/>
      <w:r>
        <w:rPr>
          <w:rFonts w:hint="eastAsia" w:hAnsi="宋体" w:cs="黑体"/>
          <w:color w:val="auto"/>
          <w:highlight w:val="none"/>
        </w:rPr>
        <w:t>2.本项目的最高投标报价限价</w:t>
      </w:r>
      <w:bookmarkEnd w:id="1539"/>
      <w:bookmarkEnd w:id="1540"/>
      <w:bookmarkEnd w:id="1541"/>
      <w:bookmarkEnd w:id="1542"/>
      <w:bookmarkEnd w:id="1543"/>
      <w:bookmarkEnd w:id="1544"/>
      <w:bookmarkEnd w:id="1545"/>
      <w:bookmarkEnd w:id="1546"/>
    </w:p>
    <w:p>
      <w:pPr>
        <w:adjustRightInd w:val="0"/>
        <w:spacing w:line="360" w:lineRule="auto"/>
        <w:ind w:firstLine="480"/>
        <w:textAlignment w:val="baseline"/>
        <w:rPr>
          <w:rFonts w:cs="宋体"/>
          <w:color w:val="auto"/>
          <w:sz w:val="21"/>
          <w:szCs w:val="21"/>
          <w:highlight w:val="none"/>
        </w:rPr>
      </w:pPr>
      <w:r>
        <w:rPr>
          <w:rFonts w:hint="eastAsia" w:cs="宋体"/>
          <w:color w:val="auto"/>
          <w:sz w:val="21"/>
          <w:szCs w:val="21"/>
          <w:highlight w:val="none"/>
        </w:rPr>
        <w:t>1.1本项目最高投标报价限价由招标人另册提供（不提供分部分项综合单价分析表），组成内容包括告知单、编制说明、表格和附件（如有）。</w:t>
      </w:r>
    </w:p>
    <w:p>
      <w:pPr>
        <w:adjustRightInd w:val="0"/>
        <w:spacing w:line="360" w:lineRule="auto"/>
        <w:ind w:firstLine="480"/>
        <w:textAlignment w:val="baseline"/>
        <w:rPr>
          <w:rFonts w:cs="宋体"/>
          <w:color w:val="auto"/>
          <w:sz w:val="21"/>
          <w:szCs w:val="21"/>
          <w:highlight w:val="none"/>
        </w:rPr>
      </w:pPr>
      <w:r>
        <w:rPr>
          <w:rFonts w:hint="eastAsia" w:cs="宋体"/>
          <w:color w:val="auto"/>
          <w:sz w:val="21"/>
          <w:szCs w:val="21"/>
          <w:highlight w:val="none"/>
        </w:rPr>
        <w:t>（1）编制说明按照后页格式填写。</w:t>
      </w:r>
    </w:p>
    <w:p>
      <w:pPr>
        <w:adjustRightInd w:val="0"/>
        <w:spacing w:line="360" w:lineRule="auto"/>
        <w:ind w:firstLine="480"/>
        <w:textAlignment w:val="baseline"/>
        <w:rPr>
          <w:rFonts w:cs="宋体"/>
          <w:color w:val="auto"/>
          <w:sz w:val="21"/>
          <w:szCs w:val="21"/>
          <w:highlight w:val="none"/>
        </w:rPr>
      </w:pPr>
      <w:r>
        <w:rPr>
          <w:rFonts w:hint="eastAsia" w:cs="宋体"/>
          <w:color w:val="auto"/>
          <w:sz w:val="21"/>
          <w:szCs w:val="21"/>
          <w:highlight w:val="none"/>
        </w:rPr>
        <w:t>（2）附件包括以下内容：</w:t>
      </w:r>
    </w:p>
    <w:p>
      <w:pPr>
        <w:adjustRightInd w:val="0"/>
        <w:spacing w:line="360" w:lineRule="auto"/>
        <w:ind w:firstLine="480"/>
        <w:textAlignment w:val="baseline"/>
        <w:rPr>
          <w:rFonts w:cs="宋体"/>
          <w:color w:val="auto"/>
          <w:kern w:val="1"/>
          <w:sz w:val="21"/>
          <w:szCs w:val="21"/>
          <w:highlight w:val="none"/>
        </w:rPr>
      </w:pPr>
      <w:r>
        <w:rPr>
          <w:rFonts w:hint="eastAsia" w:cs="宋体"/>
          <w:color w:val="auto"/>
          <w:sz w:val="21"/>
          <w:szCs w:val="21"/>
          <w:highlight w:val="none"/>
        </w:rPr>
        <w:t>①</w:t>
      </w:r>
      <w:r>
        <w:rPr>
          <w:rFonts w:hint="eastAsia" w:cs="宋体"/>
          <w:color w:val="auto"/>
          <w:kern w:val="1"/>
          <w:sz w:val="21"/>
          <w:szCs w:val="21"/>
          <w:highlight w:val="none"/>
        </w:rPr>
        <w:t xml:space="preserve">影响工程质量安全的基础、主体结构等主要分部分项工程综合单价； </w:t>
      </w:r>
    </w:p>
    <w:p>
      <w:pPr>
        <w:adjustRightInd w:val="0"/>
        <w:spacing w:line="360" w:lineRule="auto"/>
        <w:ind w:firstLine="480"/>
        <w:textAlignment w:val="baseline"/>
        <w:rPr>
          <w:rFonts w:cs="宋体"/>
          <w:color w:val="auto"/>
          <w:kern w:val="1"/>
          <w:sz w:val="21"/>
          <w:szCs w:val="21"/>
          <w:highlight w:val="none"/>
        </w:rPr>
      </w:pPr>
      <w:r>
        <w:rPr>
          <w:rFonts w:hint="eastAsia" w:cs="宋体"/>
          <w:color w:val="auto"/>
          <w:kern w:val="1"/>
          <w:sz w:val="21"/>
          <w:szCs w:val="21"/>
          <w:highlight w:val="none"/>
        </w:rPr>
        <w:t xml:space="preserve">②影响工程质量安全的脚手架、混凝土及钢筋混凝土模板、垂直运输机械、基坑支护等措施项目费用； </w:t>
      </w:r>
    </w:p>
    <w:p>
      <w:pPr>
        <w:adjustRightInd w:val="0"/>
        <w:spacing w:line="360" w:lineRule="auto"/>
        <w:ind w:firstLine="480"/>
        <w:textAlignment w:val="baseline"/>
        <w:rPr>
          <w:rFonts w:cs="宋体"/>
          <w:color w:val="auto"/>
          <w:kern w:val="1"/>
          <w:sz w:val="21"/>
          <w:szCs w:val="21"/>
          <w:highlight w:val="none"/>
        </w:rPr>
      </w:pPr>
      <w:r>
        <w:rPr>
          <w:rFonts w:hint="eastAsia" w:cs="宋体"/>
          <w:color w:val="auto"/>
          <w:kern w:val="1"/>
          <w:sz w:val="21"/>
          <w:szCs w:val="21"/>
          <w:highlight w:val="none"/>
        </w:rPr>
        <w:t>③影响工程质量安全的钢筋、钢结构的钢材、商品混凝土、水泥、预制桩、装配式建筑的预制构件、沥青及沥青混凝土、电线电缆、铸铁管等主要材料、设备单价。</w:t>
      </w:r>
    </w:p>
    <w:p>
      <w:pPr>
        <w:adjustRightInd w:val="0"/>
        <w:spacing w:line="360" w:lineRule="auto"/>
        <w:ind w:firstLine="480"/>
        <w:textAlignment w:val="baseline"/>
        <w:rPr>
          <w:rFonts w:cs="宋体"/>
          <w:color w:val="auto"/>
          <w:sz w:val="21"/>
          <w:szCs w:val="21"/>
          <w:highlight w:val="none"/>
        </w:rPr>
      </w:pPr>
      <w:r>
        <w:rPr>
          <w:rFonts w:hint="eastAsia" w:cs="宋体"/>
          <w:color w:val="auto"/>
          <w:sz w:val="21"/>
          <w:szCs w:val="21"/>
          <w:highlight w:val="none"/>
        </w:rPr>
        <w:t>1.2招标项目明确应用建筑信息模型（BIM）技术的，最高投标报价限价应列明BIM技术应用费。</w:t>
      </w:r>
    </w:p>
    <w:p>
      <w:pPr>
        <w:pStyle w:val="59"/>
        <w:rPr>
          <w:color w:val="auto"/>
          <w:highlight w:val="none"/>
        </w:rPr>
      </w:pPr>
    </w:p>
    <w:p>
      <w:pPr>
        <w:snapToGrid w:val="0"/>
        <w:spacing w:line="360" w:lineRule="auto"/>
        <w:ind w:left="624"/>
        <w:jc w:val="center"/>
        <w:rPr>
          <w:rFonts w:ascii="黑体" w:hAnsi="黑体" w:eastAsia="黑体"/>
          <w:bCs/>
          <w:color w:val="auto"/>
          <w:sz w:val="21"/>
          <w:szCs w:val="21"/>
          <w:highlight w:val="none"/>
        </w:rPr>
      </w:pPr>
      <w:r>
        <w:rPr>
          <w:color w:val="auto"/>
          <w:highlight w:val="none"/>
        </w:rPr>
        <w:br w:type="page"/>
      </w:r>
      <w:r>
        <w:rPr>
          <w:rFonts w:hint="eastAsia" w:ascii="黑体" w:hAnsi="黑体" w:eastAsia="黑体"/>
          <w:bCs/>
          <w:color w:val="auto"/>
          <w:sz w:val="21"/>
          <w:szCs w:val="21"/>
          <w:highlight w:val="none"/>
        </w:rPr>
        <w:t>房屋建筑工程最高投标报价限价编制说明</w:t>
      </w:r>
    </w:p>
    <w:p>
      <w:pPr>
        <w:adjustRightInd w:val="0"/>
        <w:snapToGrid w:val="0"/>
        <w:spacing w:line="360" w:lineRule="auto"/>
        <w:ind w:left="624"/>
        <w:jc w:val="center"/>
        <w:textAlignment w:val="baseline"/>
        <w:rPr>
          <w:b/>
          <w:bCs/>
          <w:color w:val="auto"/>
          <w:sz w:val="21"/>
          <w:szCs w:val="21"/>
          <w:highlight w:val="none"/>
        </w:rPr>
      </w:pPr>
    </w:p>
    <w:p>
      <w:pPr>
        <w:adjustRightInd w:val="0"/>
        <w:spacing w:line="360" w:lineRule="auto"/>
        <w:jc w:val="left"/>
        <w:textAlignment w:val="baseline"/>
        <w:rPr>
          <w:color w:val="auto"/>
          <w:sz w:val="21"/>
          <w:szCs w:val="21"/>
          <w:highlight w:val="none"/>
          <w:u w:val="single"/>
        </w:rPr>
      </w:pPr>
      <w:r>
        <w:rPr>
          <w:rFonts w:hint="eastAsia"/>
          <w:color w:val="auto"/>
          <w:sz w:val="21"/>
          <w:szCs w:val="21"/>
          <w:highlight w:val="none"/>
        </w:rPr>
        <w:t>工程名称（全称）：</w:t>
      </w:r>
      <w:r>
        <w:rPr>
          <w:rFonts w:hint="eastAsia" w:cs="Times New Roman"/>
          <w:color w:val="0000FF"/>
          <w:sz w:val="21"/>
          <w:szCs w:val="21"/>
          <w:highlight w:val="none"/>
          <w:u w:val="single"/>
          <w:lang w:eastAsia="zh-CN"/>
        </w:rPr>
        <w:t>信达智慧科技园（施工“评定分离”）</w:t>
      </w:r>
    </w:p>
    <w:p>
      <w:pPr>
        <w:adjustRightInd w:val="0"/>
        <w:spacing w:line="360" w:lineRule="auto"/>
        <w:textAlignment w:val="baseline"/>
        <w:rPr>
          <w:rFonts w:cs="宋体"/>
          <w:color w:val="auto"/>
          <w:sz w:val="21"/>
          <w:szCs w:val="21"/>
          <w:highlight w:val="none"/>
        </w:rPr>
      </w:pPr>
      <w:r>
        <w:rPr>
          <w:rFonts w:hint="eastAsia" w:cs="宋体"/>
          <w:color w:val="0000FF"/>
          <w:sz w:val="21"/>
          <w:szCs w:val="21"/>
          <w:highlight w:val="none"/>
          <w:u w:val="single"/>
          <w:lang w:eastAsia="zh-CN"/>
        </w:rPr>
        <w:t>具体</w:t>
      </w:r>
      <w:r>
        <w:rPr>
          <w:rFonts w:hint="eastAsia" w:cs="宋体"/>
          <w:color w:val="0000FF"/>
          <w:sz w:val="21"/>
          <w:szCs w:val="21"/>
          <w:highlight w:val="none"/>
          <w:u w:val="single"/>
        </w:rPr>
        <w:t>详见本工程最高投标报价限价编制说明</w:t>
      </w:r>
      <w:r>
        <w:rPr>
          <w:rFonts w:hint="eastAsia" w:cs="宋体"/>
          <w:color w:val="auto"/>
          <w:sz w:val="21"/>
          <w:szCs w:val="21"/>
          <w:highlight w:val="none"/>
        </w:rPr>
        <w:t xml:space="preserve"> </w:t>
      </w:r>
    </w:p>
    <w:p>
      <w:pPr>
        <w:adjustRightInd w:val="0"/>
        <w:spacing w:line="360" w:lineRule="auto"/>
        <w:ind w:firstLine="480"/>
        <w:textAlignment w:val="baseline"/>
        <w:rPr>
          <w:rFonts w:cs="宋体"/>
          <w:color w:val="auto"/>
          <w:sz w:val="21"/>
          <w:szCs w:val="21"/>
          <w:highlight w:val="none"/>
        </w:rPr>
      </w:pPr>
      <w:r>
        <w:rPr>
          <w:rFonts w:hint="eastAsia" w:cs="宋体"/>
          <w:color w:val="auto"/>
          <w:sz w:val="21"/>
          <w:szCs w:val="21"/>
          <w:highlight w:val="none"/>
        </w:rPr>
        <w:t xml:space="preserve"> </w:t>
      </w:r>
    </w:p>
    <w:p>
      <w:pPr>
        <w:rPr>
          <w:rFonts w:hint="eastAsia" w:hAnsi="宋体" w:cs="黑体"/>
          <w:color w:val="auto"/>
          <w:highlight w:val="none"/>
        </w:rPr>
      </w:pPr>
      <w:bookmarkStart w:id="1547" w:name="_Toc27656"/>
      <w:bookmarkEnd w:id="1547"/>
      <w:bookmarkStart w:id="1548" w:name="_Toc29180"/>
      <w:bookmarkEnd w:id="1548"/>
      <w:bookmarkStart w:id="1549" w:name="_Toc8145"/>
      <w:bookmarkEnd w:id="1549"/>
      <w:bookmarkStart w:id="1550" w:name="_Toc52112990"/>
      <w:bookmarkStart w:id="1551" w:name="_Toc61877332"/>
      <w:bookmarkStart w:id="1552" w:name="_Toc4442"/>
      <w:bookmarkStart w:id="1553" w:name="_Toc8165"/>
      <w:bookmarkStart w:id="1554" w:name="_Toc2904"/>
      <w:bookmarkStart w:id="1555" w:name="_Toc25285"/>
      <w:bookmarkStart w:id="1556" w:name="_Toc106703319"/>
      <w:r>
        <w:rPr>
          <w:rFonts w:hint="eastAsia" w:hAnsi="宋体" w:cs="黑体"/>
          <w:color w:val="auto"/>
          <w:highlight w:val="none"/>
        </w:rPr>
        <w:br w:type="page"/>
      </w:r>
    </w:p>
    <w:p>
      <w:pPr>
        <w:pStyle w:val="4"/>
        <w:widowControl/>
        <w:spacing w:beforeLines="0" w:afterLines="0"/>
        <w:rPr>
          <w:rFonts w:hAnsi="宋体" w:cs="黑体"/>
          <w:color w:val="auto"/>
          <w:highlight w:val="none"/>
        </w:rPr>
      </w:pPr>
      <w:bookmarkStart w:id="1557" w:name="_Toc15529"/>
      <w:bookmarkStart w:id="1558" w:name="_Toc23192"/>
      <w:r>
        <w:rPr>
          <w:rFonts w:hint="eastAsia" w:hAnsi="宋体" w:cs="黑体"/>
          <w:color w:val="auto"/>
          <w:highlight w:val="none"/>
        </w:rPr>
        <w:t>投</w:t>
      </w:r>
      <w:bookmarkEnd w:id="1550"/>
      <w:bookmarkStart w:id="1559" w:name="_Toc63471508"/>
      <w:bookmarkEnd w:id="1559"/>
      <w:bookmarkStart w:id="1560" w:name="_Toc49663139"/>
      <w:bookmarkEnd w:id="1560"/>
      <w:bookmarkStart w:id="1561" w:name="_Toc13309409"/>
      <w:r>
        <w:rPr>
          <w:rFonts w:hint="eastAsia" w:hAnsi="宋体" w:cs="黑体"/>
          <w:color w:val="auto"/>
          <w:highlight w:val="none"/>
        </w:rPr>
        <w:t>标报价</w:t>
      </w:r>
      <w:bookmarkEnd w:id="1551"/>
      <w:bookmarkEnd w:id="1552"/>
      <w:bookmarkEnd w:id="1553"/>
      <w:bookmarkEnd w:id="1554"/>
      <w:bookmarkEnd w:id="1555"/>
      <w:bookmarkEnd w:id="1556"/>
      <w:bookmarkEnd w:id="1557"/>
      <w:bookmarkEnd w:id="1558"/>
      <w:bookmarkEnd w:id="1561"/>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1、投标报价应根据招标文件中的有关计价要求，并按照下列依据自主报价：</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(1) 招标文件、招标工程量清单及其补充通知、答疑纪要；</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(2) 现行工程量清单计价规范及及我省现行有关规定；</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(3) 国家或省级建设主管部门颁发的计价办法；</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(4) 企业定额，国家或省级建设主管部门颁发的计价定额；</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(5) 建设工程设计文件及相关资料；</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(6) 施工现场情况、工程特点及投标时拟定的专项技术方案；</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(7) 与建设项目相关的标准、规范等技术资料；</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(8) 其他的相关资料。</w:t>
      </w:r>
    </w:p>
    <w:p>
      <w:pPr>
        <w:adjustRightInd w:val="0"/>
        <w:spacing w:line="360" w:lineRule="auto"/>
        <w:ind w:firstLine="436" w:firstLineChars="208"/>
        <w:textAlignment w:val="baseline"/>
        <w:rPr>
          <w:rFonts w:cs="宋体"/>
          <w:color w:val="auto"/>
          <w:kern w:val="2"/>
          <w:sz w:val="21"/>
          <w:szCs w:val="21"/>
          <w:highlight w:val="none"/>
        </w:rPr>
      </w:pPr>
      <w:r>
        <w:rPr>
          <w:rFonts w:hint="eastAsia" w:cs="宋体"/>
          <w:color w:val="auto"/>
          <w:kern w:val="2"/>
          <w:sz w:val="21"/>
          <w:szCs w:val="21"/>
          <w:highlight w:val="none"/>
        </w:rPr>
        <w:t>2、</w:t>
      </w:r>
      <w:r>
        <w:rPr>
          <w:rFonts w:hint="eastAsia" w:cs="宋体"/>
          <w:b/>
          <w:color w:val="auto"/>
          <w:kern w:val="2"/>
          <w:sz w:val="21"/>
          <w:szCs w:val="21"/>
          <w:highlight w:val="none"/>
        </w:rPr>
        <w:t>投标人必须按招标工程量清单填报价格。项目编码、项目名称、项目特征、计量单位、工程量必须与招标工程量清单相应内容保持一致。</w:t>
      </w:r>
    </w:p>
    <w:p>
      <w:pPr>
        <w:adjustRightInd w:val="0"/>
        <w:spacing w:line="360" w:lineRule="auto"/>
        <w:ind w:firstLine="436" w:firstLineChars="208"/>
        <w:textAlignment w:val="baseline"/>
        <w:rPr>
          <w:rFonts w:cs="宋体"/>
          <w:color w:val="auto"/>
          <w:kern w:val="2"/>
          <w:sz w:val="21"/>
          <w:szCs w:val="21"/>
          <w:highlight w:val="none"/>
        </w:rPr>
      </w:pPr>
      <w:r>
        <w:rPr>
          <w:rFonts w:hint="eastAsia" w:cs="宋体"/>
          <w:color w:val="auto"/>
          <w:kern w:val="2"/>
          <w:sz w:val="21"/>
          <w:szCs w:val="21"/>
          <w:highlight w:val="none"/>
        </w:rPr>
        <w:t>3、工程量清单中标价的单价或金额，应包括所需人工费、材料费、施工机械使用费、管理费、利润、规费和税金，以及一定范围内的风险。所谓“一定范围内的风险”是指合同约定的风险。投标报价中应考虑招标文件中要求投标人承担的风险范围。投标人一旦中标，不论是否计取风险费用即可认为风险费用已包括在各项费用中。</w:t>
      </w:r>
    </w:p>
    <w:p>
      <w:pPr>
        <w:adjustRightInd w:val="0"/>
        <w:spacing w:line="360" w:lineRule="auto"/>
        <w:ind w:firstLine="436" w:firstLineChars="208"/>
        <w:textAlignment w:val="baseline"/>
        <w:rPr>
          <w:rFonts w:cs="宋体"/>
          <w:color w:val="auto"/>
          <w:sz w:val="21"/>
          <w:szCs w:val="21"/>
          <w:highlight w:val="none"/>
        </w:rPr>
      </w:pPr>
      <w:r>
        <w:rPr>
          <w:rFonts w:hint="eastAsia" w:cs="宋体"/>
          <w:color w:val="auto"/>
          <w:sz w:val="21"/>
          <w:szCs w:val="21"/>
          <w:highlight w:val="none"/>
        </w:rPr>
        <w:t>4、</w:t>
      </w:r>
      <w:r>
        <w:rPr>
          <w:rFonts w:hint="eastAsia" w:cs="宋体"/>
          <w:b/>
          <w:color w:val="auto"/>
          <w:sz w:val="21"/>
          <w:szCs w:val="21"/>
          <w:highlight w:val="none"/>
        </w:rPr>
        <w:t>工程量清单与计价表中列明的所有需要填写单价和合价的项目，只允许有一个报价。</w:t>
      </w:r>
      <w:r>
        <w:rPr>
          <w:rFonts w:hint="eastAsia" w:cs="宋体"/>
          <w:color w:val="auto"/>
          <w:sz w:val="21"/>
          <w:szCs w:val="21"/>
          <w:highlight w:val="none"/>
        </w:rPr>
        <w:t>未填写单价和合价的项目，视为此项费用已包含在已标价工程量清单中其他项目的单价和合价之中。竣工结算时，此项目不得重新组价予以调整。</w:t>
      </w:r>
    </w:p>
    <w:p>
      <w:pPr>
        <w:adjustRightInd w:val="0"/>
        <w:spacing w:line="360" w:lineRule="auto"/>
        <w:ind w:firstLine="472" w:firstLineChars="224"/>
        <w:textAlignment w:val="baseline"/>
        <w:rPr>
          <w:rFonts w:cs="宋体"/>
          <w:b/>
          <w:color w:val="auto"/>
          <w:kern w:val="2"/>
          <w:sz w:val="21"/>
          <w:szCs w:val="21"/>
          <w:highlight w:val="none"/>
        </w:rPr>
      </w:pPr>
      <w:r>
        <w:rPr>
          <w:rFonts w:hint="eastAsia" w:cs="宋体"/>
          <w:b/>
          <w:color w:val="auto"/>
          <w:kern w:val="2"/>
          <w:sz w:val="21"/>
          <w:szCs w:val="21"/>
          <w:highlight w:val="none"/>
        </w:rPr>
        <w:t>5、投标总价应当与分部分项工程费、措施项目费、其他项目费的合计金额一致。</w:t>
      </w:r>
    </w:p>
    <w:p>
      <w:pPr>
        <w:adjustRightInd w:val="0"/>
        <w:spacing w:line="360" w:lineRule="auto"/>
        <w:ind w:firstLine="472" w:firstLineChars="224"/>
        <w:textAlignment w:val="baseline"/>
        <w:rPr>
          <w:rFonts w:cs="宋体"/>
          <w:b/>
          <w:color w:val="auto"/>
          <w:kern w:val="2"/>
          <w:sz w:val="21"/>
          <w:szCs w:val="21"/>
          <w:highlight w:val="none"/>
        </w:rPr>
      </w:pPr>
      <w:r>
        <w:rPr>
          <w:rFonts w:hint="eastAsia" w:cs="宋体"/>
          <w:b/>
          <w:color w:val="auto"/>
          <w:kern w:val="2"/>
          <w:sz w:val="21"/>
          <w:szCs w:val="21"/>
          <w:highlight w:val="none"/>
        </w:rPr>
        <w:t>6、安全文明施工费的计算应当符合《福建省建筑安装工程费用定额》（下称“《费用定额》”）的规定，即安全文明施工费费率不得低于《费用定额》规定的安全文明施工费费率；《费用定额》对安全文明施工费另有最低金额规定的，安全文明施工费不得低于《费用定额》规定的最低金额。</w:t>
      </w:r>
    </w:p>
    <w:p>
      <w:pPr>
        <w:adjustRightInd w:val="0"/>
        <w:spacing w:line="360" w:lineRule="auto"/>
        <w:ind w:firstLine="472" w:firstLineChars="224"/>
        <w:textAlignment w:val="baseline"/>
        <w:rPr>
          <w:rFonts w:cs="宋体"/>
          <w:color w:val="auto"/>
          <w:kern w:val="2"/>
          <w:sz w:val="21"/>
          <w:szCs w:val="21"/>
          <w:highlight w:val="none"/>
        </w:rPr>
      </w:pPr>
      <w:r>
        <w:rPr>
          <w:rFonts w:hint="eastAsia" w:cs="宋体"/>
          <w:b/>
          <w:color w:val="auto"/>
          <w:kern w:val="2"/>
          <w:sz w:val="21"/>
          <w:szCs w:val="21"/>
          <w:highlight w:val="none"/>
        </w:rPr>
        <w:t>7、投标人不得采用总价优惠或以总价百分比优惠的方式进行投标报价，其优惠应直接体现在各项投标报价的综合单价中。</w:t>
      </w:r>
    </w:p>
    <w:p>
      <w:pPr>
        <w:adjustRightInd w:val="0"/>
        <w:spacing w:line="360" w:lineRule="auto"/>
        <w:ind w:firstLine="472" w:firstLineChars="224"/>
        <w:textAlignment w:val="baseline"/>
        <w:rPr>
          <w:rFonts w:cs="宋体"/>
          <w:b/>
          <w:color w:val="auto"/>
          <w:sz w:val="21"/>
          <w:szCs w:val="21"/>
          <w:highlight w:val="none"/>
        </w:rPr>
      </w:pPr>
      <w:r>
        <w:rPr>
          <w:rFonts w:hint="eastAsia" w:cs="宋体"/>
          <w:b/>
          <w:color w:val="auto"/>
          <w:sz w:val="21"/>
          <w:szCs w:val="21"/>
          <w:highlight w:val="none"/>
        </w:rPr>
        <w:t>8、招标文件明确要求投标人提交已标价工程量清单电子文件的，已标价工程量清单电子文件的格式应符合《福建省建设工程造价电子数据交换导则》的规定。</w:t>
      </w:r>
    </w:p>
    <w:p>
      <w:pPr>
        <w:pStyle w:val="59"/>
        <w:rPr>
          <w:color w:val="auto"/>
          <w:sz w:val="24"/>
          <w:highlight w:val="none"/>
          <w:u w:val="double"/>
        </w:rPr>
      </w:pPr>
      <w:r>
        <w:rPr>
          <w:color w:val="auto"/>
          <w:highlight w:val="none"/>
        </w:rPr>
        <w:br w:type="page"/>
      </w:r>
    </w:p>
    <w:p>
      <w:pPr>
        <w:pStyle w:val="4"/>
        <w:widowControl/>
        <w:spacing w:beforeLines="0" w:afterLines="0"/>
        <w:rPr>
          <w:rFonts w:hAnsi="宋体" w:cs="黑体"/>
          <w:color w:val="auto"/>
          <w:highlight w:val="none"/>
        </w:rPr>
      </w:pPr>
      <w:bookmarkStart w:id="1562" w:name="_Toc9830"/>
      <w:bookmarkEnd w:id="1562"/>
      <w:bookmarkStart w:id="1563" w:name="_Toc11823"/>
      <w:bookmarkEnd w:id="1563"/>
      <w:bookmarkStart w:id="1564" w:name="_Toc9996"/>
      <w:bookmarkEnd w:id="1564"/>
      <w:bookmarkStart w:id="1565" w:name="_Toc52112991"/>
      <w:bookmarkStart w:id="1566" w:name="_Toc106703320"/>
      <w:bookmarkStart w:id="1567" w:name="_Toc26221"/>
      <w:bookmarkStart w:id="1568" w:name="_Toc8267"/>
      <w:bookmarkStart w:id="1569" w:name="_Toc22601"/>
      <w:bookmarkStart w:id="1570" w:name="_Toc61877333"/>
      <w:bookmarkStart w:id="1571" w:name="_Toc11918"/>
      <w:bookmarkStart w:id="1572" w:name="_Toc11556"/>
      <w:bookmarkStart w:id="1573" w:name="_Toc23348"/>
      <w:r>
        <w:rPr>
          <w:rFonts w:hint="eastAsia" w:hAnsi="宋体" w:cs="黑体"/>
          <w:color w:val="auto"/>
          <w:highlight w:val="none"/>
        </w:rPr>
        <w:t>工</w:t>
      </w:r>
      <w:bookmarkEnd w:id="1565"/>
      <w:bookmarkStart w:id="1574" w:name="_Toc63471509"/>
      <w:bookmarkEnd w:id="1574"/>
      <w:bookmarkStart w:id="1575" w:name="_Toc49663140"/>
      <w:bookmarkEnd w:id="1575"/>
      <w:bookmarkStart w:id="1576" w:name="_Toc13309410"/>
      <w:r>
        <w:rPr>
          <w:rFonts w:hint="eastAsia" w:hAnsi="宋体" w:cs="黑体"/>
          <w:color w:val="auto"/>
          <w:highlight w:val="none"/>
        </w:rPr>
        <w:t>程量清单与计价表格式</w:t>
      </w:r>
      <w:bookmarkEnd w:id="1566"/>
      <w:bookmarkEnd w:id="1567"/>
      <w:bookmarkEnd w:id="1568"/>
      <w:bookmarkEnd w:id="1569"/>
      <w:bookmarkEnd w:id="1570"/>
      <w:bookmarkEnd w:id="1571"/>
      <w:bookmarkEnd w:id="1572"/>
      <w:bookmarkEnd w:id="1573"/>
      <w:bookmarkEnd w:id="1576"/>
    </w:p>
    <w:p>
      <w:pPr>
        <w:adjustRightInd w:val="0"/>
        <w:spacing w:line="360" w:lineRule="atLeast"/>
        <w:textAlignment w:val="baseline"/>
        <w:rPr>
          <w:rFonts w:ascii="Calibri" w:hAnsi="Calibri" w:cs="Calibri"/>
          <w:color w:val="auto"/>
          <w:sz w:val="20"/>
          <w:highlight w:val="none"/>
        </w:rPr>
      </w:pPr>
      <w:r>
        <w:rPr>
          <w:rFonts w:ascii="Calibri" w:hAnsi="Calibri" w:cs="Calibri"/>
          <w:color w:val="auto"/>
          <w:sz w:val="20"/>
          <w:highlight w:val="none"/>
        </w:rPr>
        <w:t xml:space="preserve"> </w:t>
      </w:r>
    </w:p>
    <w:p>
      <w:pPr>
        <w:spacing w:line="360" w:lineRule="auto"/>
        <w:ind w:firstLine="420" w:firstLineChars="200"/>
        <w:rPr>
          <w:rFonts w:cs="宋体"/>
          <w:color w:val="auto"/>
          <w:sz w:val="21"/>
          <w:szCs w:val="21"/>
          <w:highlight w:val="none"/>
        </w:rPr>
        <w:sectPr>
          <w:footnotePr>
            <w:numFmt w:val="decimalEnclosedCircleChinese"/>
            <w:numRestart w:val="eachPage"/>
          </w:footnotePr>
          <w:type w:val="continuous"/>
          <w:pgSz w:w="11906" w:h="16838"/>
          <w:pgMar w:top="1440" w:right="992" w:bottom="1440" w:left="1134" w:header="1134" w:footer="992" w:gutter="0"/>
          <w:pgNumType w:fmt="decimal"/>
          <w:cols w:space="720" w:num="1"/>
          <w:docGrid w:linePitch="312" w:charSpace="0"/>
        </w:sectPr>
      </w:pPr>
      <w:r>
        <w:rPr>
          <w:rFonts w:hint="eastAsia" w:cs="宋体"/>
          <w:color w:val="auto"/>
          <w:sz w:val="21"/>
          <w:szCs w:val="21"/>
          <w:highlight w:val="none"/>
        </w:rPr>
        <w:t>“工程量清单与计价表格式”应符合现行工程量清单计价规范及</w:t>
      </w:r>
      <w:r>
        <w:rPr>
          <w:rFonts w:hint="eastAsia" w:cs="宋体"/>
          <w:color w:val="auto"/>
          <w:kern w:val="2"/>
          <w:sz w:val="21"/>
          <w:szCs w:val="21"/>
          <w:highlight w:val="none"/>
        </w:rPr>
        <w:t>福建省和厦门市</w:t>
      </w:r>
      <w:r>
        <w:rPr>
          <w:rFonts w:hint="eastAsia" w:cs="宋体"/>
          <w:color w:val="auto"/>
          <w:sz w:val="21"/>
          <w:szCs w:val="21"/>
          <w:highlight w:val="none"/>
        </w:rPr>
        <w:t>现行有关规定。招标文件明确要求投标人提交已标价工程量清单电子文件的，已标价工程量清单电子文件的格式应符合现行《福建省建设工程造价电子数据交换导则》规定。</w:t>
      </w:r>
      <w:r>
        <w:rPr>
          <w:rFonts w:cs="宋体"/>
          <w:color w:val="auto"/>
          <w:sz w:val="21"/>
          <w:szCs w:val="21"/>
          <w:highlight w:val="none"/>
        </w:rPr>
        <w:t xml:space="preserve"> </w:t>
      </w:r>
    </w:p>
    <w:p>
      <w:pPr>
        <w:spacing w:line="360" w:lineRule="auto"/>
        <w:ind w:firstLine="420" w:firstLineChars="200"/>
        <w:rPr>
          <w:rFonts w:cs="宋体"/>
          <w:color w:val="auto"/>
          <w:sz w:val="21"/>
          <w:szCs w:val="21"/>
          <w:highlight w:val="none"/>
        </w:rPr>
      </w:pPr>
    </w:p>
    <w:p>
      <w:pPr>
        <w:spacing w:line="360" w:lineRule="auto"/>
        <w:rPr>
          <w:rFonts w:cs="宋体"/>
          <w:color w:val="auto"/>
          <w:sz w:val="21"/>
          <w:szCs w:val="21"/>
          <w:highlight w:val="none"/>
        </w:rPr>
      </w:pPr>
      <w:r>
        <w:rPr>
          <w:rFonts w:hint="eastAsia" w:cs="宋体"/>
          <w:color w:val="auto"/>
          <w:sz w:val="21"/>
          <w:szCs w:val="21"/>
          <w:highlight w:val="none"/>
        </w:rPr>
        <w:t xml:space="preserve"> </w:t>
      </w:r>
    </w:p>
    <w:p>
      <w:pPr>
        <w:pStyle w:val="3"/>
        <w:widowControl/>
        <w:spacing w:before="4000" w:line="360" w:lineRule="auto"/>
        <w:jc w:val="center"/>
        <w:rPr>
          <w:color w:val="auto"/>
          <w:highlight w:val="none"/>
        </w:rPr>
      </w:pPr>
      <w:r>
        <w:rPr>
          <w:rFonts w:cs="Calibri"/>
          <w:color w:val="auto"/>
          <w:highlight w:val="none"/>
        </w:rPr>
        <w:br w:type="page"/>
      </w:r>
      <w:bookmarkStart w:id="1577" w:name="_Toc12632"/>
      <w:bookmarkEnd w:id="1577"/>
      <w:bookmarkStart w:id="1578" w:name="_Toc30170707"/>
      <w:bookmarkEnd w:id="1578"/>
      <w:bookmarkStart w:id="1579" w:name="_Toc9835"/>
      <w:bookmarkEnd w:id="1579"/>
      <w:bookmarkStart w:id="1580" w:name="_Toc458440249"/>
      <w:bookmarkEnd w:id="1580"/>
      <w:bookmarkStart w:id="1581" w:name="_Toc52112992"/>
      <w:bookmarkStart w:id="1582" w:name="_Toc17893"/>
      <w:bookmarkStart w:id="1583" w:name="_Toc4076"/>
      <w:bookmarkStart w:id="1584" w:name="_Toc11315"/>
      <w:bookmarkStart w:id="1585" w:name="_Toc61877334"/>
      <w:bookmarkStart w:id="1586" w:name="_Toc22950"/>
      <w:bookmarkStart w:id="1587" w:name="_Toc20371"/>
      <w:bookmarkStart w:id="1588" w:name="_Toc106703321"/>
      <w:bookmarkStart w:id="1589" w:name="_Toc23659"/>
      <w:r>
        <w:rPr>
          <w:rFonts w:hint="eastAsia" w:ascii="黑体" w:eastAsia="黑体" w:cs="黑体"/>
          <w:b w:val="0"/>
          <w:color w:val="auto"/>
          <w:highlight w:val="none"/>
        </w:rPr>
        <w:t xml:space="preserve">第七章  </w:t>
      </w:r>
      <w:bookmarkEnd w:id="1581"/>
      <w:r>
        <w:rPr>
          <w:rFonts w:hint="eastAsia" w:ascii="黑体" w:eastAsia="黑体" w:cs="黑体"/>
          <w:b w:val="0"/>
          <w:color w:val="auto"/>
          <w:highlight w:val="none"/>
        </w:rPr>
        <w:t>招标图纸</w:t>
      </w:r>
      <w:bookmarkEnd w:id="1582"/>
      <w:bookmarkEnd w:id="1583"/>
      <w:bookmarkEnd w:id="1584"/>
      <w:bookmarkEnd w:id="1585"/>
      <w:bookmarkEnd w:id="1586"/>
      <w:bookmarkEnd w:id="1587"/>
      <w:bookmarkEnd w:id="1588"/>
      <w:bookmarkEnd w:id="1589"/>
      <w:bookmarkStart w:id="1590" w:name="_Toc300038996"/>
      <w:bookmarkEnd w:id="1590"/>
    </w:p>
    <w:p>
      <w:pPr>
        <w:pStyle w:val="4"/>
        <w:widowControl/>
        <w:spacing w:beforeLines="0" w:afterLines="0"/>
        <w:jc w:val="left"/>
        <w:rPr>
          <w:rFonts w:hAnsi="宋体" w:cs="黑体"/>
          <w:color w:val="auto"/>
          <w:highlight w:val="none"/>
        </w:rPr>
      </w:pPr>
      <w:bookmarkStart w:id="1591" w:name="_Toc52112993"/>
      <w:bookmarkEnd w:id="1591"/>
      <w:bookmarkStart w:id="1592" w:name="_Toc15568"/>
      <w:bookmarkStart w:id="1593" w:name="_Toc24197"/>
      <w:bookmarkStart w:id="1594" w:name="_Toc29761"/>
      <w:bookmarkStart w:id="1595" w:name="_Toc4592"/>
      <w:bookmarkStart w:id="1596" w:name="_Toc61877335"/>
      <w:r>
        <w:rPr>
          <w:rFonts w:hAnsi="宋体" w:cs="黑体"/>
          <w:color w:val="auto"/>
          <w:highlight w:val="none"/>
        </w:rPr>
        <w:br w:type="page"/>
      </w:r>
      <w:bookmarkStart w:id="1597" w:name="_Toc15842"/>
      <w:bookmarkStart w:id="1598" w:name="_Toc28554"/>
      <w:bookmarkStart w:id="1599" w:name="_Toc106703322"/>
      <w:r>
        <w:rPr>
          <w:rFonts w:hint="eastAsia" w:hAnsi="宋体" w:cs="黑体"/>
          <w:color w:val="auto"/>
          <w:highlight w:val="none"/>
        </w:rPr>
        <w:t>招标图纸目录（格式）</w:t>
      </w:r>
      <w:bookmarkEnd w:id="1592"/>
      <w:bookmarkEnd w:id="1593"/>
      <w:bookmarkEnd w:id="1594"/>
      <w:bookmarkEnd w:id="1595"/>
      <w:bookmarkEnd w:id="1596"/>
      <w:bookmarkEnd w:id="1597"/>
      <w:bookmarkEnd w:id="1598"/>
      <w:bookmarkEnd w:id="1599"/>
    </w:p>
    <w:p>
      <w:pPr>
        <w:adjustRightInd w:val="0"/>
        <w:spacing w:line="360" w:lineRule="atLeast"/>
        <w:textAlignment w:val="baseline"/>
        <w:rPr>
          <w:rFonts w:ascii="Calibri" w:hAnsi="Calibri" w:cs="Calibri"/>
          <w:color w:val="auto"/>
          <w:sz w:val="21"/>
          <w:szCs w:val="21"/>
          <w:highlight w:val="none"/>
          <w:u w:val="single"/>
        </w:rPr>
      </w:pPr>
      <w:r>
        <w:rPr>
          <w:rFonts w:hint="eastAsia" w:cs="宋体"/>
          <w:color w:val="auto"/>
          <w:sz w:val="21"/>
          <w:szCs w:val="21"/>
          <w:highlight w:val="none"/>
        </w:rPr>
        <w:t>项目名称：</w:t>
      </w:r>
      <w:r>
        <w:rPr>
          <w:rFonts w:hint="eastAsia" w:cs="Times New Roman"/>
          <w:color w:val="0000FF"/>
          <w:sz w:val="21"/>
          <w:szCs w:val="21"/>
          <w:highlight w:val="none"/>
          <w:u w:val="single"/>
          <w:lang w:eastAsia="zh-CN"/>
        </w:rPr>
        <w:t>信达智慧科技园（施工“评定分离”）</w:t>
      </w:r>
    </w:p>
    <w:p>
      <w:pPr>
        <w:adjustRightInd w:val="0"/>
        <w:spacing w:afterLines="50" w:line="360" w:lineRule="atLeast"/>
        <w:textAlignment w:val="baseline"/>
        <w:rPr>
          <w:rFonts w:ascii="Calibri" w:hAnsi="Calibri" w:cs="Calibri"/>
          <w:color w:val="auto"/>
          <w:sz w:val="21"/>
          <w:szCs w:val="21"/>
          <w:highlight w:val="none"/>
          <w:u w:val="single"/>
        </w:rPr>
      </w:pPr>
      <w:r>
        <w:rPr>
          <w:rFonts w:hint="eastAsia" w:cs="宋体"/>
          <w:color w:val="auto"/>
          <w:sz w:val="21"/>
          <w:szCs w:val="21"/>
          <w:highlight w:val="none"/>
        </w:rPr>
        <w:t>设计单位：</w:t>
      </w:r>
      <w:r>
        <w:rPr>
          <w:rFonts w:hint="eastAsia" w:ascii="宋体" w:hAnsi="宋体" w:eastAsia="宋体" w:cs="Times New Roman"/>
          <w:color w:val="0000FF"/>
          <w:sz w:val="21"/>
          <w:szCs w:val="21"/>
          <w:highlight w:val="none"/>
          <w:u w:val="single"/>
          <w:lang w:eastAsia="zh-CN"/>
        </w:rPr>
        <w:t>中元（厦门）工程设计研究院有限公司</w:t>
      </w:r>
    </w:p>
    <w:tbl>
      <w:tblPr>
        <w:tblStyle w:val="6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8"/>
        <w:gridCol w:w="2800"/>
        <w:gridCol w:w="1400"/>
        <w:gridCol w:w="1300"/>
        <w:gridCol w:w="1284"/>
        <w:gridCol w:w="15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8" w:type="dxa"/>
            <w:tcBorders>
              <w:top w:val="single" w:color="auto" w:sz="4" w:space="0"/>
              <w:left w:val="single" w:color="auto" w:sz="4" w:space="0"/>
              <w:bottom w:val="single" w:color="auto" w:sz="4" w:space="0"/>
              <w:right w:val="single" w:color="auto" w:sz="4" w:space="0"/>
            </w:tcBorders>
          </w:tcPr>
          <w:p>
            <w:pPr>
              <w:adjustRightInd w:val="0"/>
              <w:spacing w:line="360" w:lineRule="atLeast"/>
              <w:jc w:val="center"/>
              <w:textAlignment w:val="baseline"/>
              <w:rPr>
                <w:rFonts w:ascii="Calibri" w:hAnsi="Calibri" w:cs="Calibri"/>
                <w:color w:val="auto"/>
                <w:sz w:val="20"/>
                <w:highlight w:val="none"/>
              </w:rPr>
            </w:pPr>
            <w:r>
              <w:rPr>
                <w:rFonts w:hint="eastAsia" w:cs="宋体"/>
                <w:color w:val="auto"/>
                <w:sz w:val="20"/>
                <w:highlight w:val="none"/>
              </w:rPr>
              <w:t>序号</w:t>
            </w:r>
          </w:p>
        </w:tc>
        <w:tc>
          <w:tcPr>
            <w:tcW w:w="2800" w:type="dxa"/>
            <w:tcBorders>
              <w:top w:val="single" w:color="auto" w:sz="4" w:space="0"/>
              <w:left w:val="nil"/>
              <w:bottom w:val="single" w:color="auto" w:sz="4" w:space="0"/>
              <w:right w:val="single" w:color="auto" w:sz="4" w:space="0"/>
            </w:tcBorders>
          </w:tcPr>
          <w:p>
            <w:pPr>
              <w:adjustRightInd w:val="0"/>
              <w:spacing w:line="360" w:lineRule="atLeast"/>
              <w:jc w:val="center"/>
              <w:textAlignment w:val="baseline"/>
              <w:rPr>
                <w:rFonts w:ascii="Calibri" w:hAnsi="Calibri" w:cs="Calibri"/>
                <w:color w:val="auto"/>
                <w:sz w:val="20"/>
                <w:highlight w:val="none"/>
              </w:rPr>
            </w:pPr>
            <w:r>
              <w:rPr>
                <w:rFonts w:hint="eastAsia" w:cs="宋体"/>
                <w:color w:val="auto"/>
                <w:sz w:val="20"/>
                <w:highlight w:val="none"/>
              </w:rPr>
              <w:t>图名</w:t>
            </w:r>
          </w:p>
        </w:tc>
        <w:tc>
          <w:tcPr>
            <w:tcW w:w="1400" w:type="dxa"/>
            <w:tcBorders>
              <w:top w:val="single" w:color="auto" w:sz="4" w:space="0"/>
              <w:left w:val="nil"/>
              <w:bottom w:val="single" w:color="auto" w:sz="4" w:space="0"/>
              <w:right w:val="single" w:color="auto" w:sz="4" w:space="0"/>
            </w:tcBorders>
          </w:tcPr>
          <w:p>
            <w:pPr>
              <w:adjustRightInd w:val="0"/>
              <w:spacing w:line="360" w:lineRule="atLeast"/>
              <w:jc w:val="center"/>
              <w:textAlignment w:val="baseline"/>
              <w:rPr>
                <w:rFonts w:ascii="Calibri" w:hAnsi="Calibri" w:cs="Calibri"/>
                <w:color w:val="auto"/>
                <w:sz w:val="20"/>
                <w:highlight w:val="none"/>
              </w:rPr>
            </w:pPr>
            <w:r>
              <w:rPr>
                <w:rFonts w:hint="eastAsia" w:cs="宋体"/>
                <w:color w:val="auto"/>
                <w:sz w:val="20"/>
                <w:highlight w:val="none"/>
              </w:rPr>
              <w:t>图号</w:t>
            </w:r>
          </w:p>
        </w:tc>
        <w:tc>
          <w:tcPr>
            <w:tcW w:w="1300" w:type="dxa"/>
            <w:tcBorders>
              <w:top w:val="single" w:color="auto" w:sz="4" w:space="0"/>
              <w:left w:val="nil"/>
              <w:bottom w:val="single" w:color="auto" w:sz="4" w:space="0"/>
              <w:right w:val="single" w:color="auto" w:sz="4" w:space="0"/>
            </w:tcBorders>
          </w:tcPr>
          <w:p>
            <w:pPr>
              <w:adjustRightInd w:val="0"/>
              <w:spacing w:line="360" w:lineRule="atLeast"/>
              <w:jc w:val="center"/>
              <w:textAlignment w:val="baseline"/>
              <w:rPr>
                <w:rFonts w:ascii="Calibri" w:hAnsi="Calibri" w:cs="Calibri"/>
                <w:color w:val="auto"/>
                <w:sz w:val="20"/>
                <w:highlight w:val="none"/>
              </w:rPr>
            </w:pPr>
            <w:r>
              <w:rPr>
                <w:rFonts w:hint="eastAsia" w:cs="宋体"/>
                <w:color w:val="auto"/>
                <w:sz w:val="20"/>
                <w:highlight w:val="none"/>
              </w:rPr>
              <w:t>版本</w:t>
            </w:r>
          </w:p>
        </w:tc>
        <w:tc>
          <w:tcPr>
            <w:tcW w:w="1284" w:type="dxa"/>
            <w:tcBorders>
              <w:top w:val="single" w:color="auto" w:sz="4" w:space="0"/>
              <w:left w:val="nil"/>
              <w:bottom w:val="single" w:color="auto" w:sz="4" w:space="0"/>
              <w:right w:val="single" w:color="auto" w:sz="4" w:space="0"/>
            </w:tcBorders>
          </w:tcPr>
          <w:p>
            <w:pPr>
              <w:adjustRightInd w:val="0"/>
              <w:spacing w:line="360" w:lineRule="atLeast"/>
              <w:jc w:val="center"/>
              <w:textAlignment w:val="baseline"/>
              <w:rPr>
                <w:rFonts w:ascii="Calibri" w:hAnsi="Calibri" w:cs="Calibri"/>
                <w:color w:val="auto"/>
                <w:sz w:val="20"/>
                <w:highlight w:val="none"/>
              </w:rPr>
            </w:pPr>
            <w:r>
              <w:rPr>
                <w:rFonts w:hint="eastAsia" w:cs="宋体"/>
                <w:color w:val="auto"/>
                <w:sz w:val="20"/>
                <w:highlight w:val="none"/>
              </w:rPr>
              <w:t>出图日期</w:t>
            </w:r>
          </w:p>
        </w:tc>
        <w:tc>
          <w:tcPr>
            <w:tcW w:w="1539" w:type="dxa"/>
            <w:tcBorders>
              <w:top w:val="single" w:color="auto" w:sz="4" w:space="0"/>
              <w:left w:val="nil"/>
              <w:bottom w:val="single" w:color="auto" w:sz="4" w:space="0"/>
              <w:right w:val="single" w:color="auto" w:sz="4" w:space="0"/>
            </w:tcBorders>
          </w:tcPr>
          <w:p>
            <w:pPr>
              <w:adjustRightInd w:val="0"/>
              <w:spacing w:line="360" w:lineRule="atLeast"/>
              <w:jc w:val="center"/>
              <w:textAlignment w:val="baseline"/>
              <w:rPr>
                <w:rFonts w:ascii="Calibri" w:hAnsi="Calibri" w:cs="Calibri"/>
                <w:color w:val="auto"/>
                <w:sz w:val="20"/>
                <w:highlight w:val="none"/>
              </w:rPr>
            </w:pPr>
            <w:r>
              <w:rPr>
                <w:rFonts w:hint="eastAsia" w:cs="宋体"/>
                <w:color w:val="auto"/>
                <w:sz w:val="20"/>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9231" w:type="dxa"/>
            <w:gridSpan w:val="6"/>
            <w:tcBorders>
              <w:top w:val="single" w:color="auto" w:sz="4" w:space="0"/>
              <w:left w:val="single" w:color="auto" w:sz="4" w:space="0"/>
              <w:bottom w:val="single" w:color="auto" w:sz="4" w:space="0"/>
              <w:right w:val="single" w:color="auto" w:sz="4" w:space="0"/>
            </w:tcBorders>
          </w:tcPr>
          <w:p>
            <w:pPr>
              <w:adjustRightInd w:val="0"/>
              <w:spacing w:line="360" w:lineRule="atLeast"/>
              <w:jc w:val="center"/>
              <w:textAlignment w:val="baseline"/>
              <w:rPr>
                <w:rFonts w:ascii="Calibri" w:hAnsi="Calibri" w:cs="Calibri"/>
                <w:color w:val="auto"/>
                <w:sz w:val="20"/>
                <w:highlight w:val="none"/>
              </w:rPr>
            </w:pPr>
            <w:r>
              <w:rPr>
                <w:rFonts w:hint="eastAsia" w:cs="宋体"/>
                <w:color w:val="0000FF"/>
                <w:sz w:val="21"/>
                <w:szCs w:val="21"/>
                <w:highlight w:val="none"/>
                <w:u w:val="single"/>
                <w:lang w:bidi="ar"/>
              </w:rPr>
              <w:t>（详见招标人提供的电子图纸）</w:t>
            </w:r>
            <w:r>
              <w:rPr>
                <w:rFonts w:hint="eastAsia" w:cs="宋体"/>
                <w:color w:val="auto"/>
                <w:sz w:val="21"/>
                <w:szCs w:val="21"/>
                <w:highlight w:val="none"/>
              </w:rPr>
              <w:t xml:space="preserve"> </w:t>
            </w:r>
          </w:p>
        </w:tc>
      </w:tr>
    </w:tbl>
    <w:p>
      <w:pPr>
        <w:adjustRightInd w:val="0"/>
        <w:spacing w:line="360" w:lineRule="atLeast"/>
        <w:ind w:firstLine="400" w:firstLineChars="200"/>
        <w:textAlignment w:val="baseline"/>
        <w:rPr>
          <w:rFonts w:ascii="Calibri" w:hAnsi="Calibri" w:cs="Calibri"/>
          <w:color w:val="auto"/>
          <w:sz w:val="20"/>
          <w:highlight w:val="none"/>
        </w:rPr>
      </w:pPr>
      <w:r>
        <w:rPr>
          <w:rFonts w:ascii="Calibri" w:hAnsi="Calibri" w:cs="Calibri"/>
          <w:color w:val="auto"/>
          <w:sz w:val="20"/>
          <w:highlight w:val="none"/>
        </w:rPr>
        <w:t xml:space="preserve"> </w:t>
      </w:r>
    </w:p>
    <w:p>
      <w:pPr>
        <w:widowControl/>
        <w:adjustRightInd w:val="0"/>
        <w:spacing w:beforeLines="0" w:after="240" w:line="360" w:lineRule="atLeast"/>
        <w:ind w:firstLine="420" w:firstLineChars="200"/>
        <w:textAlignment w:val="baseline"/>
        <w:rPr>
          <w:rFonts w:hAnsi="宋体" w:cs="黑体"/>
          <w:color w:val="auto"/>
          <w:highlight w:val="none"/>
        </w:rPr>
      </w:pPr>
      <w:r>
        <w:rPr>
          <w:rFonts w:hint="eastAsia" w:cs="宋体"/>
          <w:color w:val="auto"/>
          <w:kern w:val="2"/>
          <w:sz w:val="21"/>
          <w:szCs w:val="21"/>
          <w:highlight w:val="none"/>
        </w:rPr>
        <w:t xml:space="preserve"> </w:t>
      </w:r>
      <w:bookmarkStart w:id="1600" w:name="_Toc52112994"/>
      <w:bookmarkStart w:id="1601" w:name="_Toc27964"/>
      <w:bookmarkStart w:id="1602" w:name="_Toc61877336"/>
      <w:bookmarkStart w:id="1603" w:name="_Toc4272"/>
      <w:bookmarkStart w:id="1604" w:name="_Toc22244"/>
      <w:bookmarkStart w:id="1605" w:name="_Toc19860"/>
      <w:bookmarkStart w:id="1606" w:name="_Toc106703323"/>
      <w:r>
        <w:rPr>
          <w:rFonts w:hint="eastAsia" w:hAnsi="宋体" w:cs="黑体"/>
          <w:color w:val="auto"/>
          <w:highlight w:val="none"/>
        </w:rPr>
        <w:t>招</w:t>
      </w:r>
      <w:bookmarkEnd w:id="1600"/>
      <w:bookmarkStart w:id="1607" w:name="_Toc13309413"/>
      <w:r>
        <w:rPr>
          <w:rFonts w:hint="eastAsia" w:hAnsi="宋体" w:cs="黑体"/>
          <w:color w:val="auto"/>
          <w:highlight w:val="none"/>
        </w:rPr>
        <w:t>标图纸</w:t>
      </w:r>
      <w:bookmarkEnd w:id="1601"/>
      <w:bookmarkEnd w:id="1602"/>
      <w:bookmarkEnd w:id="1603"/>
      <w:bookmarkEnd w:id="1604"/>
      <w:bookmarkEnd w:id="1605"/>
      <w:bookmarkEnd w:id="1606"/>
      <w:bookmarkEnd w:id="1607"/>
    </w:p>
    <w:p>
      <w:pPr>
        <w:adjustRightInd w:val="0"/>
        <w:spacing w:line="360" w:lineRule="atLeast"/>
        <w:textAlignment w:val="baseline"/>
        <w:rPr>
          <w:rFonts w:ascii="Calibri" w:hAnsi="Calibri" w:cs="Calibri"/>
          <w:color w:val="auto"/>
          <w:sz w:val="20"/>
          <w:highlight w:val="none"/>
        </w:rPr>
      </w:pPr>
      <w:r>
        <w:rPr>
          <w:rFonts w:ascii="Calibri" w:hAnsi="Calibri" w:cs="Calibri"/>
          <w:color w:val="auto"/>
          <w:sz w:val="20"/>
          <w:highlight w:val="none"/>
        </w:rPr>
        <w:t xml:space="preserve"> </w:t>
      </w:r>
    </w:p>
    <w:p>
      <w:pPr>
        <w:ind w:firstLine="420" w:firstLineChars="200"/>
        <w:rPr>
          <w:rFonts w:hint="eastAsia" w:cs="宋体"/>
          <w:color w:val="auto"/>
          <w:sz w:val="21"/>
          <w:szCs w:val="21"/>
          <w:highlight w:val="none"/>
        </w:rPr>
      </w:pPr>
      <w:r>
        <w:rPr>
          <w:rFonts w:hint="eastAsia" w:cs="宋体"/>
          <w:color w:val="auto"/>
          <w:sz w:val="21"/>
          <w:szCs w:val="21"/>
          <w:highlight w:val="none"/>
        </w:rPr>
        <w:t>“招标图纸”由招标人另册提供。</w:t>
      </w:r>
    </w:p>
    <w:p>
      <w:pPr>
        <w:pStyle w:val="2"/>
        <w:rPr>
          <w:rFonts w:hint="eastAsia" w:cs="宋体"/>
          <w:color w:val="auto"/>
          <w:sz w:val="21"/>
          <w:szCs w:val="21"/>
          <w:highlight w:val="none"/>
        </w:rPr>
      </w:pPr>
    </w:p>
    <w:p>
      <w:pPr>
        <w:pStyle w:val="2"/>
        <w:rPr>
          <w:rFonts w:hint="eastAsia" w:cs="宋体"/>
          <w:color w:val="auto"/>
          <w:sz w:val="21"/>
          <w:szCs w:val="21"/>
          <w:highlight w:val="none"/>
        </w:rPr>
      </w:pPr>
    </w:p>
    <w:p>
      <w:pPr>
        <w:pStyle w:val="2"/>
        <w:rPr>
          <w:rFonts w:hint="eastAsia" w:cs="宋体"/>
          <w:color w:val="auto"/>
          <w:sz w:val="21"/>
          <w:szCs w:val="21"/>
          <w:highlight w:val="none"/>
        </w:rPr>
      </w:pPr>
    </w:p>
    <w:p>
      <w:pPr>
        <w:ind w:firstLine="420" w:firstLineChars="200"/>
        <w:rPr>
          <w:rFonts w:ascii="Calibri" w:hAnsi="Calibri" w:cs="Calibri"/>
          <w:color w:val="auto"/>
          <w:sz w:val="21"/>
          <w:szCs w:val="21"/>
          <w:highlight w:val="none"/>
        </w:rPr>
      </w:pPr>
      <w:r>
        <w:rPr>
          <w:rFonts w:hint="eastAsia" w:cs="宋体"/>
          <w:color w:val="auto"/>
          <w:sz w:val="21"/>
          <w:szCs w:val="21"/>
          <w:highlight w:val="none"/>
        </w:rPr>
        <w:t>投标人在领取图纸时，应对照“招标图纸目录”仔细检查核对。</w:t>
      </w:r>
    </w:p>
    <w:p>
      <w:pPr>
        <w:pStyle w:val="3"/>
        <w:widowControl/>
        <w:spacing w:before="4000" w:line="360" w:lineRule="auto"/>
        <w:jc w:val="center"/>
        <w:rPr>
          <w:rFonts w:cs="Calibri"/>
          <w:color w:val="auto"/>
          <w:highlight w:val="none"/>
        </w:rPr>
        <w:sectPr>
          <w:footnotePr>
            <w:numFmt w:val="decimalEnclosedCircleChinese"/>
            <w:numRestart w:val="eachPage"/>
          </w:footnotePr>
          <w:pgSz w:w="11906" w:h="16838"/>
          <w:pgMar w:top="1440" w:right="992" w:bottom="1440" w:left="1134" w:header="0" w:footer="596" w:gutter="0"/>
          <w:pgNumType w:fmt="decimal"/>
          <w:cols w:space="425" w:num="1"/>
          <w:rtlGutter w:val="0"/>
          <w:docGrid w:linePitch="360" w:charSpace="0"/>
        </w:sectPr>
      </w:pPr>
    </w:p>
    <w:p>
      <w:pPr>
        <w:pStyle w:val="3"/>
        <w:widowControl/>
        <w:spacing w:before="4000" w:line="360" w:lineRule="auto"/>
        <w:jc w:val="center"/>
        <w:rPr>
          <w:rFonts w:ascii="黑体" w:eastAsia="黑体" w:cs="黑体"/>
          <w:b w:val="0"/>
          <w:color w:val="auto"/>
          <w:highlight w:val="none"/>
        </w:rPr>
      </w:pPr>
      <w:bookmarkStart w:id="1608" w:name="_Toc21332"/>
      <w:bookmarkEnd w:id="1608"/>
      <w:bookmarkStart w:id="1609" w:name="_Toc6311"/>
      <w:bookmarkEnd w:id="1609"/>
      <w:bookmarkStart w:id="1610" w:name="_Toc4607"/>
      <w:bookmarkEnd w:id="1610"/>
      <w:bookmarkStart w:id="1611" w:name="_Toc52112995"/>
      <w:bookmarkStart w:id="1612" w:name="_Toc106703324"/>
      <w:bookmarkStart w:id="1613" w:name="_Toc13208"/>
      <w:bookmarkStart w:id="1614" w:name="_Toc61877337"/>
      <w:bookmarkStart w:id="1615" w:name="_Toc30559"/>
      <w:bookmarkStart w:id="1616" w:name="_Toc21326"/>
      <w:bookmarkStart w:id="1617" w:name="_Toc19628"/>
      <w:bookmarkStart w:id="1618" w:name="_Toc21049"/>
      <w:bookmarkStart w:id="1619" w:name="_Toc11268"/>
      <w:r>
        <w:rPr>
          <w:rFonts w:hint="eastAsia" w:ascii="黑体" w:eastAsia="黑体" w:cs="黑体"/>
          <w:b w:val="0"/>
          <w:color w:val="auto"/>
          <w:highlight w:val="none"/>
        </w:rPr>
        <w:t>第八章</w:t>
      </w:r>
      <w:bookmarkEnd w:id="1611"/>
      <w:r>
        <w:rPr>
          <w:rFonts w:hint="eastAsia" w:ascii="黑体" w:eastAsia="黑体" w:cs="黑体"/>
          <w:b w:val="0"/>
          <w:color w:val="auto"/>
          <w:highlight w:val="none"/>
        </w:rPr>
        <w:t xml:space="preserve"> 技术标准和要求</w:t>
      </w:r>
      <w:bookmarkEnd w:id="1612"/>
      <w:bookmarkEnd w:id="1613"/>
      <w:bookmarkEnd w:id="1614"/>
      <w:bookmarkEnd w:id="1615"/>
      <w:bookmarkEnd w:id="1616"/>
      <w:bookmarkEnd w:id="1617"/>
      <w:bookmarkEnd w:id="1618"/>
      <w:bookmarkEnd w:id="1619"/>
    </w:p>
    <w:p>
      <w:pPr>
        <w:pStyle w:val="4"/>
        <w:widowControl/>
        <w:spacing w:beforeLines="0" w:after="240"/>
        <w:rPr>
          <w:rFonts w:hAnsi="宋体" w:cs="黑体"/>
          <w:color w:val="auto"/>
          <w:highlight w:val="none"/>
        </w:rPr>
      </w:pPr>
      <w:r>
        <w:rPr>
          <w:rFonts w:hint="eastAsia" w:hAnsi="宋体" w:cs="黑体"/>
          <w:color w:val="auto"/>
          <w:sz w:val="44"/>
          <w:szCs w:val="44"/>
          <w:highlight w:val="none"/>
        </w:rPr>
        <w:br w:type="page"/>
      </w:r>
      <w:bookmarkStart w:id="1620" w:name="_Toc13858"/>
      <w:bookmarkEnd w:id="1620"/>
      <w:bookmarkStart w:id="1621" w:name="_Toc8414"/>
      <w:bookmarkEnd w:id="1621"/>
      <w:bookmarkStart w:id="1622" w:name="_Toc18978"/>
      <w:bookmarkEnd w:id="1622"/>
      <w:bookmarkStart w:id="1623" w:name="_Toc52112996"/>
      <w:bookmarkStart w:id="1624" w:name="_Toc20033"/>
      <w:bookmarkStart w:id="1625" w:name="_Toc27959"/>
      <w:bookmarkStart w:id="1626" w:name="_Toc23386"/>
      <w:bookmarkStart w:id="1627" w:name="_Toc106703325"/>
      <w:bookmarkStart w:id="1628" w:name="_Toc16250"/>
      <w:bookmarkStart w:id="1629" w:name="_Toc1201"/>
      <w:bookmarkStart w:id="1630" w:name="_Toc61877338"/>
      <w:bookmarkStart w:id="1631" w:name="_Toc9632"/>
      <w:r>
        <w:rPr>
          <w:rFonts w:hint="eastAsia" w:hAnsi="宋体" w:cs="黑体"/>
          <w:color w:val="auto"/>
          <w:highlight w:val="none"/>
        </w:rPr>
        <w:t>招</w:t>
      </w:r>
      <w:bookmarkEnd w:id="1623"/>
      <w:bookmarkStart w:id="1632" w:name="_Toc49663145"/>
      <w:bookmarkEnd w:id="1632"/>
      <w:bookmarkStart w:id="1633" w:name="_Toc63471514"/>
      <w:bookmarkEnd w:id="1633"/>
      <w:bookmarkStart w:id="1634" w:name="_Toc200772269"/>
      <w:bookmarkEnd w:id="1634"/>
      <w:bookmarkStart w:id="1635" w:name="_Toc215480827"/>
      <w:bookmarkEnd w:id="1635"/>
      <w:bookmarkStart w:id="1636" w:name="_Toc13309415"/>
      <w:r>
        <w:rPr>
          <w:rFonts w:hint="eastAsia" w:hAnsi="宋体" w:cs="黑体"/>
          <w:color w:val="auto"/>
          <w:highlight w:val="none"/>
        </w:rPr>
        <w:t>标项目概况和说明</w:t>
      </w:r>
      <w:bookmarkEnd w:id="1624"/>
      <w:bookmarkEnd w:id="1625"/>
      <w:bookmarkEnd w:id="1626"/>
      <w:bookmarkEnd w:id="1627"/>
      <w:bookmarkEnd w:id="1628"/>
      <w:bookmarkEnd w:id="1629"/>
      <w:bookmarkEnd w:id="1630"/>
      <w:bookmarkEnd w:id="1631"/>
      <w:bookmarkEnd w:id="1636"/>
    </w:p>
    <w:p>
      <w:pPr>
        <w:spacing w:line="360" w:lineRule="auto"/>
        <w:rPr>
          <w:rFonts w:ascii="黑体" w:eastAsia="黑体" w:cs="黑体"/>
          <w:color w:val="auto"/>
          <w:sz w:val="21"/>
          <w:szCs w:val="21"/>
          <w:highlight w:val="none"/>
        </w:rPr>
      </w:pPr>
      <w:bookmarkStart w:id="1637" w:name="_Toc29670"/>
      <w:bookmarkEnd w:id="1637"/>
      <w:bookmarkStart w:id="1638" w:name="_Toc4655"/>
      <w:bookmarkEnd w:id="1638"/>
      <w:bookmarkStart w:id="1639" w:name="_Toc30912"/>
      <w:bookmarkEnd w:id="1639"/>
      <w:r>
        <w:rPr>
          <w:rFonts w:hint="eastAsia" w:ascii="黑体" w:eastAsia="黑体" w:cs="黑体"/>
          <w:color w:val="auto"/>
          <w:sz w:val="21"/>
          <w:szCs w:val="21"/>
          <w:highlight w:val="none"/>
        </w:rPr>
        <w:t>1.工</w:t>
      </w:r>
      <w:bookmarkStart w:id="1640" w:name="_Toc49663146"/>
      <w:bookmarkEnd w:id="1640"/>
      <w:bookmarkStart w:id="1641" w:name="_Toc200772270"/>
      <w:bookmarkEnd w:id="1641"/>
      <w:bookmarkStart w:id="1642" w:name="_Toc63471515"/>
      <w:bookmarkEnd w:id="1642"/>
      <w:bookmarkStart w:id="1643" w:name="_Toc215480828"/>
      <w:bookmarkEnd w:id="1643"/>
      <w:bookmarkStart w:id="1644" w:name="_Toc13309416"/>
      <w:r>
        <w:rPr>
          <w:rFonts w:hint="eastAsia" w:ascii="黑体" w:eastAsia="黑体" w:cs="黑体"/>
          <w:color w:val="auto"/>
          <w:sz w:val="21"/>
          <w:szCs w:val="21"/>
          <w:highlight w:val="none"/>
        </w:rPr>
        <w:t>程建设地点的现场自然条件</w:t>
      </w:r>
      <w:bookmarkEnd w:id="1644"/>
    </w:p>
    <w:p>
      <w:pPr>
        <w:spacing w:line="360" w:lineRule="auto"/>
        <w:rPr>
          <w:rFonts w:hint="eastAsia" w:ascii="新宋体" w:hAnsi="新宋体" w:eastAsia="新宋体" w:cs="新宋体"/>
          <w:color w:val="0000FF"/>
          <w:sz w:val="21"/>
          <w:szCs w:val="21"/>
          <w:highlight w:val="none"/>
          <w:u w:val="single"/>
        </w:rPr>
      </w:pPr>
      <w:bookmarkStart w:id="1645" w:name="_Toc215480829"/>
      <w:bookmarkEnd w:id="1645"/>
      <w:bookmarkStart w:id="1646" w:name="_Toc15466"/>
      <w:bookmarkEnd w:id="1646"/>
      <w:bookmarkStart w:id="1647" w:name="_Toc200772271"/>
      <w:bookmarkEnd w:id="1647"/>
      <w:bookmarkStart w:id="1648" w:name="_Toc14280"/>
      <w:bookmarkEnd w:id="1648"/>
      <w:bookmarkStart w:id="1649" w:name="_Toc16735"/>
      <w:r>
        <w:rPr>
          <w:rFonts w:hint="eastAsia" w:ascii="新宋体" w:hAnsi="新宋体" w:eastAsia="新宋体" w:cs="新宋体"/>
          <w:color w:val="0000FF"/>
          <w:sz w:val="21"/>
          <w:szCs w:val="21"/>
          <w:highlight w:val="none"/>
          <w:u w:val="single"/>
        </w:rPr>
        <w:t>现场自然条件由投标人自行前往踏勘了解。</w:t>
      </w:r>
    </w:p>
    <w:p>
      <w:pPr>
        <w:spacing w:line="360" w:lineRule="auto"/>
        <w:rPr>
          <w:rFonts w:ascii="黑体" w:eastAsia="黑体" w:cs="黑体"/>
          <w:color w:val="auto"/>
          <w:sz w:val="21"/>
          <w:szCs w:val="21"/>
          <w:highlight w:val="none"/>
        </w:rPr>
      </w:pPr>
      <w:r>
        <w:rPr>
          <w:rFonts w:hint="eastAsia" w:ascii="黑体" w:eastAsia="黑体" w:cs="黑体"/>
          <w:color w:val="auto"/>
          <w:sz w:val="21"/>
          <w:szCs w:val="21"/>
          <w:highlight w:val="none"/>
        </w:rPr>
        <w:t>2.工</w:t>
      </w:r>
      <w:bookmarkEnd w:id="1649"/>
      <w:bookmarkStart w:id="1650" w:name="_Toc49663147"/>
      <w:bookmarkEnd w:id="1650"/>
      <w:bookmarkStart w:id="1651" w:name="_Toc13309417"/>
      <w:bookmarkEnd w:id="1651"/>
      <w:bookmarkStart w:id="1652" w:name="_Toc63471516"/>
      <w:r>
        <w:rPr>
          <w:rFonts w:hint="eastAsia" w:ascii="黑体" w:eastAsia="黑体" w:cs="黑体"/>
          <w:color w:val="auto"/>
          <w:sz w:val="21"/>
          <w:szCs w:val="21"/>
          <w:highlight w:val="none"/>
        </w:rPr>
        <w:t>程建设地点的现场施工条件</w:t>
      </w:r>
      <w:bookmarkEnd w:id="1652"/>
    </w:p>
    <w:p>
      <w:pPr>
        <w:keepNext w:val="0"/>
        <w:keepLines w:val="0"/>
        <w:widowControl/>
        <w:suppressLineNumbers w:val="0"/>
        <w:jc w:val="left"/>
        <w:rPr>
          <w:rFonts w:cs="宋体"/>
          <w:color w:val="auto"/>
          <w:sz w:val="21"/>
          <w:szCs w:val="21"/>
          <w:highlight w:val="none"/>
          <w:u w:val="single"/>
        </w:rPr>
      </w:pPr>
      <w:r>
        <w:rPr>
          <w:rFonts w:hint="eastAsia" w:ascii="宋体" w:hAnsi="宋体" w:eastAsia="宋体" w:cs="宋体"/>
          <w:color w:val="0000FF"/>
          <w:kern w:val="0"/>
          <w:sz w:val="21"/>
          <w:szCs w:val="21"/>
          <w:highlight w:val="none"/>
          <w:u w:val="single"/>
          <w:lang w:val="en-US" w:eastAsia="zh-CN" w:bidi="ar"/>
        </w:rPr>
        <w:t>已具备施工条件，投标人应自行勘察现场</w:t>
      </w:r>
      <w:r>
        <w:rPr>
          <w:rFonts w:hint="eastAsia" w:ascii="宋体" w:hAnsi="宋体" w:eastAsia="宋体" w:cs="宋体"/>
          <w:color w:val="0000FF"/>
          <w:kern w:val="0"/>
          <w:sz w:val="24"/>
          <w:szCs w:val="24"/>
          <w:highlight w:val="none"/>
          <w:u w:val="single"/>
          <w:lang w:val="en-US" w:eastAsia="zh-CN" w:bidi="ar"/>
        </w:rPr>
        <w:t>。</w:t>
      </w:r>
    </w:p>
    <w:p>
      <w:pPr>
        <w:spacing w:line="360" w:lineRule="auto"/>
        <w:rPr>
          <w:rFonts w:ascii="黑体" w:eastAsia="黑体" w:cs="黑体"/>
          <w:color w:val="auto"/>
          <w:sz w:val="21"/>
          <w:szCs w:val="21"/>
          <w:highlight w:val="none"/>
        </w:rPr>
      </w:pPr>
      <w:bookmarkStart w:id="1653" w:name="_Toc16774"/>
      <w:bookmarkEnd w:id="1653"/>
      <w:bookmarkStart w:id="1654" w:name="_Toc200772272"/>
      <w:bookmarkEnd w:id="1654"/>
      <w:bookmarkStart w:id="1655" w:name="_Toc14233"/>
      <w:bookmarkEnd w:id="1655"/>
      <w:bookmarkStart w:id="1656" w:name="_Toc30926"/>
      <w:bookmarkEnd w:id="1656"/>
      <w:bookmarkStart w:id="1657" w:name="_Toc215480830"/>
      <w:r>
        <w:rPr>
          <w:rFonts w:hint="eastAsia" w:ascii="黑体" w:eastAsia="黑体" w:cs="黑体"/>
          <w:color w:val="auto"/>
          <w:sz w:val="21"/>
          <w:szCs w:val="21"/>
          <w:highlight w:val="none"/>
        </w:rPr>
        <w:t>3</w:t>
      </w:r>
      <w:bookmarkEnd w:id="1657"/>
      <w:bookmarkStart w:id="1658" w:name="_Toc13309418"/>
      <w:bookmarkEnd w:id="1658"/>
      <w:bookmarkStart w:id="1659" w:name="_Toc63471517"/>
      <w:bookmarkEnd w:id="1659"/>
      <w:bookmarkStart w:id="1660" w:name="_Toc49663148"/>
      <w:bookmarkEnd w:id="1660"/>
      <w:r>
        <w:rPr>
          <w:rFonts w:hint="eastAsia" w:ascii="黑体" w:eastAsia="黑体" w:cs="黑体"/>
          <w:color w:val="auto"/>
          <w:sz w:val="21"/>
          <w:szCs w:val="21"/>
          <w:highlight w:val="none"/>
        </w:rPr>
        <w:t>.其他</w:t>
      </w:r>
    </w:p>
    <w:p>
      <w:pPr>
        <w:keepNext w:val="0"/>
        <w:keepLines w:val="0"/>
        <w:widowControl/>
        <w:suppressLineNumbers w:val="0"/>
        <w:jc w:val="left"/>
        <w:rPr>
          <w:rFonts w:hint="eastAsia" w:ascii="宋体" w:hAnsi="宋体" w:eastAsia="宋体" w:cs="宋体"/>
          <w:color w:val="0000FF"/>
          <w:kern w:val="0"/>
          <w:sz w:val="21"/>
          <w:szCs w:val="21"/>
          <w:highlight w:val="none"/>
          <w:u w:val="single"/>
          <w:lang w:val="en-US" w:eastAsia="zh-CN" w:bidi="ar"/>
        </w:rPr>
      </w:pPr>
      <w:r>
        <w:rPr>
          <w:rFonts w:hint="eastAsia" w:ascii="宋体" w:hAnsi="宋体" w:eastAsia="宋体" w:cs="宋体"/>
          <w:color w:val="0000FF"/>
          <w:kern w:val="0"/>
          <w:sz w:val="21"/>
          <w:szCs w:val="21"/>
          <w:highlight w:val="none"/>
          <w:u w:val="single"/>
          <w:lang w:val="en-US" w:eastAsia="zh-CN" w:bidi="ar"/>
        </w:rPr>
        <w:t>详见招标文件及施工图纸相关说明。</w:t>
      </w:r>
    </w:p>
    <w:p>
      <w:pPr>
        <w:pStyle w:val="4"/>
        <w:widowControl/>
        <w:spacing w:beforeLines="0" w:after="240"/>
        <w:rPr>
          <w:rFonts w:hint="eastAsia" w:ascii="宋体" w:hAnsi="宋体" w:cs="宋体"/>
          <w:color w:val="auto"/>
          <w:highlight w:val="none"/>
        </w:rPr>
      </w:pPr>
      <w:bookmarkStart w:id="1661" w:name="_Toc32078"/>
      <w:bookmarkEnd w:id="1661"/>
      <w:bookmarkStart w:id="1662" w:name="_Toc25081"/>
      <w:bookmarkEnd w:id="1662"/>
      <w:bookmarkStart w:id="1663" w:name="_Toc2989"/>
      <w:bookmarkEnd w:id="1663"/>
      <w:bookmarkStart w:id="1664" w:name="_Toc52112997"/>
      <w:bookmarkStart w:id="1665" w:name="_Toc218"/>
      <w:bookmarkStart w:id="1666" w:name="_Toc106703326"/>
      <w:bookmarkStart w:id="1667" w:name="_Toc7124"/>
      <w:bookmarkStart w:id="1668" w:name="_Toc15511"/>
      <w:bookmarkStart w:id="1669" w:name="_Toc8120"/>
      <w:bookmarkStart w:id="1670" w:name="_Toc61877339"/>
    </w:p>
    <w:p>
      <w:pPr>
        <w:pStyle w:val="4"/>
        <w:widowControl/>
        <w:spacing w:beforeLines="0" w:after="240"/>
        <w:rPr>
          <w:rFonts w:hAnsi="宋体" w:cs="黑体"/>
          <w:color w:val="auto"/>
          <w:highlight w:val="none"/>
        </w:rPr>
      </w:pPr>
      <w:bookmarkStart w:id="1671" w:name="_Toc18712"/>
      <w:bookmarkStart w:id="1672" w:name="_Toc15231"/>
      <w:r>
        <w:rPr>
          <w:rFonts w:hint="eastAsia" w:hAnsi="宋体" w:cs="黑体"/>
          <w:color w:val="auto"/>
          <w:highlight w:val="none"/>
        </w:rPr>
        <w:t>工</w:t>
      </w:r>
      <w:bookmarkEnd w:id="1664"/>
      <w:bookmarkStart w:id="1673" w:name="_Toc49663149"/>
      <w:bookmarkEnd w:id="1673"/>
      <w:bookmarkStart w:id="1674" w:name="_Toc63471518"/>
      <w:bookmarkEnd w:id="1674"/>
      <w:bookmarkStart w:id="1675" w:name="_Toc200772273"/>
      <w:bookmarkEnd w:id="1675"/>
      <w:bookmarkStart w:id="1676" w:name="_Toc215480831"/>
      <w:bookmarkEnd w:id="1676"/>
      <w:bookmarkStart w:id="1677" w:name="_Toc13309419"/>
      <w:r>
        <w:rPr>
          <w:rFonts w:hint="eastAsia" w:hAnsi="宋体" w:cs="黑体"/>
          <w:color w:val="auto"/>
          <w:highlight w:val="none"/>
        </w:rPr>
        <w:t>程建设技术标准</w:t>
      </w:r>
      <w:bookmarkEnd w:id="1665"/>
      <w:bookmarkEnd w:id="1666"/>
      <w:bookmarkEnd w:id="1667"/>
      <w:bookmarkEnd w:id="1668"/>
      <w:bookmarkEnd w:id="1669"/>
      <w:bookmarkEnd w:id="1670"/>
      <w:bookmarkEnd w:id="1671"/>
      <w:bookmarkEnd w:id="1672"/>
      <w:bookmarkEnd w:id="1677"/>
    </w:p>
    <w:p>
      <w:pPr>
        <w:pStyle w:val="5"/>
        <w:widowControl/>
        <w:spacing w:beforeLines="0" w:after="120"/>
        <w:rPr>
          <w:rFonts w:hAnsi="宋体" w:cs="黑体"/>
          <w:color w:val="auto"/>
          <w:sz w:val="21"/>
          <w:szCs w:val="21"/>
          <w:highlight w:val="none"/>
        </w:rPr>
      </w:pPr>
      <w:bookmarkStart w:id="1678" w:name="_Toc29536"/>
      <w:bookmarkEnd w:id="1678"/>
      <w:bookmarkStart w:id="1679" w:name="_Toc8288"/>
      <w:bookmarkEnd w:id="1679"/>
      <w:bookmarkStart w:id="1680" w:name="_Toc12897"/>
      <w:bookmarkEnd w:id="1680"/>
      <w:bookmarkStart w:id="1681" w:name="_Toc52112998"/>
      <w:bookmarkEnd w:id="1681"/>
      <w:bookmarkStart w:id="1682" w:name="_Toc29470"/>
      <w:bookmarkStart w:id="1683" w:name="_Toc12678"/>
      <w:bookmarkStart w:id="1684" w:name="_Toc61877340"/>
      <w:bookmarkStart w:id="1685" w:name="_Toc27308"/>
      <w:bookmarkStart w:id="1686" w:name="_Toc12549"/>
      <w:bookmarkStart w:id="1687" w:name="_Toc13677"/>
      <w:bookmarkStart w:id="1688" w:name="_Toc106703327"/>
      <w:bookmarkStart w:id="1689" w:name="_Toc32131"/>
      <w:r>
        <w:rPr>
          <w:rFonts w:hint="eastAsia" w:hAnsi="宋体" w:cs="黑体"/>
          <w:color w:val="auto"/>
          <w:sz w:val="21"/>
          <w:szCs w:val="21"/>
          <w:highlight w:val="none"/>
        </w:rPr>
        <w:t>1.工</w:t>
      </w:r>
      <w:bookmarkStart w:id="1690" w:name="_Toc200772274"/>
      <w:bookmarkEnd w:id="1690"/>
      <w:bookmarkStart w:id="1691" w:name="_Toc215480832"/>
      <w:bookmarkEnd w:id="1691"/>
      <w:bookmarkStart w:id="1692" w:name="_Toc63471519"/>
      <w:bookmarkEnd w:id="1692"/>
      <w:bookmarkStart w:id="1693" w:name="_Toc13309420"/>
      <w:bookmarkEnd w:id="1693"/>
      <w:bookmarkStart w:id="1694" w:name="_Toc49663150"/>
      <w:r>
        <w:rPr>
          <w:rFonts w:hint="eastAsia" w:hAnsi="宋体" w:cs="黑体"/>
          <w:color w:val="auto"/>
          <w:sz w:val="21"/>
          <w:szCs w:val="21"/>
          <w:highlight w:val="none"/>
        </w:rPr>
        <w:t>程建设标准强制性条文</w:t>
      </w:r>
      <w:bookmarkEnd w:id="1682"/>
      <w:bookmarkEnd w:id="1683"/>
      <w:bookmarkEnd w:id="1684"/>
      <w:bookmarkEnd w:id="1685"/>
      <w:bookmarkEnd w:id="1686"/>
      <w:bookmarkEnd w:id="1687"/>
      <w:bookmarkEnd w:id="1688"/>
      <w:bookmarkEnd w:id="1689"/>
      <w:bookmarkEnd w:id="1694"/>
    </w:p>
    <w:p>
      <w:pPr>
        <w:adjustRightInd w:val="0"/>
        <w:snapToGrid w:val="0"/>
        <w:spacing w:line="360" w:lineRule="auto"/>
        <w:ind w:firstLine="480"/>
        <w:textAlignment w:val="baseline"/>
        <w:rPr>
          <w:rFonts w:cs="宋体"/>
          <w:color w:val="auto"/>
          <w:sz w:val="21"/>
          <w:szCs w:val="21"/>
          <w:highlight w:val="none"/>
        </w:rPr>
      </w:pPr>
      <w:r>
        <w:rPr>
          <w:rFonts w:hint="eastAsia" w:cs="宋体"/>
          <w:color w:val="auto"/>
          <w:sz w:val="21"/>
          <w:szCs w:val="21"/>
          <w:highlight w:val="none"/>
        </w:rPr>
        <w:t>依据设计文件要求，本招标项目的材料、设备、施工必须达到现行的国家、行业和地方的一切与招标项目相关的工程建设标准强制性标准。</w:t>
      </w:r>
    </w:p>
    <w:p>
      <w:pPr>
        <w:pStyle w:val="5"/>
        <w:widowControl/>
        <w:spacing w:beforeLines="0" w:after="120"/>
        <w:rPr>
          <w:rFonts w:hAnsi="宋体" w:cs="黑体"/>
          <w:color w:val="auto"/>
          <w:sz w:val="21"/>
          <w:szCs w:val="21"/>
          <w:highlight w:val="none"/>
        </w:rPr>
      </w:pPr>
      <w:bookmarkStart w:id="1695" w:name="_Toc11909"/>
      <w:bookmarkEnd w:id="1695"/>
      <w:bookmarkStart w:id="1696" w:name="_Toc14238"/>
      <w:bookmarkEnd w:id="1696"/>
      <w:bookmarkStart w:id="1697" w:name="_Toc18949"/>
      <w:bookmarkEnd w:id="1697"/>
      <w:bookmarkStart w:id="1698" w:name="_Toc52112999"/>
      <w:bookmarkStart w:id="1699" w:name="_Toc25138"/>
      <w:bookmarkStart w:id="1700" w:name="_Toc61877341"/>
      <w:bookmarkStart w:id="1701" w:name="_Toc106703328"/>
      <w:bookmarkStart w:id="1702" w:name="_Toc18016"/>
      <w:bookmarkStart w:id="1703" w:name="_Toc16121"/>
      <w:bookmarkStart w:id="1704" w:name="_Toc813"/>
      <w:bookmarkStart w:id="1705" w:name="_Toc13535"/>
      <w:bookmarkStart w:id="1706" w:name="_Toc10669"/>
      <w:r>
        <w:rPr>
          <w:rFonts w:hint="eastAsia" w:hAnsi="宋体" w:cs="黑体"/>
          <w:color w:val="auto"/>
          <w:sz w:val="21"/>
          <w:szCs w:val="21"/>
          <w:highlight w:val="none"/>
        </w:rPr>
        <w:t>2.招</w:t>
      </w:r>
      <w:bookmarkEnd w:id="1698"/>
      <w:bookmarkStart w:id="1707" w:name="_Toc215480833"/>
      <w:bookmarkEnd w:id="1707"/>
      <w:bookmarkStart w:id="1708" w:name="_Toc63471520"/>
      <w:bookmarkEnd w:id="1708"/>
      <w:bookmarkStart w:id="1709" w:name="_Toc200772275"/>
      <w:bookmarkEnd w:id="1709"/>
      <w:bookmarkStart w:id="1710" w:name="_Toc49663151"/>
      <w:bookmarkEnd w:id="1710"/>
      <w:bookmarkStart w:id="1711" w:name="_Toc13309421"/>
      <w:bookmarkEnd w:id="1711"/>
      <w:bookmarkStart w:id="1712" w:name="_Toc200708264"/>
      <w:r>
        <w:rPr>
          <w:rFonts w:hint="eastAsia" w:hAnsi="宋体" w:cs="黑体"/>
          <w:color w:val="auto"/>
          <w:sz w:val="21"/>
          <w:szCs w:val="21"/>
          <w:highlight w:val="none"/>
        </w:rPr>
        <w:t>标项目使用的其他工程建设技术标准</w:t>
      </w:r>
      <w:bookmarkEnd w:id="1699"/>
      <w:bookmarkEnd w:id="1700"/>
      <w:bookmarkEnd w:id="1701"/>
      <w:bookmarkEnd w:id="1702"/>
      <w:bookmarkEnd w:id="1703"/>
      <w:bookmarkEnd w:id="1704"/>
      <w:bookmarkEnd w:id="1705"/>
      <w:bookmarkEnd w:id="1706"/>
      <w:bookmarkEnd w:id="1712"/>
    </w:p>
    <w:p>
      <w:pPr>
        <w:adjustRightInd w:val="0"/>
        <w:spacing w:line="360" w:lineRule="auto"/>
        <w:ind w:firstLine="480"/>
        <w:textAlignment w:val="baseline"/>
        <w:rPr>
          <w:rFonts w:cs="宋体"/>
          <w:color w:val="auto"/>
          <w:sz w:val="21"/>
          <w:szCs w:val="21"/>
          <w:highlight w:val="none"/>
        </w:rPr>
      </w:pPr>
      <w:r>
        <w:rPr>
          <w:rFonts w:hint="eastAsia" w:cs="宋体"/>
          <w:color w:val="auto"/>
          <w:sz w:val="21"/>
          <w:szCs w:val="21"/>
          <w:highlight w:val="none"/>
        </w:rPr>
        <w:t>除了上述约定的工程建设技术标准外，有关本招标项目所采用的其他国家级、行业和地方工程建设技术标准如下：</w:t>
      </w:r>
    </w:p>
    <w:p>
      <w:pPr>
        <w:adjustRightInd w:val="0"/>
        <w:snapToGrid w:val="0"/>
        <w:spacing w:line="360" w:lineRule="auto"/>
        <w:ind w:firstLine="420" w:firstLineChars="200"/>
        <w:textAlignment w:val="baseline"/>
        <w:rPr>
          <w:snapToGrid w:val="0"/>
          <w:color w:val="auto"/>
          <w:sz w:val="24"/>
          <w:highlight w:val="none"/>
          <w:u w:val="single"/>
        </w:rPr>
      </w:pPr>
      <w:r>
        <w:rPr>
          <w:rFonts w:hint="eastAsia" w:cs="宋体"/>
          <w:color w:val="auto"/>
          <w:sz w:val="21"/>
          <w:szCs w:val="21"/>
          <w:highlight w:val="none"/>
          <w:u w:val="single"/>
        </w:rPr>
        <w:t>(1)</w:t>
      </w:r>
      <w:r>
        <w:rPr>
          <w:rFonts w:hint="eastAsia"/>
          <w:snapToGrid w:val="0"/>
          <w:color w:val="auto"/>
          <w:sz w:val="21"/>
          <w:szCs w:val="21"/>
          <w:highlight w:val="none"/>
          <w:u w:val="single"/>
        </w:rPr>
        <w:t>招标项目应用建筑信息模型（BIM）技术的，采用的技术标准为：《建筑信息模型应用统一标准》GB/T51212-2016；《建筑信息模型（BIM）技术应用导则》DB3502/Z5051-2019。如前述标准及规范要求有出入则以较严格者为准，如标准、规范修改或更新的，则以修改或更新后的内容为准。</w:t>
      </w:r>
    </w:p>
    <w:p>
      <w:pPr>
        <w:adjustRightInd w:val="0"/>
        <w:snapToGrid w:val="0"/>
        <w:spacing w:line="360" w:lineRule="auto"/>
        <w:ind w:firstLine="420" w:firstLineChars="200"/>
        <w:textAlignment w:val="baseline"/>
        <w:rPr>
          <w:rFonts w:hint="eastAsia" w:cs="宋体"/>
          <w:color w:val="0000FF"/>
          <w:sz w:val="21"/>
          <w:szCs w:val="21"/>
          <w:highlight w:val="none"/>
          <w:u w:val="single"/>
          <w:lang w:bidi="ar"/>
        </w:rPr>
      </w:pPr>
      <w:bookmarkStart w:id="1713" w:name="_Toc20339"/>
      <w:bookmarkEnd w:id="1713"/>
      <w:bookmarkStart w:id="1714" w:name="_Toc26312"/>
      <w:bookmarkEnd w:id="1714"/>
      <w:bookmarkStart w:id="1715" w:name="_Toc7728"/>
      <w:bookmarkEnd w:id="1715"/>
      <w:bookmarkStart w:id="1716" w:name="_Toc52113000"/>
      <w:bookmarkStart w:id="1717" w:name="_Toc21876"/>
      <w:bookmarkStart w:id="1718" w:name="_Toc16386"/>
      <w:bookmarkStart w:id="1719" w:name="_Toc3372"/>
      <w:bookmarkStart w:id="1720" w:name="_Toc106703329"/>
      <w:bookmarkStart w:id="1721" w:name="_Toc13748"/>
      <w:bookmarkStart w:id="1722" w:name="_Toc61877342"/>
      <w:r>
        <w:rPr>
          <w:rFonts w:hint="eastAsia" w:cs="宋体"/>
          <w:color w:val="0000FF"/>
          <w:sz w:val="21"/>
          <w:szCs w:val="21"/>
          <w:highlight w:val="none"/>
          <w:u w:val="single"/>
          <w:lang w:bidi="ar"/>
        </w:rPr>
        <w:t>（2）施工图纸(设计文件)所提供的技术规范、标准、规程、图集等。</w:t>
      </w:r>
    </w:p>
    <w:p>
      <w:pPr>
        <w:adjustRightInd w:val="0"/>
        <w:snapToGrid w:val="0"/>
        <w:spacing w:line="360" w:lineRule="auto"/>
        <w:ind w:firstLine="420" w:firstLineChars="200"/>
        <w:textAlignment w:val="baseline"/>
        <w:rPr>
          <w:rFonts w:hint="eastAsia" w:cs="宋体"/>
          <w:color w:val="0000FF"/>
          <w:sz w:val="21"/>
          <w:szCs w:val="21"/>
          <w:highlight w:val="none"/>
          <w:u w:val="single"/>
          <w:lang w:bidi="ar"/>
        </w:rPr>
      </w:pPr>
      <w:r>
        <w:rPr>
          <w:rFonts w:hint="eastAsia" w:cs="宋体"/>
          <w:color w:val="0000FF"/>
          <w:sz w:val="21"/>
          <w:szCs w:val="21"/>
          <w:highlight w:val="none"/>
          <w:u w:val="single"/>
          <w:lang w:bidi="ar"/>
        </w:rPr>
        <w:t>（3）其它技术规范：国家、省、市有关部门颁布的所有现行技术规范、规程、标准等。</w:t>
      </w:r>
    </w:p>
    <w:p>
      <w:pPr>
        <w:pStyle w:val="5"/>
        <w:widowControl/>
        <w:spacing w:beforeLines="0" w:after="120"/>
        <w:rPr>
          <w:rFonts w:hAnsi="宋体" w:eastAsia="宋体" w:cs="黑体"/>
          <w:i/>
          <w:color w:val="auto"/>
          <w:sz w:val="21"/>
          <w:szCs w:val="21"/>
          <w:highlight w:val="none"/>
        </w:rPr>
      </w:pPr>
      <w:bookmarkStart w:id="1723" w:name="_Toc31388"/>
      <w:bookmarkStart w:id="1724" w:name="_Toc22652"/>
      <w:r>
        <w:rPr>
          <w:rFonts w:hint="eastAsia" w:hAnsi="宋体" w:cs="黑体"/>
          <w:color w:val="auto"/>
          <w:sz w:val="21"/>
          <w:szCs w:val="21"/>
          <w:highlight w:val="none"/>
        </w:rPr>
        <w:t>3.工</w:t>
      </w:r>
      <w:bookmarkEnd w:id="1716"/>
      <w:bookmarkStart w:id="1725" w:name="_Toc13309422"/>
      <w:bookmarkEnd w:id="1725"/>
      <w:bookmarkStart w:id="1726" w:name="_Toc49663152"/>
      <w:bookmarkEnd w:id="1726"/>
      <w:bookmarkStart w:id="1727" w:name="_Toc63471521"/>
      <w:bookmarkEnd w:id="1727"/>
      <w:bookmarkStart w:id="1728" w:name="_Toc200772276"/>
      <w:bookmarkEnd w:id="1728"/>
      <w:bookmarkStart w:id="1729" w:name="_Toc215480834"/>
      <w:bookmarkEnd w:id="1729"/>
      <w:bookmarkStart w:id="1730" w:name="_Toc200708265"/>
      <w:r>
        <w:rPr>
          <w:rFonts w:hint="eastAsia" w:hAnsi="宋体" w:cs="黑体"/>
          <w:color w:val="auto"/>
          <w:sz w:val="21"/>
          <w:szCs w:val="21"/>
          <w:highlight w:val="none"/>
        </w:rPr>
        <w:t>程设计要求的特殊工程材料、施工工艺标准和要求</w:t>
      </w:r>
      <w:bookmarkEnd w:id="1717"/>
      <w:bookmarkEnd w:id="1718"/>
      <w:bookmarkEnd w:id="1719"/>
      <w:bookmarkEnd w:id="1720"/>
      <w:bookmarkEnd w:id="1721"/>
      <w:bookmarkEnd w:id="1722"/>
      <w:bookmarkEnd w:id="1723"/>
      <w:bookmarkEnd w:id="1724"/>
      <w:bookmarkEnd w:id="1730"/>
    </w:p>
    <w:p>
      <w:pPr>
        <w:adjustRightInd w:val="0"/>
        <w:spacing w:line="360" w:lineRule="auto"/>
        <w:ind w:firstLine="560"/>
        <w:textAlignment w:val="baseline"/>
        <w:rPr>
          <w:rFonts w:cs="宋体"/>
          <w:color w:val="auto"/>
          <w:sz w:val="21"/>
          <w:szCs w:val="21"/>
          <w:highlight w:val="none"/>
          <w:u w:val="single"/>
        </w:rPr>
      </w:pPr>
      <w:r>
        <w:rPr>
          <w:rFonts w:hint="eastAsia" w:cs="宋体"/>
          <w:color w:val="auto"/>
          <w:sz w:val="21"/>
          <w:szCs w:val="21"/>
          <w:highlight w:val="none"/>
        </w:rPr>
        <w:t>根据工程设计要求，该项工程下列项目材料、施工必须达到通用本规定的标准和以上标准外，还应满足下列标准要求：</w:t>
      </w:r>
      <w:r>
        <w:rPr>
          <w:rFonts w:hint="eastAsia" w:cs="宋体"/>
          <w:color w:val="0000FF"/>
          <w:sz w:val="21"/>
          <w:szCs w:val="21"/>
          <w:highlight w:val="none"/>
          <w:u w:val="single"/>
        </w:rPr>
        <w:t>应满足图纸及现行有关建设技术标准的规定</w:t>
      </w:r>
      <w:r>
        <w:rPr>
          <w:rFonts w:hint="eastAsia" w:cs="宋体"/>
          <w:color w:val="auto"/>
          <w:sz w:val="21"/>
          <w:szCs w:val="21"/>
          <w:highlight w:val="none"/>
          <w:u w:val="single"/>
        </w:rPr>
        <w:t>。</w:t>
      </w:r>
    </w:p>
    <w:p>
      <w:pPr>
        <w:pStyle w:val="5"/>
        <w:widowControl/>
        <w:spacing w:beforeLines="0" w:after="120"/>
        <w:rPr>
          <w:rFonts w:hAnsi="宋体" w:eastAsia="宋体" w:cs="黑体"/>
          <w:i/>
          <w:color w:val="auto"/>
          <w:sz w:val="21"/>
          <w:szCs w:val="21"/>
          <w:highlight w:val="none"/>
        </w:rPr>
      </w:pPr>
      <w:bookmarkStart w:id="1731" w:name="_Toc11740"/>
      <w:bookmarkStart w:id="1732" w:name="_Toc106703330"/>
      <w:bookmarkStart w:id="1733" w:name="_Toc2773"/>
      <w:r>
        <w:rPr>
          <w:rFonts w:hint="eastAsia" w:hAnsi="宋体" w:cs="黑体"/>
          <w:color w:val="auto"/>
          <w:sz w:val="21"/>
          <w:szCs w:val="21"/>
          <w:highlight w:val="none"/>
        </w:rPr>
        <w:t>4.工程建造要求</w:t>
      </w:r>
      <w:bookmarkEnd w:id="1731"/>
      <w:bookmarkEnd w:id="1732"/>
      <w:bookmarkEnd w:id="1733"/>
    </w:p>
    <w:p>
      <w:pPr>
        <w:adjustRightInd w:val="0"/>
        <w:snapToGrid w:val="0"/>
        <w:spacing w:line="360" w:lineRule="auto"/>
        <w:ind w:firstLine="420" w:firstLineChars="200"/>
        <w:textAlignment w:val="baseline"/>
        <w:rPr>
          <w:rFonts w:cs="宋体"/>
          <w:color w:val="auto"/>
          <w:kern w:val="2"/>
          <w:sz w:val="21"/>
          <w:szCs w:val="21"/>
          <w:highlight w:val="none"/>
          <w:u w:val="single"/>
        </w:rPr>
      </w:pPr>
      <w:r>
        <w:rPr>
          <w:rFonts w:hint="eastAsia" w:cs="宋体"/>
          <w:color w:val="auto"/>
          <w:sz w:val="21"/>
          <w:szCs w:val="21"/>
          <w:highlight w:val="none"/>
        </w:rPr>
        <w:t>绿色建筑等级要求</w:t>
      </w:r>
      <w:r>
        <w:rPr>
          <w:rFonts w:hint="eastAsia" w:cs="宋体"/>
          <w:color w:val="auto"/>
          <w:kern w:val="2"/>
          <w:sz w:val="21"/>
          <w:szCs w:val="21"/>
          <w:highlight w:val="none"/>
        </w:rPr>
        <w:t>：</w:t>
      </w:r>
      <w:r>
        <w:rPr>
          <w:rFonts w:hint="eastAsia" w:cs="宋体"/>
          <w:color w:val="0000FF"/>
          <w:kern w:val="2"/>
          <w:sz w:val="21"/>
          <w:szCs w:val="21"/>
          <w:highlight w:val="none"/>
          <w:u w:val="single"/>
        </w:rPr>
        <w:t>按有关规定执行。</w:t>
      </w:r>
    </w:p>
    <w:p>
      <w:pPr>
        <w:adjustRightInd w:val="0"/>
        <w:snapToGri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智慧工地管理要求：</w:t>
      </w:r>
      <w:r>
        <w:rPr>
          <w:rFonts w:hint="eastAsia" w:cs="宋体"/>
          <w:color w:val="0000FF"/>
          <w:kern w:val="2"/>
          <w:sz w:val="21"/>
          <w:szCs w:val="21"/>
          <w:highlight w:val="none"/>
          <w:u w:val="single"/>
        </w:rPr>
        <w:t>按有关规定执行。</w:t>
      </w:r>
    </w:p>
    <w:p>
      <w:pPr>
        <w:adjustRightInd w:val="0"/>
        <w:snapToGri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建筑垃圾减量化目标：</w:t>
      </w:r>
      <w:r>
        <w:rPr>
          <w:rFonts w:hint="eastAsia" w:cs="宋体"/>
          <w:color w:val="0000FF"/>
          <w:kern w:val="2"/>
          <w:sz w:val="21"/>
          <w:szCs w:val="21"/>
          <w:highlight w:val="none"/>
          <w:u w:val="single"/>
        </w:rPr>
        <w:t>按有关规定执行。</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其他要求：</w:t>
      </w:r>
      <w:r>
        <w:rPr>
          <w:rFonts w:hint="eastAsia" w:cs="宋体"/>
          <w:color w:val="auto"/>
          <w:sz w:val="21"/>
          <w:szCs w:val="21"/>
          <w:highlight w:val="none"/>
          <w:u w:val="single"/>
        </w:rPr>
        <w:t xml:space="preserve">  </w:t>
      </w:r>
      <w:r>
        <w:rPr>
          <w:rFonts w:hint="eastAsia" w:cs="宋体"/>
          <w:color w:val="0000FF"/>
          <w:sz w:val="21"/>
          <w:szCs w:val="21"/>
          <w:highlight w:val="none"/>
          <w:u w:val="single"/>
          <w:lang w:val="en-US" w:eastAsia="zh-CN"/>
        </w:rPr>
        <w:t>无</w:t>
      </w:r>
      <w:r>
        <w:rPr>
          <w:rFonts w:hint="eastAsia" w:cs="宋体"/>
          <w:color w:val="auto"/>
          <w:sz w:val="21"/>
          <w:szCs w:val="21"/>
          <w:highlight w:val="none"/>
          <w:u w:val="single"/>
        </w:rPr>
        <w:t xml:space="preserve">    </w:t>
      </w:r>
    </w:p>
    <w:p>
      <w:pPr>
        <w:pStyle w:val="59"/>
        <w:rPr>
          <w:color w:val="auto"/>
          <w:highlight w:val="none"/>
        </w:rPr>
      </w:pPr>
    </w:p>
    <w:p>
      <w:pPr>
        <w:pStyle w:val="4"/>
        <w:widowControl/>
        <w:spacing w:beforeLines="0" w:after="240"/>
        <w:rPr>
          <w:rFonts w:hAnsi="宋体" w:cs="黑体"/>
          <w:color w:val="auto"/>
          <w:highlight w:val="none"/>
        </w:rPr>
      </w:pPr>
      <w:bookmarkStart w:id="1734" w:name="_Toc4723"/>
      <w:bookmarkEnd w:id="1734"/>
      <w:bookmarkStart w:id="1735" w:name="_Toc24152"/>
      <w:bookmarkEnd w:id="1735"/>
      <w:bookmarkStart w:id="1736" w:name="_Toc4250"/>
      <w:bookmarkEnd w:id="1736"/>
      <w:bookmarkStart w:id="1737" w:name="_Toc49663153"/>
      <w:bookmarkEnd w:id="1737"/>
      <w:bookmarkStart w:id="1738" w:name="_Toc52113001"/>
      <w:bookmarkEnd w:id="1738"/>
      <w:bookmarkStart w:id="1739" w:name="_Toc215480843"/>
      <w:bookmarkEnd w:id="1739"/>
      <w:bookmarkStart w:id="1740" w:name="_Toc200772282"/>
      <w:bookmarkEnd w:id="1740"/>
      <w:bookmarkStart w:id="1741" w:name="_Toc63471522"/>
      <w:bookmarkStart w:id="1742" w:name="_Toc16840"/>
      <w:bookmarkStart w:id="1743" w:name="_Toc15161"/>
      <w:bookmarkStart w:id="1744" w:name="_Toc61877343"/>
      <w:bookmarkStart w:id="1745" w:name="_Toc4302"/>
      <w:bookmarkStart w:id="1746" w:name="_Toc30171"/>
      <w:r>
        <w:rPr>
          <w:rFonts w:hAnsi="宋体" w:cs="黑体"/>
          <w:color w:val="auto"/>
          <w:highlight w:val="none"/>
        </w:rPr>
        <w:br w:type="page"/>
      </w:r>
      <w:bookmarkStart w:id="1747" w:name="_Toc23596"/>
      <w:bookmarkStart w:id="1748" w:name="_Toc106703331"/>
      <w:bookmarkStart w:id="1749" w:name="_Toc28403"/>
      <w:r>
        <w:rPr>
          <w:rFonts w:hint="eastAsia" w:hAnsi="宋体" w:cs="黑体"/>
          <w:color w:val="auto"/>
          <w:highlight w:val="none"/>
        </w:rPr>
        <w:t>施</w:t>
      </w:r>
      <w:bookmarkEnd w:id="1741"/>
      <w:bookmarkStart w:id="1750" w:name="_Toc13309423"/>
      <w:r>
        <w:rPr>
          <w:rFonts w:hint="eastAsia" w:hAnsi="宋体" w:cs="黑体"/>
          <w:color w:val="auto"/>
          <w:highlight w:val="none"/>
        </w:rPr>
        <w:t>工现场管理要求</w:t>
      </w:r>
      <w:bookmarkEnd w:id="1742"/>
      <w:bookmarkEnd w:id="1743"/>
      <w:bookmarkEnd w:id="1744"/>
      <w:bookmarkEnd w:id="1745"/>
      <w:bookmarkEnd w:id="1746"/>
      <w:bookmarkEnd w:id="1747"/>
      <w:bookmarkEnd w:id="1748"/>
      <w:bookmarkEnd w:id="1749"/>
      <w:bookmarkEnd w:id="1750"/>
    </w:p>
    <w:p>
      <w:pPr>
        <w:keepNext/>
        <w:keepLines/>
        <w:spacing w:beforeLines="50" w:afterLines="50" w:line="360" w:lineRule="auto"/>
        <w:ind w:firstLine="136"/>
        <w:outlineLvl w:val="2"/>
        <w:rPr>
          <w:rFonts w:ascii="黑体" w:hAnsi="黑体" w:eastAsia="黑体"/>
          <w:snapToGrid w:val="0"/>
          <w:color w:val="auto"/>
          <w:kern w:val="1"/>
          <w:sz w:val="21"/>
          <w:szCs w:val="21"/>
          <w:highlight w:val="none"/>
          <w:lang w:val="zh-CN"/>
        </w:rPr>
      </w:pPr>
      <w:bookmarkStart w:id="1751" w:name="_Toc16742"/>
      <w:bookmarkEnd w:id="1751"/>
      <w:bookmarkStart w:id="1752" w:name="_Toc52113002"/>
      <w:bookmarkEnd w:id="1752"/>
      <w:bookmarkStart w:id="1753" w:name="_Toc27459"/>
      <w:bookmarkEnd w:id="1753"/>
      <w:bookmarkStart w:id="1754" w:name="_Toc32280"/>
      <w:bookmarkEnd w:id="1754"/>
      <w:bookmarkStart w:id="1755" w:name="_Toc12081"/>
      <w:bookmarkStart w:id="1756" w:name="_Toc106703332"/>
      <w:bookmarkStart w:id="1757" w:name="_Toc31512"/>
      <w:r>
        <w:rPr>
          <w:rFonts w:hint="eastAsia" w:ascii="黑体" w:hAnsi="黑体" w:eastAsia="黑体"/>
          <w:snapToGrid w:val="0"/>
          <w:color w:val="auto"/>
          <w:kern w:val="1"/>
          <w:sz w:val="21"/>
          <w:szCs w:val="21"/>
          <w:highlight w:val="none"/>
          <w:lang w:val="zh-CN"/>
        </w:rPr>
        <w:t>1.现</w:t>
      </w:r>
      <w:bookmarkStart w:id="1758" w:name="_Toc13309424"/>
      <w:bookmarkStart w:id="1759" w:name="_Toc63471523"/>
      <w:bookmarkStart w:id="1760" w:name="_Toc49663154"/>
      <w:bookmarkStart w:id="1761" w:name="_Toc200772283"/>
      <w:bookmarkStart w:id="1762" w:name="_Toc215480844"/>
      <w:r>
        <w:rPr>
          <w:rFonts w:hint="eastAsia" w:ascii="黑体" w:hAnsi="黑体" w:eastAsia="黑体"/>
          <w:snapToGrid w:val="0"/>
          <w:color w:val="auto"/>
          <w:kern w:val="1"/>
          <w:sz w:val="21"/>
          <w:szCs w:val="21"/>
          <w:highlight w:val="none"/>
          <w:lang w:val="zh-CN"/>
        </w:rPr>
        <w:t>场安全防护设施要求</w:t>
      </w:r>
      <w:bookmarkEnd w:id="1755"/>
      <w:bookmarkEnd w:id="1756"/>
      <w:bookmarkEnd w:id="1757"/>
    </w:p>
    <w:bookmarkEnd w:id="1758"/>
    <w:bookmarkEnd w:id="1759"/>
    <w:bookmarkEnd w:id="1760"/>
    <w:bookmarkEnd w:id="1761"/>
    <w:bookmarkEnd w:id="1762"/>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ascii="黑体" w:hAnsi="黑体" w:eastAsia="黑体"/>
          <w:snapToGrid w:val="0"/>
          <w:color w:val="auto"/>
          <w:kern w:val="1"/>
          <w:sz w:val="21"/>
          <w:szCs w:val="21"/>
          <w:highlight w:val="none"/>
          <w:lang w:val="zh-CN"/>
        </w:rPr>
      </w:pPr>
      <w:r>
        <w:rPr>
          <w:rFonts w:hint="eastAsia" w:ascii="宋体" w:hAnsi="宋体" w:eastAsia="宋体" w:cs="宋体"/>
          <w:color w:val="0000FF"/>
          <w:kern w:val="0"/>
          <w:sz w:val="21"/>
          <w:szCs w:val="21"/>
          <w:highlight w:val="none"/>
          <w:u w:val="single"/>
          <w:lang w:val="en-US" w:eastAsia="zh-CN" w:bidi="ar"/>
        </w:rPr>
        <w:t>承包人应按现行国家规范、福建省及厦门市建筑工程文明措施费条例规定执行，并应确保周围建筑物及人身安全。</w:t>
      </w:r>
      <w:r>
        <w:rPr>
          <w:rFonts w:hint="eastAsia" w:ascii="黑体" w:hAnsi="黑体" w:eastAsia="黑体"/>
          <w:snapToGrid w:val="0"/>
          <w:color w:val="auto"/>
          <w:kern w:val="1"/>
          <w:sz w:val="21"/>
          <w:szCs w:val="21"/>
          <w:highlight w:val="none"/>
          <w:lang w:val="zh-CN"/>
        </w:rPr>
        <w:t xml:space="preserve">                                                                                      </w:t>
      </w:r>
      <w:bookmarkStart w:id="1763" w:name="_Toc2463"/>
      <w:bookmarkStart w:id="1764" w:name="_Toc18023"/>
      <w:bookmarkStart w:id="1765" w:name="_Toc52113003"/>
      <w:bookmarkStart w:id="1766" w:name="_Toc5406"/>
    </w:p>
    <w:p>
      <w:pPr>
        <w:keepNext/>
        <w:keepLines/>
        <w:spacing w:beforeLines="50" w:afterLines="50" w:line="360" w:lineRule="auto"/>
        <w:ind w:firstLine="136"/>
        <w:outlineLvl w:val="2"/>
        <w:rPr>
          <w:rFonts w:ascii="黑体" w:hAnsi="Calibri"/>
          <w:i/>
          <w:color w:val="auto"/>
          <w:kern w:val="1"/>
          <w:sz w:val="21"/>
          <w:szCs w:val="21"/>
          <w:highlight w:val="none"/>
          <w:lang w:val="zh-CN"/>
        </w:rPr>
      </w:pPr>
      <w:bookmarkStart w:id="1767" w:name="_Toc106703333"/>
      <w:bookmarkStart w:id="1768" w:name="_Toc2204"/>
      <w:bookmarkStart w:id="1769" w:name="_Toc8310"/>
      <w:r>
        <w:rPr>
          <w:rFonts w:hint="eastAsia" w:ascii="Arial" w:hAnsi="Arial" w:eastAsia="黑体"/>
          <w:snapToGrid w:val="0"/>
          <w:color w:val="auto"/>
          <w:kern w:val="1"/>
          <w:sz w:val="21"/>
          <w:szCs w:val="21"/>
          <w:highlight w:val="none"/>
          <w:lang w:val="zh-CN"/>
        </w:rPr>
        <w:t>2.水</w:t>
      </w:r>
      <w:bookmarkStart w:id="1770" w:name="_Toc200772284"/>
      <w:bookmarkStart w:id="1771" w:name="_Toc13309425"/>
      <w:bookmarkStart w:id="1772" w:name="_Toc49663155"/>
      <w:bookmarkStart w:id="1773" w:name="_Toc215480845"/>
      <w:bookmarkStart w:id="1774" w:name="_Toc63471524"/>
      <w:r>
        <w:rPr>
          <w:rFonts w:hint="eastAsia" w:ascii="Arial" w:hAnsi="Arial" w:eastAsia="黑体"/>
          <w:snapToGrid w:val="0"/>
          <w:color w:val="auto"/>
          <w:kern w:val="1"/>
          <w:sz w:val="21"/>
          <w:szCs w:val="21"/>
          <w:highlight w:val="none"/>
          <w:lang w:val="zh-CN"/>
        </w:rPr>
        <w:t>土保持与环境要求</w:t>
      </w:r>
      <w:bookmarkEnd w:id="1763"/>
      <w:bookmarkEnd w:id="1764"/>
      <w:bookmarkEnd w:id="1765"/>
      <w:bookmarkEnd w:id="1766"/>
      <w:bookmarkEnd w:id="1767"/>
      <w:bookmarkEnd w:id="1768"/>
      <w:bookmarkEnd w:id="1769"/>
    </w:p>
    <w:bookmarkEnd w:id="1770"/>
    <w:bookmarkEnd w:id="1771"/>
    <w:bookmarkEnd w:id="1772"/>
    <w:bookmarkEnd w:id="1773"/>
    <w:bookmarkEnd w:id="1774"/>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FF"/>
          <w:kern w:val="0"/>
          <w:sz w:val="21"/>
          <w:szCs w:val="21"/>
          <w:highlight w:val="none"/>
          <w:u w:val="single"/>
          <w:lang w:val="en-US" w:eastAsia="zh-CN" w:bidi="ar"/>
        </w:rPr>
      </w:pPr>
      <w:bookmarkStart w:id="1775" w:name="_Toc26734"/>
      <w:bookmarkStart w:id="1776" w:name="_Toc21707"/>
      <w:bookmarkStart w:id="1777" w:name="_Toc106703334"/>
      <w:bookmarkStart w:id="1778" w:name="_Toc16248"/>
      <w:bookmarkStart w:id="1779" w:name="_Toc52113004"/>
      <w:r>
        <w:rPr>
          <w:rFonts w:hint="eastAsia" w:ascii="宋体" w:hAnsi="宋体" w:eastAsia="宋体" w:cs="宋体"/>
          <w:color w:val="0000FF"/>
          <w:kern w:val="0"/>
          <w:sz w:val="21"/>
          <w:szCs w:val="21"/>
          <w:highlight w:val="none"/>
          <w:u w:val="single"/>
          <w:lang w:val="en-US" w:eastAsia="zh-CN" w:bidi="ar"/>
        </w:rPr>
        <w:t>按现行国家、福建省和厦门市有关规定执行。</w:t>
      </w:r>
    </w:p>
    <w:p>
      <w:pPr>
        <w:keepNext/>
        <w:keepLines/>
        <w:spacing w:beforeLines="50" w:afterLines="50" w:line="360" w:lineRule="auto"/>
        <w:ind w:firstLine="136"/>
        <w:outlineLvl w:val="2"/>
        <w:rPr>
          <w:rFonts w:ascii="黑体" w:hAnsi="黑体" w:eastAsia="黑体"/>
          <w:snapToGrid w:val="0"/>
          <w:color w:val="auto"/>
          <w:kern w:val="1"/>
          <w:sz w:val="21"/>
          <w:szCs w:val="21"/>
          <w:highlight w:val="none"/>
          <w:lang w:val="zh-CN"/>
        </w:rPr>
      </w:pPr>
      <w:bookmarkStart w:id="1780" w:name="_Toc10667"/>
      <w:bookmarkStart w:id="1781" w:name="_Toc13704"/>
      <w:r>
        <w:rPr>
          <w:rFonts w:hint="eastAsia" w:ascii="黑体" w:hAnsi="黑体" w:eastAsia="黑体"/>
          <w:snapToGrid w:val="0"/>
          <w:color w:val="auto"/>
          <w:kern w:val="1"/>
          <w:sz w:val="21"/>
          <w:szCs w:val="21"/>
          <w:highlight w:val="none"/>
          <w:lang w:val="zh-CN"/>
        </w:rPr>
        <w:t>3.文</w:t>
      </w:r>
      <w:bookmarkStart w:id="1782" w:name="_Toc63471525"/>
      <w:bookmarkStart w:id="1783" w:name="_Toc215480846"/>
      <w:bookmarkStart w:id="1784" w:name="_Toc49663156"/>
      <w:bookmarkStart w:id="1785" w:name="_Toc200772285"/>
      <w:bookmarkStart w:id="1786" w:name="_Toc13309426"/>
      <w:r>
        <w:rPr>
          <w:rFonts w:hint="eastAsia" w:ascii="黑体" w:hAnsi="黑体" w:eastAsia="黑体"/>
          <w:snapToGrid w:val="0"/>
          <w:color w:val="auto"/>
          <w:kern w:val="1"/>
          <w:sz w:val="21"/>
          <w:szCs w:val="21"/>
          <w:highlight w:val="none"/>
          <w:lang w:val="zh-CN"/>
        </w:rPr>
        <w:t>明施工要求</w:t>
      </w:r>
      <w:bookmarkEnd w:id="1775"/>
      <w:bookmarkEnd w:id="1776"/>
      <w:bookmarkEnd w:id="1777"/>
      <w:bookmarkEnd w:id="1778"/>
      <w:bookmarkEnd w:id="1779"/>
      <w:bookmarkEnd w:id="1780"/>
      <w:bookmarkEnd w:id="1781"/>
    </w:p>
    <w:bookmarkEnd w:id="1782"/>
    <w:bookmarkEnd w:id="1783"/>
    <w:bookmarkEnd w:id="1784"/>
    <w:bookmarkEnd w:id="1785"/>
    <w:bookmarkEnd w:id="1786"/>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FF"/>
          <w:kern w:val="0"/>
          <w:sz w:val="21"/>
          <w:szCs w:val="21"/>
          <w:highlight w:val="none"/>
          <w:u w:val="single"/>
          <w:lang w:val="en-US" w:eastAsia="zh-CN" w:bidi="ar"/>
        </w:rPr>
      </w:pPr>
      <w:bookmarkStart w:id="1787" w:name="_Toc52113005"/>
      <w:bookmarkStart w:id="1788" w:name="_Toc29643"/>
      <w:bookmarkStart w:id="1789" w:name="_Toc22355"/>
      <w:bookmarkStart w:id="1790" w:name="_Toc106703335"/>
      <w:bookmarkStart w:id="1791" w:name="_Toc6294"/>
      <w:r>
        <w:rPr>
          <w:rFonts w:hint="eastAsia" w:ascii="宋体" w:hAnsi="宋体" w:eastAsia="宋体" w:cs="宋体"/>
          <w:color w:val="0000FF"/>
          <w:kern w:val="0"/>
          <w:sz w:val="21"/>
          <w:szCs w:val="21"/>
          <w:highlight w:val="none"/>
          <w:u w:val="single"/>
          <w:lang w:val="en-US" w:eastAsia="zh-CN" w:bidi="ar"/>
        </w:rPr>
        <w:t>按现行国家、福建省和厦门市有关规定执行。</w:t>
      </w:r>
    </w:p>
    <w:p>
      <w:pPr>
        <w:keepNext/>
        <w:keepLines/>
        <w:spacing w:beforeLines="50" w:afterLines="50" w:line="360" w:lineRule="auto"/>
        <w:ind w:firstLine="136"/>
        <w:outlineLvl w:val="2"/>
        <w:rPr>
          <w:rFonts w:ascii="黑体" w:hAnsi="黑体" w:eastAsia="黑体"/>
          <w:snapToGrid w:val="0"/>
          <w:color w:val="auto"/>
          <w:kern w:val="1"/>
          <w:sz w:val="21"/>
          <w:szCs w:val="21"/>
          <w:highlight w:val="none"/>
          <w:lang w:val="zh-CN"/>
        </w:rPr>
      </w:pPr>
      <w:bookmarkStart w:id="1792" w:name="_Toc31135"/>
      <w:bookmarkStart w:id="1793" w:name="_Toc29364"/>
      <w:r>
        <w:rPr>
          <w:rFonts w:hint="eastAsia" w:ascii="黑体" w:hAnsi="黑体" w:eastAsia="黑体"/>
          <w:snapToGrid w:val="0"/>
          <w:color w:val="auto"/>
          <w:kern w:val="1"/>
          <w:sz w:val="21"/>
          <w:szCs w:val="21"/>
          <w:highlight w:val="none"/>
          <w:lang w:val="zh-CN"/>
        </w:rPr>
        <w:t>4.施</w:t>
      </w:r>
      <w:bookmarkStart w:id="1794" w:name="_Toc63471526"/>
      <w:bookmarkStart w:id="1795" w:name="_Toc13309427"/>
      <w:bookmarkStart w:id="1796" w:name="_Toc49663157"/>
      <w:bookmarkStart w:id="1797" w:name="_Toc215480847"/>
      <w:r>
        <w:rPr>
          <w:rFonts w:hint="eastAsia" w:ascii="黑体" w:hAnsi="黑体" w:eastAsia="黑体"/>
          <w:snapToGrid w:val="0"/>
          <w:color w:val="auto"/>
          <w:kern w:val="1"/>
          <w:sz w:val="21"/>
          <w:szCs w:val="21"/>
          <w:highlight w:val="none"/>
          <w:lang w:val="zh-CN"/>
        </w:rPr>
        <w:t>工机具进场要求</w:t>
      </w:r>
      <w:bookmarkEnd w:id="1787"/>
      <w:bookmarkEnd w:id="1788"/>
      <w:bookmarkEnd w:id="1789"/>
      <w:bookmarkEnd w:id="1790"/>
      <w:bookmarkEnd w:id="1791"/>
      <w:bookmarkEnd w:id="1792"/>
      <w:bookmarkEnd w:id="1793"/>
    </w:p>
    <w:bookmarkEnd w:id="1794"/>
    <w:bookmarkEnd w:id="1795"/>
    <w:bookmarkEnd w:id="1796"/>
    <w:bookmarkEnd w:id="1797"/>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FF"/>
          <w:kern w:val="0"/>
          <w:sz w:val="21"/>
          <w:szCs w:val="21"/>
          <w:highlight w:val="none"/>
          <w:u w:val="single"/>
          <w:lang w:val="en-US" w:eastAsia="zh-CN" w:bidi="ar"/>
        </w:rPr>
      </w:pPr>
      <w:bookmarkStart w:id="1798" w:name="_Toc49663158"/>
      <w:bookmarkEnd w:id="1798"/>
      <w:bookmarkStart w:id="1799" w:name="_Toc24313"/>
      <w:bookmarkEnd w:id="1799"/>
      <w:bookmarkStart w:id="1800" w:name="_Toc27325"/>
      <w:bookmarkEnd w:id="1800"/>
      <w:bookmarkStart w:id="1801" w:name="_Toc215480857"/>
      <w:bookmarkEnd w:id="1801"/>
      <w:bookmarkStart w:id="1802" w:name="_Toc5756"/>
      <w:bookmarkEnd w:id="1802"/>
      <w:bookmarkStart w:id="1803" w:name="_Toc52113006"/>
      <w:r>
        <w:rPr>
          <w:rFonts w:hint="eastAsia" w:ascii="宋体" w:hAnsi="宋体" w:eastAsia="宋体" w:cs="宋体"/>
          <w:color w:val="0000FF"/>
          <w:kern w:val="0"/>
          <w:sz w:val="21"/>
          <w:szCs w:val="21"/>
          <w:highlight w:val="none"/>
          <w:u w:val="single"/>
          <w:lang w:val="en-US" w:eastAsia="zh-CN" w:bidi="ar"/>
        </w:rPr>
        <w:t>按现行国家、福建省和厦门市有关规定执行。</w:t>
      </w:r>
    </w:p>
    <w:p>
      <w:pPr>
        <w:pStyle w:val="4"/>
        <w:widowControl/>
        <w:spacing w:beforeLines="0" w:after="240"/>
        <w:rPr>
          <w:rFonts w:ascii="Calibri" w:hAnsi="Calibri" w:eastAsia="宋体" w:cs="Calibri"/>
          <w:color w:val="auto"/>
          <w:sz w:val="20"/>
          <w:szCs w:val="20"/>
          <w:highlight w:val="none"/>
          <w:u w:val="single"/>
        </w:rPr>
      </w:pPr>
    </w:p>
    <w:bookmarkEnd w:id="1803"/>
    <w:p>
      <w:pPr>
        <w:pStyle w:val="4"/>
        <w:widowControl/>
        <w:spacing w:beforeLines="0" w:after="240"/>
        <w:rPr>
          <w:rFonts w:hint="eastAsia" w:hAnsi="宋体" w:cs="黑体"/>
          <w:color w:val="auto"/>
          <w:highlight w:val="none"/>
        </w:rPr>
      </w:pPr>
      <w:bookmarkStart w:id="1804" w:name="_Toc106703336"/>
      <w:bookmarkStart w:id="1805" w:name="_Toc61877348"/>
      <w:bookmarkStart w:id="1806" w:name="_Toc347"/>
      <w:bookmarkStart w:id="1807" w:name="_Toc11605"/>
      <w:bookmarkStart w:id="1808" w:name="_Toc7140"/>
      <w:bookmarkStart w:id="1809" w:name="_Toc13364"/>
      <w:bookmarkStart w:id="1810" w:name="_Toc18090"/>
      <w:bookmarkStart w:id="1811" w:name="_Toc31945"/>
      <w:r>
        <w:rPr>
          <w:rFonts w:hint="eastAsia" w:hAnsi="宋体" w:cs="黑体"/>
          <w:color w:val="auto"/>
          <w:highlight w:val="none"/>
        </w:rPr>
        <w:t>招</w:t>
      </w:r>
      <w:bookmarkStart w:id="1812" w:name="_Toc13309428"/>
      <w:bookmarkEnd w:id="1812"/>
      <w:r>
        <w:rPr>
          <w:rFonts w:hint="eastAsia" w:hAnsi="宋体" w:cs="黑体"/>
          <w:color w:val="auto"/>
          <w:highlight w:val="none"/>
        </w:rPr>
        <w:t>标人对工程主要材料设备的要求</w:t>
      </w:r>
      <w:bookmarkEnd w:id="1804"/>
      <w:bookmarkEnd w:id="1805"/>
      <w:bookmarkEnd w:id="1806"/>
      <w:bookmarkEnd w:id="1807"/>
      <w:bookmarkEnd w:id="1808"/>
      <w:bookmarkEnd w:id="1809"/>
      <w:bookmarkEnd w:id="1810"/>
      <w:bookmarkEnd w:id="1811"/>
    </w:p>
    <w:p>
      <w:pPr>
        <w:keepNext/>
        <w:keepLines/>
        <w:spacing w:before="156" w:beforeLines="50" w:after="156" w:afterLines="50" w:line="360" w:lineRule="auto"/>
        <w:ind w:firstLine="136"/>
        <w:outlineLvl w:val="2"/>
        <w:rPr>
          <w:rFonts w:hint="eastAsia" w:ascii="宋体" w:hAnsi="宋体" w:eastAsia="宋体" w:cs="宋体"/>
          <w:b/>
          <w:bCs/>
          <w:snapToGrid w:val="0"/>
          <w:kern w:val="1"/>
          <w:sz w:val="21"/>
          <w:szCs w:val="21"/>
          <w:lang w:val="zh-CN"/>
        </w:rPr>
      </w:pPr>
      <w:bookmarkStart w:id="1813" w:name="_Toc52113007"/>
      <w:bookmarkStart w:id="1814" w:name="_Toc29224"/>
      <w:bookmarkStart w:id="1815" w:name="_Toc32110"/>
      <w:bookmarkStart w:id="1816" w:name="_Toc24346"/>
      <w:r>
        <w:rPr>
          <w:rFonts w:hint="eastAsia" w:ascii="宋体" w:hAnsi="宋体" w:eastAsia="宋体" w:cs="宋体"/>
          <w:b/>
          <w:bCs/>
          <w:snapToGrid w:val="0"/>
          <w:kern w:val="1"/>
          <w:sz w:val="21"/>
          <w:szCs w:val="21"/>
          <w:lang w:val="zh-CN"/>
        </w:rPr>
        <w:t>1.技</w:t>
      </w:r>
      <w:bookmarkStart w:id="1817" w:name="_Toc13309429"/>
      <w:bookmarkStart w:id="1818" w:name="_Toc49663159"/>
      <w:bookmarkStart w:id="1819" w:name="_Toc215480858"/>
      <w:bookmarkStart w:id="1820" w:name="_Toc63471528"/>
      <w:r>
        <w:rPr>
          <w:rFonts w:hint="eastAsia" w:ascii="宋体" w:hAnsi="宋体" w:eastAsia="宋体" w:cs="宋体"/>
          <w:b/>
          <w:bCs/>
          <w:snapToGrid w:val="0"/>
          <w:kern w:val="1"/>
          <w:sz w:val="21"/>
          <w:szCs w:val="21"/>
          <w:lang w:val="zh-CN"/>
        </w:rPr>
        <w:t>术要求</w:t>
      </w:r>
      <w:bookmarkEnd w:id="1813"/>
      <w:bookmarkEnd w:id="1814"/>
      <w:bookmarkEnd w:id="1815"/>
      <w:bookmarkEnd w:id="1816"/>
    </w:p>
    <w:bookmarkEnd w:id="1817"/>
    <w:bookmarkEnd w:id="1818"/>
    <w:bookmarkEnd w:id="1819"/>
    <w:bookmarkEnd w:id="1820"/>
    <w:p>
      <w:pPr>
        <w:adjustRightInd w:val="0"/>
        <w:spacing w:line="360" w:lineRule="auto"/>
        <w:ind w:left="-3" w:leftChars="-1" w:firstLine="2"/>
        <w:textAlignment w:val="baseline"/>
        <w:rPr>
          <w:rFonts w:hint="eastAsia" w:cs="宋体"/>
          <w:color w:val="0000FF"/>
          <w:sz w:val="21"/>
          <w:szCs w:val="21"/>
          <w:u w:val="single"/>
          <w:lang w:bidi="ar"/>
        </w:rPr>
      </w:pPr>
      <w:r>
        <w:rPr>
          <w:rFonts w:hint="eastAsia" w:hAnsi="宋体" w:cs="宋体"/>
          <w:snapToGrid w:val="0"/>
          <w:sz w:val="21"/>
          <w:szCs w:val="21"/>
          <w:u w:val="single"/>
        </w:rPr>
        <w:t xml:space="preserve">  </w:t>
      </w:r>
      <w:r>
        <w:rPr>
          <w:rFonts w:hint="eastAsia" w:cs="宋体"/>
          <w:color w:val="0000FF"/>
          <w:sz w:val="21"/>
          <w:szCs w:val="21"/>
          <w:u w:val="single"/>
          <w:lang w:bidi="ar"/>
        </w:rPr>
        <w:t>应满足现行有关建设技术标准的规定。</w:t>
      </w:r>
    </w:p>
    <w:p>
      <w:pPr>
        <w:keepNext/>
        <w:keepLines/>
        <w:spacing w:before="156" w:beforeLines="50" w:after="156" w:afterLines="50" w:line="360" w:lineRule="auto"/>
        <w:ind w:firstLine="136"/>
        <w:outlineLvl w:val="2"/>
        <w:rPr>
          <w:rFonts w:hint="eastAsia" w:ascii="宋体" w:hAnsi="宋体" w:eastAsia="宋体" w:cs="宋体"/>
          <w:b/>
          <w:bCs/>
          <w:snapToGrid w:val="0"/>
          <w:kern w:val="1"/>
          <w:sz w:val="21"/>
          <w:szCs w:val="21"/>
          <w:lang w:val="zh-CN"/>
        </w:rPr>
      </w:pPr>
      <w:bookmarkStart w:id="1821" w:name="_Toc387"/>
      <w:bookmarkStart w:id="1822" w:name="_Toc24089"/>
      <w:bookmarkStart w:id="1823" w:name="_Toc19751"/>
      <w:bookmarkStart w:id="1824" w:name="_Toc52113008"/>
      <w:bookmarkStart w:id="1825" w:name="_Toc929"/>
      <w:bookmarkStart w:id="1826" w:name="_Toc22313"/>
      <w:bookmarkStart w:id="1827" w:name="_Toc7898"/>
      <w:r>
        <w:rPr>
          <w:rFonts w:hint="eastAsia" w:ascii="宋体" w:hAnsi="宋体" w:eastAsia="宋体" w:cs="宋体"/>
          <w:b/>
          <w:bCs/>
          <w:snapToGrid w:val="0"/>
          <w:kern w:val="1"/>
          <w:sz w:val="21"/>
          <w:szCs w:val="21"/>
          <w:lang w:val="zh-CN"/>
        </w:rPr>
        <w:t>2.质</w:t>
      </w:r>
      <w:bookmarkStart w:id="1828" w:name="_Toc63471529"/>
      <w:bookmarkStart w:id="1829" w:name="_Toc13309430"/>
      <w:bookmarkStart w:id="1830" w:name="_Toc215480859"/>
      <w:bookmarkStart w:id="1831" w:name="_Toc49663160"/>
      <w:r>
        <w:rPr>
          <w:rFonts w:hint="eastAsia" w:ascii="宋体" w:hAnsi="宋体" w:eastAsia="宋体" w:cs="宋体"/>
          <w:b/>
          <w:bCs/>
          <w:snapToGrid w:val="0"/>
          <w:kern w:val="1"/>
          <w:sz w:val="21"/>
          <w:szCs w:val="21"/>
          <w:lang w:val="zh-CN"/>
        </w:rPr>
        <w:t>量要求</w:t>
      </w:r>
      <w:bookmarkEnd w:id="1821"/>
      <w:bookmarkEnd w:id="1822"/>
      <w:bookmarkEnd w:id="1823"/>
      <w:bookmarkEnd w:id="1824"/>
      <w:bookmarkEnd w:id="1825"/>
      <w:bookmarkEnd w:id="1826"/>
      <w:bookmarkEnd w:id="1827"/>
    </w:p>
    <w:bookmarkEnd w:id="1828"/>
    <w:bookmarkEnd w:id="1829"/>
    <w:bookmarkEnd w:id="1830"/>
    <w:bookmarkEnd w:id="1831"/>
    <w:p>
      <w:pPr>
        <w:adjustRightInd w:val="0"/>
        <w:spacing w:line="520" w:lineRule="exact"/>
        <w:ind w:left="-3" w:leftChars="-1" w:firstLine="2"/>
        <w:textAlignment w:val="baseline"/>
        <w:rPr>
          <w:rFonts w:hint="eastAsia" w:hAnsi="宋体" w:cs="宋体"/>
          <w:snapToGrid w:val="0"/>
          <w:color w:val="auto"/>
          <w:sz w:val="21"/>
          <w:szCs w:val="21"/>
          <w:u w:val="single"/>
        </w:rPr>
      </w:pPr>
      <w:r>
        <w:rPr>
          <w:rFonts w:hint="eastAsia" w:hAnsi="宋体" w:cs="宋体"/>
          <w:snapToGrid w:val="0"/>
          <w:sz w:val="21"/>
          <w:szCs w:val="21"/>
          <w:u w:val="single"/>
        </w:rPr>
        <w:t xml:space="preserve">  </w:t>
      </w:r>
      <w:r>
        <w:rPr>
          <w:rFonts w:hint="eastAsia" w:cs="宋体"/>
          <w:color w:val="0000FF"/>
          <w:sz w:val="21"/>
          <w:szCs w:val="21"/>
          <w:u w:val="single"/>
        </w:rPr>
        <w:t>所有材料必须达到国家质量合格标准，并具有产品合格证及检测报告等要求。</w:t>
      </w:r>
      <w:r>
        <w:rPr>
          <w:rFonts w:hint="eastAsia" w:hAnsi="宋体" w:cs="宋体"/>
          <w:snapToGrid w:val="0"/>
          <w:color w:val="auto"/>
          <w:sz w:val="21"/>
          <w:szCs w:val="21"/>
          <w:u w:val="single"/>
        </w:rPr>
        <w:t xml:space="preserve">                </w:t>
      </w:r>
    </w:p>
    <w:p>
      <w:pPr>
        <w:numPr>
          <w:ilvl w:val="0"/>
          <w:numId w:val="18"/>
        </w:numPr>
        <w:spacing w:after="0" w:line="240" w:lineRule="auto"/>
        <w:ind w:firstLine="0" w:firstLineChars="0"/>
        <w:jc w:val="left"/>
        <w:outlineLvl w:val="9"/>
        <w:rPr>
          <w:rFonts w:hint="eastAsia" w:ascii="宋体" w:hAnsi="宋体" w:cs="宋体"/>
          <w:b/>
          <w:bCs/>
          <w:color w:val="0000FF"/>
          <w:sz w:val="21"/>
          <w:szCs w:val="21"/>
          <w:u w:val="single"/>
          <w:shd w:val="clear" w:color="auto" w:fill="FFFFFF"/>
        </w:rPr>
      </w:pPr>
      <w:r>
        <w:rPr>
          <w:rFonts w:hint="eastAsia" w:cs="宋体"/>
          <w:b/>
          <w:bCs/>
          <w:color w:val="0000FF"/>
          <w:sz w:val="21"/>
          <w:szCs w:val="21"/>
          <w:u w:val="single"/>
          <w:shd w:val="clear" w:color="auto" w:fill="FFFFFF"/>
        </w:rPr>
        <w:t>电梯主要技术参数及配置要求：</w:t>
      </w:r>
    </w:p>
    <w:p>
      <w:pPr>
        <w:adjustRightInd/>
        <w:spacing w:line="360" w:lineRule="auto"/>
        <w:ind w:firstLine="420" w:firstLineChars="200"/>
        <w:jc w:val="left"/>
        <w:outlineLvl w:val="2"/>
        <w:rPr>
          <w:rFonts w:hint="eastAsia" w:ascii="宋体" w:hAnsi="宋体" w:cs="宋体"/>
          <w:color w:val="0000FF"/>
          <w:sz w:val="21"/>
          <w:szCs w:val="21"/>
          <w:u w:val="single"/>
          <w:shd w:val="clear" w:color="auto" w:fill="FFFFFF"/>
        </w:rPr>
      </w:pPr>
      <w:bookmarkStart w:id="1832" w:name="_Toc7437"/>
      <w:bookmarkStart w:id="1833" w:name="_Toc7227"/>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.1本次招标的电梯品牌按本招标文件的《主要材料设备参考品牌明细表》内的推荐品牌范围采购。</w:t>
      </w:r>
      <w:bookmarkEnd w:id="1832"/>
      <w:bookmarkEnd w:id="1833"/>
    </w:p>
    <w:p>
      <w:pPr>
        <w:adjustRightInd/>
        <w:spacing w:line="360" w:lineRule="auto"/>
        <w:ind w:firstLine="371" w:firstLineChars="177"/>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本工程除发包人供应的材料、设备外的凡属承包范围内的所有材料、设备均由中标人自行采购供应，且应满足：</w:t>
      </w:r>
    </w:p>
    <w:p>
      <w:pPr>
        <w:pStyle w:val="174"/>
        <w:numPr>
          <w:ilvl w:val="-1"/>
          <w:numId w:val="0"/>
        </w:numPr>
        <w:adjustRightInd/>
        <w:spacing w:line="360" w:lineRule="auto"/>
        <w:ind w:left="0" w:firstLine="210" w:firstLineChars="100"/>
        <w:jc w:val="left"/>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w:t>
      </w:r>
      <w:r>
        <w:rPr>
          <w:rFonts w:hint="eastAsia" w:ascii="宋体" w:hAnsi="宋体" w:eastAsia="宋体" w:cs="宋体"/>
          <w:color w:val="0000FF"/>
          <w:sz w:val="21"/>
          <w:szCs w:val="21"/>
          <w:u w:val="single"/>
          <w:shd w:val="clear" w:color="auto" w:fill="FFFFFF"/>
          <w:lang w:val="en-US" w:eastAsia="zh-CN"/>
        </w:rPr>
        <w:t>1）</w:t>
      </w:r>
      <w:r>
        <w:rPr>
          <w:rFonts w:hint="eastAsia" w:ascii="宋体" w:hAnsi="宋体" w:cs="宋体"/>
          <w:color w:val="0000FF"/>
          <w:sz w:val="21"/>
          <w:szCs w:val="21"/>
          <w:u w:val="single"/>
          <w:shd w:val="clear" w:color="auto" w:fill="FFFFFF"/>
        </w:rPr>
        <w:t>按投标书中有关中标人确定的产品采购须经发包人和监理工程师确认。</w:t>
      </w:r>
    </w:p>
    <w:p>
      <w:pPr>
        <w:pStyle w:val="174"/>
        <w:numPr>
          <w:ilvl w:val="-1"/>
          <w:numId w:val="0"/>
        </w:numPr>
        <w:adjustRightInd/>
        <w:spacing w:line="360" w:lineRule="auto"/>
        <w:ind w:left="0" w:firstLine="210" w:firstLineChars="100"/>
        <w:jc w:val="left"/>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w:t>
      </w:r>
      <w:r>
        <w:rPr>
          <w:rFonts w:hint="eastAsia" w:ascii="宋体" w:hAnsi="宋体" w:eastAsia="宋体" w:cs="宋体"/>
          <w:color w:val="0000FF"/>
          <w:sz w:val="21"/>
          <w:szCs w:val="21"/>
          <w:u w:val="single"/>
          <w:shd w:val="clear" w:color="auto" w:fill="FFFFFF"/>
          <w:lang w:val="en-US" w:eastAsia="zh-CN"/>
        </w:rPr>
        <w:t>2）</w:t>
      </w:r>
      <w:r>
        <w:rPr>
          <w:rFonts w:hint="eastAsia" w:ascii="宋体" w:hAnsi="宋体" w:cs="宋体"/>
          <w:color w:val="0000FF"/>
          <w:sz w:val="21"/>
          <w:szCs w:val="21"/>
          <w:u w:val="single"/>
          <w:shd w:val="clear" w:color="auto" w:fill="FFFFFF"/>
        </w:rPr>
        <w:t>符合设计及使用要求以及相关行业的标准和要求。</w:t>
      </w:r>
    </w:p>
    <w:p>
      <w:pPr>
        <w:pStyle w:val="174"/>
        <w:numPr>
          <w:ilvl w:val="-1"/>
          <w:numId w:val="0"/>
        </w:numPr>
        <w:adjustRightInd/>
        <w:spacing w:line="360" w:lineRule="auto"/>
        <w:ind w:left="0" w:firstLine="210" w:firstLineChars="100"/>
        <w:jc w:val="left"/>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w:t>
      </w:r>
      <w:r>
        <w:rPr>
          <w:rFonts w:hint="eastAsia" w:ascii="宋体" w:hAnsi="宋体" w:eastAsia="宋体" w:cs="宋体"/>
          <w:color w:val="0000FF"/>
          <w:sz w:val="21"/>
          <w:szCs w:val="21"/>
          <w:u w:val="single"/>
          <w:shd w:val="clear" w:color="auto" w:fill="FFFFFF"/>
          <w:lang w:val="en-US" w:eastAsia="zh-CN"/>
        </w:rPr>
        <w:t>3）</w:t>
      </w:r>
      <w:r>
        <w:rPr>
          <w:rFonts w:hint="eastAsia" w:ascii="宋体" w:hAnsi="宋体" w:cs="宋体"/>
          <w:color w:val="0000FF"/>
          <w:sz w:val="21"/>
          <w:szCs w:val="21"/>
          <w:u w:val="single"/>
          <w:shd w:val="clear" w:color="auto" w:fill="FFFFFF"/>
        </w:rPr>
        <w:t>具有相关的国家、省、市认可的产品合格证、质量保证书及产品说明等相关资料。</w:t>
      </w:r>
    </w:p>
    <w:p>
      <w:pPr>
        <w:pStyle w:val="174"/>
        <w:numPr>
          <w:ilvl w:val="-1"/>
          <w:numId w:val="0"/>
        </w:numPr>
        <w:adjustRightInd/>
        <w:spacing w:line="360" w:lineRule="auto"/>
        <w:ind w:left="0" w:firstLine="210" w:firstLineChars="100"/>
        <w:jc w:val="left"/>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w:t>
      </w:r>
      <w:r>
        <w:rPr>
          <w:rFonts w:hint="eastAsia" w:ascii="宋体" w:hAnsi="宋体" w:eastAsia="宋体" w:cs="宋体"/>
          <w:color w:val="0000FF"/>
          <w:sz w:val="21"/>
          <w:szCs w:val="21"/>
          <w:u w:val="single"/>
          <w:shd w:val="clear" w:color="auto" w:fill="FFFFFF"/>
          <w:lang w:val="en-US" w:eastAsia="zh-CN"/>
        </w:rPr>
        <w:t>4）</w:t>
      </w:r>
      <w:r>
        <w:rPr>
          <w:rFonts w:hint="eastAsia" w:ascii="宋体" w:hAnsi="宋体" w:cs="宋体"/>
          <w:color w:val="0000FF"/>
          <w:sz w:val="21"/>
          <w:szCs w:val="21"/>
          <w:u w:val="single"/>
          <w:shd w:val="clear" w:color="auto" w:fill="FFFFFF"/>
        </w:rPr>
        <w:t>材料设备进场后，应立即按国家及当地相关规范规定进行见证送检，检测的一切费用由中标人承担。材料设备检测不合格的，发包人有权要求全数退货或返工，由此产生所有费用均由中标人承担，中标人不得提出任何经济索赔或补偿要求。</w:t>
      </w:r>
    </w:p>
    <w:p>
      <w:pPr>
        <w:pStyle w:val="174"/>
        <w:numPr>
          <w:ilvl w:val="-1"/>
          <w:numId w:val="0"/>
        </w:numPr>
        <w:adjustRightInd/>
        <w:spacing w:line="360" w:lineRule="auto"/>
        <w:ind w:left="0" w:firstLine="210" w:firstLineChars="100"/>
        <w:jc w:val="left"/>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w:t>
      </w:r>
      <w:r>
        <w:rPr>
          <w:rFonts w:hint="eastAsia" w:ascii="宋体" w:hAnsi="宋体" w:eastAsia="宋体" w:cs="宋体"/>
          <w:color w:val="0000FF"/>
          <w:sz w:val="21"/>
          <w:szCs w:val="21"/>
          <w:u w:val="single"/>
          <w:shd w:val="clear" w:color="auto" w:fill="FFFFFF"/>
          <w:lang w:val="en-US" w:eastAsia="zh-CN"/>
        </w:rPr>
        <w:t>5）</w:t>
      </w:r>
      <w:r>
        <w:rPr>
          <w:rFonts w:hint="eastAsia" w:ascii="宋体" w:hAnsi="宋体" w:cs="宋体"/>
          <w:color w:val="0000FF"/>
          <w:sz w:val="21"/>
          <w:szCs w:val="21"/>
          <w:u w:val="single"/>
          <w:shd w:val="clear" w:color="auto" w:fill="FFFFFF"/>
        </w:rPr>
        <w:t>中标人应根据招标文件所附施工图的电梯技术规格设计参数，结合所设备品牌产品特点进行配置并充分了解施工图纸。中标人选用的产品满足主体施工图的机房、底坑尺寸、井道（含圈梁、过梁）和门洞尺寸等要求，因施工图问题导致电梯无法安装或需改造处理的，中标人应自行承担所有改造费用。</w:t>
      </w:r>
    </w:p>
    <w:p>
      <w:pPr>
        <w:adjustRightInd/>
        <w:spacing w:line="360" w:lineRule="auto"/>
        <w:ind w:firstLine="371" w:firstLineChars="177"/>
        <w:jc w:val="left"/>
        <w:outlineLvl w:val="2"/>
        <w:rPr>
          <w:rFonts w:hint="eastAsia" w:ascii="宋体" w:hAnsi="宋体" w:cs="宋体"/>
          <w:color w:val="0000FF"/>
          <w:sz w:val="21"/>
          <w:szCs w:val="21"/>
          <w:u w:val="single"/>
          <w:shd w:val="clear" w:color="auto" w:fill="FFFFFF"/>
        </w:rPr>
      </w:pPr>
      <w:bookmarkStart w:id="1834" w:name="_Toc12367"/>
      <w:bookmarkStart w:id="1835" w:name="_Toc12641"/>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.2项目需求描述</w:t>
      </w:r>
      <w:bookmarkEnd w:id="1834"/>
      <w:bookmarkEnd w:id="1835"/>
    </w:p>
    <w:p>
      <w:pPr>
        <w:adjustRightInd/>
        <w:spacing w:line="360" w:lineRule="auto"/>
        <w:ind w:firstLine="371" w:firstLineChars="177"/>
        <w:jc w:val="left"/>
        <w:outlineLvl w:val="3"/>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.2.1电梯应适用的工作环境和条件</w:t>
      </w:r>
    </w:p>
    <w:p>
      <w:pPr>
        <w:pStyle w:val="174"/>
        <w:numPr>
          <w:ilvl w:val="-1"/>
          <w:numId w:val="0"/>
        </w:numPr>
        <w:adjustRightInd/>
        <w:spacing w:line="360" w:lineRule="auto"/>
        <w:ind w:left="0" w:firstLine="210" w:firstLineChars="100"/>
        <w:jc w:val="left"/>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w:t>
      </w:r>
      <w:r>
        <w:rPr>
          <w:rFonts w:hint="eastAsia" w:ascii="宋体" w:hAnsi="宋体" w:eastAsia="宋体" w:cs="宋体"/>
          <w:color w:val="0000FF"/>
          <w:sz w:val="21"/>
          <w:szCs w:val="21"/>
          <w:u w:val="single"/>
          <w:shd w:val="clear" w:color="auto" w:fill="FFFFFF"/>
          <w:lang w:val="en-US" w:eastAsia="zh-CN"/>
        </w:rPr>
        <w:t>1）</w:t>
      </w:r>
      <w:r>
        <w:rPr>
          <w:rFonts w:hint="eastAsia" w:ascii="宋体" w:hAnsi="宋体" w:cs="宋体"/>
          <w:color w:val="0000FF"/>
          <w:sz w:val="21"/>
          <w:szCs w:val="21"/>
          <w:u w:val="single"/>
          <w:shd w:val="clear" w:color="auto" w:fill="FFFFFF"/>
        </w:rPr>
        <w:t>温度：-10℃—40℃；</w:t>
      </w:r>
    </w:p>
    <w:p>
      <w:pPr>
        <w:pStyle w:val="174"/>
        <w:numPr>
          <w:ilvl w:val="-1"/>
          <w:numId w:val="0"/>
        </w:numPr>
        <w:adjustRightInd/>
        <w:spacing w:line="360" w:lineRule="auto"/>
        <w:ind w:left="0" w:firstLine="210" w:firstLineChars="100"/>
        <w:jc w:val="left"/>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w:t>
      </w:r>
      <w:r>
        <w:rPr>
          <w:rFonts w:hint="eastAsia" w:ascii="宋体" w:hAnsi="宋体" w:eastAsia="宋体" w:cs="宋体"/>
          <w:color w:val="0000FF"/>
          <w:sz w:val="21"/>
          <w:szCs w:val="21"/>
          <w:u w:val="single"/>
          <w:shd w:val="clear" w:color="auto" w:fill="FFFFFF"/>
          <w:lang w:val="en-US" w:eastAsia="zh-CN"/>
        </w:rPr>
        <w:t>2）</w:t>
      </w:r>
      <w:r>
        <w:rPr>
          <w:rFonts w:hint="eastAsia" w:ascii="宋体" w:hAnsi="宋体" w:cs="宋体"/>
          <w:color w:val="0000FF"/>
          <w:sz w:val="21"/>
          <w:szCs w:val="21"/>
          <w:u w:val="single"/>
          <w:shd w:val="clear" w:color="auto" w:fill="FFFFFF"/>
        </w:rPr>
        <w:t>相对湿度：85%；</w:t>
      </w:r>
    </w:p>
    <w:p>
      <w:pPr>
        <w:pStyle w:val="174"/>
        <w:numPr>
          <w:ilvl w:val="-1"/>
          <w:numId w:val="0"/>
        </w:numPr>
        <w:adjustRightInd/>
        <w:spacing w:line="360" w:lineRule="auto"/>
        <w:ind w:left="0" w:firstLine="210" w:firstLineChars="100"/>
        <w:jc w:val="left"/>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w:t>
      </w:r>
      <w:r>
        <w:rPr>
          <w:rFonts w:hint="eastAsia" w:ascii="宋体" w:hAnsi="宋体" w:eastAsia="宋体" w:cs="宋体"/>
          <w:color w:val="0000FF"/>
          <w:sz w:val="21"/>
          <w:szCs w:val="21"/>
          <w:u w:val="single"/>
          <w:shd w:val="clear" w:color="auto" w:fill="FFFFFF"/>
          <w:lang w:val="en-US" w:eastAsia="zh-CN"/>
        </w:rPr>
        <w:t>3）</w:t>
      </w:r>
      <w:r>
        <w:rPr>
          <w:rFonts w:hint="eastAsia" w:ascii="宋体" w:hAnsi="宋体" w:cs="宋体"/>
          <w:color w:val="0000FF"/>
          <w:sz w:val="21"/>
          <w:szCs w:val="21"/>
          <w:u w:val="single"/>
          <w:shd w:val="clear" w:color="auto" w:fill="FFFFFF"/>
        </w:rPr>
        <w:t>抗地震：满足国家规范标准；</w:t>
      </w:r>
    </w:p>
    <w:p>
      <w:pPr>
        <w:pStyle w:val="174"/>
        <w:numPr>
          <w:ilvl w:val="-1"/>
          <w:numId w:val="0"/>
        </w:numPr>
        <w:adjustRightInd/>
        <w:spacing w:line="360" w:lineRule="auto"/>
        <w:ind w:left="0" w:firstLine="210" w:firstLineChars="100"/>
        <w:jc w:val="left"/>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w:t>
      </w:r>
      <w:r>
        <w:rPr>
          <w:rFonts w:hint="eastAsia" w:ascii="宋体" w:hAnsi="宋体" w:eastAsia="宋体" w:cs="宋体"/>
          <w:color w:val="0000FF"/>
          <w:sz w:val="21"/>
          <w:szCs w:val="21"/>
          <w:u w:val="single"/>
          <w:shd w:val="clear" w:color="auto" w:fill="FFFFFF"/>
          <w:lang w:val="en-US" w:eastAsia="zh-CN"/>
        </w:rPr>
        <w:t>4）</w:t>
      </w:r>
      <w:r>
        <w:rPr>
          <w:rFonts w:hint="eastAsia" w:ascii="宋体" w:hAnsi="宋体" w:cs="宋体"/>
          <w:color w:val="0000FF"/>
          <w:sz w:val="21"/>
          <w:szCs w:val="21"/>
          <w:u w:val="single"/>
          <w:shd w:val="clear" w:color="auto" w:fill="FFFFFF"/>
        </w:rPr>
        <w:t>消防要求：具备消防迫降及消防员使用功能，所有厅门防火等级设计标准至少为</w:t>
      </w:r>
      <w:r>
        <w:rPr>
          <w:rFonts w:hint="eastAsia" w:ascii="宋体" w:hAnsi="宋体" w:cs="宋体"/>
          <w:color w:val="FF0000"/>
          <w:sz w:val="21"/>
          <w:szCs w:val="21"/>
          <w:u w:val="single"/>
          <w:shd w:val="clear" w:color="auto" w:fill="FFFFFF"/>
        </w:rPr>
        <w:t>2</w:t>
      </w:r>
      <w:r>
        <w:rPr>
          <w:rFonts w:hint="eastAsia" w:ascii="宋体" w:hAnsi="宋体" w:cs="宋体"/>
          <w:color w:val="0000FF"/>
          <w:sz w:val="21"/>
          <w:szCs w:val="21"/>
          <w:u w:val="single"/>
          <w:shd w:val="clear" w:color="auto" w:fill="FFFFFF"/>
        </w:rPr>
        <w:t xml:space="preserve"> 小时；</w:t>
      </w:r>
    </w:p>
    <w:p>
      <w:pPr>
        <w:pStyle w:val="174"/>
        <w:numPr>
          <w:ilvl w:val="-1"/>
          <w:numId w:val="0"/>
        </w:numPr>
        <w:adjustRightInd/>
        <w:spacing w:line="360" w:lineRule="auto"/>
        <w:ind w:left="0" w:firstLine="210" w:firstLineChars="100"/>
        <w:jc w:val="left"/>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w:t>
      </w:r>
      <w:r>
        <w:rPr>
          <w:rFonts w:hint="eastAsia" w:ascii="宋体" w:hAnsi="宋体" w:eastAsia="宋体" w:cs="宋体"/>
          <w:color w:val="0000FF"/>
          <w:sz w:val="21"/>
          <w:szCs w:val="21"/>
          <w:u w:val="single"/>
          <w:shd w:val="clear" w:color="auto" w:fill="FFFFFF"/>
          <w:lang w:val="en-US" w:eastAsia="zh-CN"/>
        </w:rPr>
        <w:t>5）</w:t>
      </w:r>
      <w:r>
        <w:rPr>
          <w:rFonts w:hint="eastAsia" w:ascii="宋体" w:hAnsi="宋体" w:cs="宋体"/>
          <w:color w:val="0000FF"/>
          <w:sz w:val="21"/>
          <w:szCs w:val="21"/>
          <w:u w:val="single"/>
          <w:shd w:val="clear" w:color="auto" w:fill="FFFFFF"/>
        </w:rPr>
        <w:t>抗腐蚀：应考虑海岛气候和海滨的地理位置造成的腐蚀；</w:t>
      </w:r>
    </w:p>
    <w:p>
      <w:pPr>
        <w:pStyle w:val="174"/>
        <w:numPr>
          <w:ilvl w:val="-1"/>
          <w:numId w:val="0"/>
        </w:numPr>
        <w:adjustRightInd/>
        <w:spacing w:line="360" w:lineRule="auto"/>
        <w:ind w:left="0" w:firstLine="210" w:firstLineChars="100"/>
        <w:jc w:val="left"/>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w:t>
      </w:r>
      <w:r>
        <w:rPr>
          <w:rFonts w:hint="eastAsia" w:ascii="宋体" w:hAnsi="宋体" w:eastAsia="宋体" w:cs="宋体"/>
          <w:color w:val="0000FF"/>
          <w:sz w:val="21"/>
          <w:szCs w:val="21"/>
          <w:u w:val="single"/>
          <w:shd w:val="clear" w:color="auto" w:fill="FFFFFF"/>
          <w:lang w:val="en-US" w:eastAsia="zh-CN"/>
        </w:rPr>
        <w:t>6）</w:t>
      </w:r>
      <w:r>
        <w:rPr>
          <w:rFonts w:hint="eastAsia" w:ascii="宋体" w:hAnsi="宋体" w:cs="宋体"/>
          <w:color w:val="0000FF"/>
          <w:sz w:val="21"/>
          <w:szCs w:val="21"/>
          <w:u w:val="single"/>
          <w:shd w:val="clear" w:color="auto" w:fill="FFFFFF"/>
        </w:rPr>
        <w:t>电源：动力电源—AC 三相380V、50HZ，照明电源—AC 单相220V、50HZ，电压允许波动范围±7%。</w:t>
      </w:r>
    </w:p>
    <w:p>
      <w:pPr>
        <w:adjustRightInd/>
        <w:spacing w:line="360" w:lineRule="auto"/>
        <w:ind w:firstLine="371" w:firstLineChars="177"/>
        <w:jc w:val="left"/>
        <w:outlineLvl w:val="2"/>
        <w:rPr>
          <w:rFonts w:hint="eastAsia" w:ascii="宋体" w:hAnsi="宋体" w:cs="宋体"/>
          <w:color w:val="0000FF"/>
          <w:sz w:val="21"/>
          <w:szCs w:val="21"/>
          <w:u w:val="single"/>
          <w:shd w:val="clear" w:color="auto" w:fill="FFFFFF"/>
        </w:rPr>
      </w:pPr>
      <w:bookmarkStart w:id="1836" w:name="_Toc17148"/>
      <w:bookmarkStart w:id="1837" w:name="_Toc14939"/>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.3标准</w:t>
      </w:r>
      <w:bookmarkEnd w:id="1836"/>
      <w:bookmarkEnd w:id="1837"/>
    </w:p>
    <w:p>
      <w:pPr>
        <w:adjustRightInd/>
        <w:spacing w:line="360" w:lineRule="auto"/>
        <w:ind w:firstLine="371" w:firstLineChars="177"/>
        <w:jc w:val="left"/>
        <w:outlineLvl w:val="3"/>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.3.1国家标准</w:t>
      </w:r>
    </w:p>
    <w:p>
      <w:pPr>
        <w:adjustRightInd/>
        <w:spacing w:line="360" w:lineRule="auto"/>
        <w:ind w:firstLine="371" w:firstLineChars="177"/>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除本招标文件另有规定的技术要求外，本次招标的全部电梯的设计、安全设施、制造、测试、安装及验收应不低于中华人民共和国下述相关的国家标准：</w:t>
      </w:r>
    </w:p>
    <w:p>
      <w:pPr>
        <w:pStyle w:val="174"/>
        <w:numPr>
          <w:ilvl w:val="0"/>
          <w:numId w:val="22"/>
        </w:numPr>
        <w:adjustRightInd/>
        <w:spacing w:line="360" w:lineRule="auto"/>
        <w:ind w:left="993"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GB10060-1993《电梯安装验收规范》；</w:t>
      </w:r>
    </w:p>
    <w:p>
      <w:pPr>
        <w:pStyle w:val="174"/>
        <w:numPr>
          <w:ilvl w:val="0"/>
          <w:numId w:val="22"/>
        </w:numPr>
        <w:adjustRightInd/>
        <w:spacing w:line="360" w:lineRule="auto"/>
        <w:ind w:left="993"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GB50182-1993《电气装置安装工程电梯电气装置施工及验收规范》；</w:t>
      </w:r>
    </w:p>
    <w:p>
      <w:pPr>
        <w:pStyle w:val="174"/>
        <w:numPr>
          <w:ilvl w:val="0"/>
          <w:numId w:val="22"/>
        </w:numPr>
        <w:adjustRightInd/>
        <w:spacing w:line="360" w:lineRule="auto"/>
        <w:ind w:left="993"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GB/T10058-1997《电梯技术条件》；</w:t>
      </w:r>
    </w:p>
    <w:p>
      <w:pPr>
        <w:pStyle w:val="174"/>
        <w:numPr>
          <w:ilvl w:val="0"/>
          <w:numId w:val="22"/>
        </w:numPr>
        <w:adjustRightInd/>
        <w:spacing w:line="360" w:lineRule="auto"/>
        <w:ind w:left="993"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GB/T10059-1997《电梯试验方法》；</w:t>
      </w:r>
    </w:p>
    <w:p>
      <w:pPr>
        <w:pStyle w:val="174"/>
        <w:numPr>
          <w:ilvl w:val="0"/>
          <w:numId w:val="22"/>
        </w:numPr>
        <w:adjustRightInd/>
        <w:spacing w:line="360" w:lineRule="auto"/>
        <w:ind w:left="993"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GB50310-2002《电梯工程施工质量验收规范》；</w:t>
      </w:r>
    </w:p>
    <w:p>
      <w:pPr>
        <w:pStyle w:val="174"/>
        <w:numPr>
          <w:ilvl w:val="0"/>
          <w:numId w:val="22"/>
        </w:numPr>
        <w:adjustRightInd/>
        <w:spacing w:line="360" w:lineRule="auto"/>
        <w:ind w:left="993"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GB7588-2003《电梯制造与安装安全规范》；</w:t>
      </w:r>
    </w:p>
    <w:p>
      <w:pPr>
        <w:pStyle w:val="174"/>
        <w:numPr>
          <w:ilvl w:val="0"/>
          <w:numId w:val="22"/>
        </w:numPr>
        <w:adjustRightInd/>
        <w:spacing w:line="360" w:lineRule="auto"/>
        <w:ind w:left="993"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JGJ50-2001《城市道路和建筑物无障碍设计规范》；</w:t>
      </w:r>
    </w:p>
    <w:p>
      <w:pPr>
        <w:pStyle w:val="174"/>
        <w:numPr>
          <w:ilvl w:val="0"/>
          <w:numId w:val="22"/>
        </w:numPr>
        <w:adjustRightInd/>
        <w:spacing w:line="360" w:lineRule="auto"/>
        <w:ind w:left="993"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厦门建设与管理局和</w:t>
      </w:r>
      <w:r>
        <w:rPr>
          <w:rFonts w:hint="eastAsia" w:ascii="宋体" w:hAnsi="宋体" w:cs="宋体"/>
          <w:color w:val="0000FF"/>
          <w:sz w:val="21"/>
          <w:szCs w:val="21"/>
          <w:highlight w:val="none"/>
          <w:u w:val="single"/>
          <w:shd w:val="clear" w:color="auto" w:fill="FFFFFF"/>
        </w:rPr>
        <w:t>厦门市市场监督局</w:t>
      </w:r>
      <w:r>
        <w:rPr>
          <w:rFonts w:hint="eastAsia" w:ascii="宋体" w:hAnsi="宋体" w:cs="宋体"/>
          <w:color w:val="0000FF"/>
          <w:sz w:val="21"/>
          <w:szCs w:val="21"/>
          <w:u w:val="single"/>
          <w:shd w:val="clear" w:color="auto" w:fill="FFFFFF"/>
        </w:rPr>
        <w:t>等相关部门的电梯验收标准；</w:t>
      </w:r>
    </w:p>
    <w:p>
      <w:pPr>
        <w:pStyle w:val="174"/>
        <w:numPr>
          <w:ilvl w:val="0"/>
          <w:numId w:val="22"/>
        </w:numPr>
        <w:adjustRightInd/>
        <w:spacing w:line="360" w:lineRule="auto"/>
        <w:ind w:left="993"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《特种设备安全监察条例》。</w:t>
      </w:r>
    </w:p>
    <w:p>
      <w:pPr>
        <w:pStyle w:val="174"/>
        <w:numPr>
          <w:ilvl w:val="0"/>
          <w:numId w:val="22"/>
        </w:numPr>
        <w:adjustRightInd/>
        <w:spacing w:line="360" w:lineRule="auto"/>
        <w:ind w:left="993"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为满足GB7588-2003《电梯制造与安装安全规范》的最新要求，投标电梯应配置轿厢上行超速保护装置（GB7588 第9.10 条），及配置独立的双机电式制动器（GB7588 第12.4.2.1 条）。</w:t>
      </w:r>
    </w:p>
    <w:p>
      <w:pPr>
        <w:adjustRightInd/>
        <w:spacing w:line="360" w:lineRule="auto"/>
        <w:ind w:firstLine="371" w:firstLineChars="177"/>
        <w:jc w:val="left"/>
        <w:outlineLvl w:val="3"/>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.3.2安全设施要求</w:t>
      </w:r>
    </w:p>
    <w:p>
      <w:pPr>
        <w:pStyle w:val="174"/>
        <w:numPr>
          <w:ilvl w:val="1"/>
          <w:numId w:val="23"/>
        </w:numPr>
        <w:adjustRightInd/>
        <w:spacing w:line="360" w:lineRule="auto"/>
        <w:ind w:left="993"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限速器应符合GB/T10058-1997《电梯技术条件》3.6 条的要求；</w:t>
      </w:r>
    </w:p>
    <w:p>
      <w:pPr>
        <w:pStyle w:val="174"/>
        <w:numPr>
          <w:ilvl w:val="1"/>
          <w:numId w:val="23"/>
        </w:numPr>
        <w:adjustRightInd/>
        <w:spacing w:line="360" w:lineRule="auto"/>
        <w:ind w:left="993"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安全钳应符合GB/T10058-1997《电梯技术条件》3.7 条的要求；</w:t>
      </w:r>
    </w:p>
    <w:p>
      <w:pPr>
        <w:pStyle w:val="174"/>
        <w:numPr>
          <w:ilvl w:val="1"/>
          <w:numId w:val="23"/>
        </w:numPr>
        <w:adjustRightInd/>
        <w:spacing w:line="360" w:lineRule="auto"/>
        <w:ind w:left="993"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缓冲器应符合GB/T10058-1997《电梯技术条件》3.8 条的要求。</w:t>
      </w:r>
    </w:p>
    <w:p>
      <w:pPr>
        <w:adjustRightInd/>
        <w:spacing w:line="360" w:lineRule="auto"/>
        <w:ind w:firstLine="371" w:firstLineChars="177"/>
        <w:jc w:val="left"/>
        <w:outlineLvl w:val="3"/>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.3.3电气安全要求：</w:t>
      </w:r>
    </w:p>
    <w:p>
      <w:pPr>
        <w:adjustRightInd/>
        <w:spacing w:line="360" w:lineRule="auto"/>
        <w:ind w:firstLine="1001" w:firstLineChars="477"/>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电梯电气安全要求应符合GB/T10058-1997《电梯技术条件》3.3.9 条和3.14 条的有关条款规定。</w:t>
      </w:r>
    </w:p>
    <w:p>
      <w:pPr>
        <w:adjustRightInd/>
        <w:spacing w:line="360" w:lineRule="auto"/>
        <w:ind w:firstLine="371" w:firstLineChars="177"/>
        <w:jc w:val="left"/>
        <w:outlineLvl w:val="3"/>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.3.4电梯可靠性要求：</w:t>
      </w:r>
    </w:p>
    <w:p>
      <w:pPr>
        <w:adjustRightInd/>
        <w:spacing w:line="360" w:lineRule="auto"/>
        <w:ind w:firstLine="1001" w:firstLineChars="477"/>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可靠性必须达到GB/T10058-1997《电梯技术条件》第4 条的要求。</w:t>
      </w:r>
    </w:p>
    <w:p>
      <w:pPr>
        <w:adjustRightInd/>
        <w:spacing w:line="360" w:lineRule="auto"/>
        <w:ind w:firstLine="371" w:firstLineChars="177"/>
        <w:jc w:val="left"/>
        <w:outlineLvl w:val="3"/>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.3.5电梯其它要求：</w:t>
      </w:r>
    </w:p>
    <w:p>
      <w:pPr>
        <w:adjustRightInd/>
        <w:spacing w:line="360" w:lineRule="auto"/>
        <w:ind w:firstLine="1001" w:firstLineChars="477"/>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电梯其它要求按GB/T10058-1997《电梯技术条件》规定。</w:t>
      </w:r>
    </w:p>
    <w:p>
      <w:pPr>
        <w:adjustRightInd/>
        <w:spacing w:line="360" w:lineRule="auto"/>
        <w:ind w:firstLine="371" w:firstLineChars="177"/>
        <w:jc w:val="left"/>
        <w:outlineLvl w:val="3"/>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.3.6投标产品及相关配件须满足土建施工图的井道尺寸要求（详见图纸），并承担由此发生的一切费用。</w:t>
      </w:r>
    </w:p>
    <w:p>
      <w:pPr>
        <w:adjustRightInd/>
        <w:spacing w:line="360" w:lineRule="auto"/>
        <w:ind w:firstLine="371" w:firstLineChars="177"/>
        <w:jc w:val="left"/>
        <w:outlineLvl w:val="3"/>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.3.7噪声：</w:t>
      </w:r>
    </w:p>
    <w:p>
      <w:pPr>
        <w:adjustRightInd/>
        <w:spacing w:line="360" w:lineRule="auto"/>
        <w:ind w:firstLine="1001" w:firstLineChars="477"/>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运行中轿厢内噪声≤48DB（A）；开关门噪声≤50DB（A）；机房噪声≤70DB（A）。</w:t>
      </w:r>
    </w:p>
    <w:p>
      <w:pPr>
        <w:adjustRightInd/>
        <w:spacing w:line="360" w:lineRule="auto"/>
        <w:ind w:firstLine="371" w:firstLineChars="177"/>
        <w:jc w:val="left"/>
        <w:outlineLvl w:val="3"/>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.3.8故障率：</w:t>
      </w:r>
    </w:p>
    <w:p>
      <w:pPr>
        <w:adjustRightInd/>
        <w:spacing w:line="360" w:lineRule="auto"/>
        <w:ind w:left="1686" w:leftChars="496" w:firstLine="424" w:firstLineChars="202"/>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交付使用后，须满足每部电梯的年平均故障次数≤5 次，指非人为故障，常规易损件的定期更换不计入故障，该指标将在电梯交付使用后按年度进行考核，由发包人按单部电梯每增加1 次故障次数扣投标人质量保证金的1%（从第六次故障开始扣质量保证金），以现场故障维修单为考核依据。</w:t>
      </w:r>
    </w:p>
    <w:p>
      <w:pPr>
        <w:adjustRightInd/>
        <w:spacing w:line="360" w:lineRule="auto"/>
        <w:ind w:firstLine="371" w:firstLineChars="177"/>
        <w:jc w:val="left"/>
        <w:outlineLvl w:val="3"/>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.3.9电梯起制动及额定运行时应舒适、无抖动冲击感觉，运行曲线应平滑，运行效率高，起、制动平均加、减速度应能在0.7M/S2-1M/S2 之间可调，加速度变化率应≤2M/S2。</w:t>
      </w:r>
    </w:p>
    <w:p>
      <w:pPr>
        <w:adjustRightInd/>
        <w:spacing w:line="360" w:lineRule="auto"/>
        <w:ind w:firstLine="371" w:firstLineChars="177"/>
        <w:jc w:val="left"/>
        <w:outlineLvl w:val="3"/>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.3.10电梯厅轿门关闭连锁打开瞬间至电梯起动瞬间的间隔时间应&lt;0.3 秒。</w:t>
      </w:r>
    </w:p>
    <w:p>
      <w:pPr>
        <w:adjustRightInd/>
        <w:spacing w:line="360" w:lineRule="auto"/>
        <w:ind w:firstLine="371" w:firstLineChars="177"/>
        <w:jc w:val="left"/>
        <w:outlineLvl w:val="3"/>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.3.11电梯运行时垂直方向和水平方向的振动加速度分别≤10CM/S2。</w:t>
      </w:r>
    </w:p>
    <w:p>
      <w:pPr>
        <w:adjustRightInd/>
        <w:spacing w:line="360" w:lineRule="auto"/>
        <w:ind w:firstLine="371" w:firstLineChars="177"/>
        <w:jc w:val="left"/>
        <w:outlineLvl w:val="3"/>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.3.12在开关门噪声≤50DB（A）时，开、关门时间：基准开门时间≤2.5 秒（采用提前开门方式时，开门时间应≤1 秒、关门时间≤3 秒）。</w:t>
      </w:r>
    </w:p>
    <w:p>
      <w:pPr>
        <w:adjustRightInd/>
        <w:spacing w:after="240" w:line="360" w:lineRule="auto"/>
        <w:ind w:firstLine="371" w:firstLineChars="177"/>
        <w:jc w:val="left"/>
        <w:outlineLvl w:val="2"/>
        <w:rPr>
          <w:rFonts w:hint="eastAsia" w:ascii="宋体" w:hAnsi="宋体" w:cs="宋体"/>
          <w:color w:val="0000FF"/>
          <w:sz w:val="21"/>
          <w:szCs w:val="21"/>
          <w:u w:val="single"/>
          <w:shd w:val="clear" w:color="auto" w:fill="FFFFFF"/>
        </w:rPr>
      </w:pPr>
      <w:bookmarkStart w:id="1838" w:name="_Toc12394"/>
      <w:bookmarkStart w:id="1839" w:name="_Toc7160"/>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.4技术规格与功能要求</w:t>
      </w:r>
      <w:bookmarkEnd w:id="1838"/>
      <w:bookmarkEnd w:id="1839"/>
    </w:p>
    <w:p>
      <w:pPr>
        <w:adjustRightInd/>
        <w:spacing w:after="240" w:line="360" w:lineRule="auto"/>
        <w:ind w:firstLine="371" w:firstLineChars="177"/>
        <w:jc w:val="left"/>
        <w:rPr>
          <w:rFonts w:hint="eastAsia" w:ascii="宋体" w:hAnsi="宋体" w:cs="宋体"/>
          <w:color w:val="0000FF"/>
          <w:sz w:val="21"/>
          <w:szCs w:val="21"/>
          <w:u w:val="single"/>
          <w:shd w:val="clear" w:color="auto" w:fill="FFFFFF"/>
        </w:rPr>
        <w:sectPr>
          <w:footnotePr>
            <w:numFmt w:val="decimalEnclosedCircleChinese"/>
            <w:numRestart w:val="eachPage"/>
          </w:footnotePr>
          <w:pgSz w:w="11906" w:h="16838"/>
          <w:pgMar w:top="1440" w:right="992" w:bottom="1440" w:left="1134" w:header="0" w:footer="595" w:gutter="0"/>
          <w:pgNumType w:fmt="decimal"/>
          <w:cols w:space="425" w:num="1"/>
          <w:rtlGutter w:val="0"/>
          <w:docGrid w:linePitch="360" w:charSpace="0"/>
        </w:sectPr>
      </w:pPr>
    </w:p>
    <w:p>
      <w:pPr>
        <w:adjustRightInd/>
        <w:spacing w:after="240" w:line="360" w:lineRule="auto"/>
        <w:ind w:firstLine="371" w:firstLineChars="177"/>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电梯设计参数：</w:t>
      </w:r>
    </w:p>
    <w:tbl>
      <w:tblPr>
        <w:tblStyle w:val="60"/>
        <w:tblW w:w="151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60"/>
        <w:gridCol w:w="1070"/>
        <w:gridCol w:w="576"/>
        <w:gridCol w:w="426"/>
        <w:gridCol w:w="652"/>
        <w:gridCol w:w="566"/>
        <w:gridCol w:w="846"/>
        <w:gridCol w:w="426"/>
        <w:gridCol w:w="1379"/>
        <w:gridCol w:w="1266"/>
        <w:gridCol w:w="1266"/>
        <w:gridCol w:w="739"/>
        <w:gridCol w:w="636"/>
        <w:gridCol w:w="1161"/>
        <w:gridCol w:w="636"/>
        <w:gridCol w:w="778"/>
        <w:gridCol w:w="636"/>
        <w:gridCol w:w="957"/>
        <w:gridCol w:w="7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4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楼号</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种类</w:t>
            </w:r>
          </w:p>
        </w:tc>
        <w:tc>
          <w:tcPr>
            <w:tcW w:w="6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编号</w:t>
            </w:r>
          </w:p>
        </w:tc>
        <w:tc>
          <w:tcPr>
            <w:tcW w:w="3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数量</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载重量</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速度</w:t>
            </w:r>
          </w:p>
        </w:tc>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电梯通过的楼层层数（停站楼层）</w:t>
            </w:r>
          </w:p>
        </w:tc>
        <w:tc>
          <w:tcPr>
            <w:tcW w:w="3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停层层数</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井道尺寸净尺寸</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标准的开门尺寸</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门洞尺寸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冲顶高度（板下净高）</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底坑深度</w:t>
            </w:r>
          </w:p>
        </w:tc>
        <w:tc>
          <w:tcPr>
            <w:tcW w:w="16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轿厢尺寸</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机房高度</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提升高度</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开门方式</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控制方式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（用途）</w:t>
            </w: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3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部</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kg</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m/s</w:t>
            </w: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3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(宽X深)mm</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宽x高mm</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宽x高mm</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mm</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mm</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宽x深mm</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高mm</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mm</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80" w:type="dxa"/>
            <w:vMerge w:val="restart"/>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1#楼</w:t>
            </w:r>
          </w:p>
        </w:tc>
        <w:tc>
          <w:tcPr>
            <w:tcW w:w="1305"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客梯</w:t>
            </w:r>
          </w:p>
        </w:tc>
        <w:tc>
          <w:tcPr>
            <w:tcW w:w="600"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1-DT1</w:t>
            </w:r>
          </w:p>
        </w:tc>
        <w:tc>
          <w:tcPr>
            <w:tcW w:w="330"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585"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1.6 </w:t>
            </w:r>
          </w:p>
        </w:tc>
        <w:tc>
          <w:tcPr>
            <w:tcW w:w="750"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1~7F</w:t>
            </w:r>
          </w:p>
        </w:tc>
        <w:tc>
          <w:tcPr>
            <w:tcW w:w="375"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440"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2200×2400</w:t>
            </w:r>
          </w:p>
        </w:tc>
        <w:tc>
          <w:tcPr>
            <w:tcW w:w="1110"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900×2300</w:t>
            </w:r>
          </w:p>
        </w:tc>
        <w:tc>
          <w:tcPr>
            <w:tcW w:w="1110"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1100×2400</w:t>
            </w:r>
          </w:p>
        </w:tc>
        <w:tc>
          <w:tcPr>
            <w:tcW w:w="795"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5350</w:t>
            </w:r>
          </w:p>
        </w:tc>
        <w:tc>
          <w:tcPr>
            <w:tcW w:w="525"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1600</w:t>
            </w:r>
          </w:p>
        </w:tc>
        <w:tc>
          <w:tcPr>
            <w:tcW w:w="1020"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1600x1500</w:t>
            </w:r>
          </w:p>
        </w:tc>
        <w:tc>
          <w:tcPr>
            <w:tcW w:w="585"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2800</w:t>
            </w:r>
          </w:p>
        </w:tc>
        <w:tc>
          <w:tcPr>
            <w:tcW w:w="855"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≥2500</w:t>
            </w:r>
          </w:p>
        </w:tc>
        <w:tc>
          <w:tcPr>
            <w:tcW w:w="555"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33.7</w:t>
            </w:r>
          </w:p>
        </w:tc>
        <w:tc>
          <w:tcPr>
            <w:tcW w:w="1245"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双扇中分</w:t>
            </w:r>
          </w:p>
        </w:tc>
        <w:tc>
          <w:tcPr>
            <w:tcW w:w="855"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并联运行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DD88D"/>
            <w:vAlign w:val="center"/>
          </w:tcPr>
          <w:p>
            <w:pPr>
              <w:jc w:val="center"/>
              <w:rPr>
                <w:rFonts w:hint="eastAsia" w:ascii="宋体" w:hAnsi="宋体" w:eastAsia="宋体" w:cs="宋体"/>
                <w:i w:val="0"/>
                <w:iCs w:val="0"/>
                <w:color w:val="000000"/>
                <w:sz w:val="21"/>
                <w:szCs w:val="21"/>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客梯</w:t>
            </w:r>
          </w:p>
        </w:tc>
        <w:tc>
          <w:tcPr>
            <w:tcW w:w="600"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1-DT2</w:t>
            </w:r>
          </w:p>
        </w:tc>
        <w:tc>
          <w:tcPr>
            <w:tcW w:w="330"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585"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1.6 </w:t>
            </w:r>
          </w:p>
        </w:tc>
        <w:tc>
          <w:tcPr>
            <w:tcW w:w="750"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1~7F</w:t>
            </w:r>
          </w:p>
        </w:tc>
        <w:tc>
          <w:tcPr>
            <w:tcW w:w="375"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440"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2200×2400</w:t>
            </w:r>
          </w:p>
        </w:tc>
        <w:tc>
          <w:tcPr>
            <w:tcW w:w="1110"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900×2300</w:t>
            </w:r>
          </w:p>
        </w:tc>
        <w:tc>
          <w:tcPr>
            <w:tcW w:w="1110"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1100×2400</w:t>
            </w:r>
          </w:p>
        </w:tc>
        <w:tc>
          <w:tcPr>
            <w:tcW w:w="795"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5350</w:t>
            </w:r>
          </w:p>
        </w:tc>
        <w:tc>
          <w:tcPr>
            <w:tcW w:w="525"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1600</w:t>
            </w:r>
          </w:p>
        </w:tc>
        <w:tc>
          <w:tcPr>
            <w:tcW w:w="1020"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1600x1500</w:t>
            </w:r>
          </w:p>
        </w:tc>
        <w:tc>
          <w:tcPr>
            <w:tcW w:w="585"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2800</w:t>
            </w:r>
          </w:p>
        </w:tc>
        <w:tc>
          <w:tcPr>
            <w:tcW w:w="855"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≥2500</w:t>
            </w:r>
          </w:p>
        </w:tc>
        <w:tc>
          <w:tcPr>
            <w:tcW w:w="555"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33.7</w:t>
            </w:r>
          </w:p>
        </w:tc>
        <w:tc>
          <w:tcPr>
            <w:tcW w:w="1245"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双扇中分</w:t>
            </w:r>
          </w:p>
        </w:tc>
        <w:tc>
          <w:tcPr>
            <w:tcW w:w="855"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并联运行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DD88D"/>
            <w:vAlign w:val="center"/>
          </w:tcPr>
          <w:p>
            <w:pPr>
              <w:jc w:val="center"/>
              <w:rPr>
                <w:rFonts w:hint="eastAsia" w:ascii="宋体" w:hAnsi="宋体" w:eastAsia="宋体" w:cs="宋体"/>
                <w:i w:val="0"/>
                <w:iCs w:val="0"/>
                <w:color w:val="000000"/>
                <w:sz w:val="21"/>
                <w:szCs w:val="21"/>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客货梯、消防电梯</w:t>
            </w:r>
          </w:p>
        </w:tc>
        <w:tc>
          <w:tcPr>
            <w:tcW w:w="600"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1-DT3</w:t>
            </w:r>
          </w:p>
        </w:tc>
        <w:tc>
          <w:tcPr>
            <w:tcW w:w="330"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2000</w:t>
            </w:r>
          </w:p>
        </w:tc>
        <w:tc>
          <w:tcPr>
            <w:tcW w:w="585"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1.6 </w:t>
            </w:r>
          </w:p>
        </w:tc>
        <w:tc>
          <w:tcPr>
            <w:tcW w:w="750"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1~2F、MF、3~7F</w:t>
            </w:r>
          </w:p>
        </w:tc>
        <w:tc>
          <w:tcPr>
            <w:tcW w:w="375"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440"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2700×3300</w:t>
            </w:r>
          </w:p>
        </w:tc>
        <w:tc>
          <w:tcPr>
            <w:tcW w:w="1110"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1200×2400</w:t>
            </w:r>
          </w:p>
        </w:tc>
        <w:tc>
          <w:tcPr>
            <w:tcW w:w="1110"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1400×2500</w:t>
            </w:r>
          </w:p>
        </w:tc>
        <w:tc>
          <w:tcPr>
            <w:tcW w:w="795"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5100</w:t>
            </w:r>
          </w:p>
        </w:tc>
        <w:tc>
          <w:tcPr>
            <w:tcW w:w="525"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1600</w:t>
            </w:r>
          </w:p>
        </w:tc>
        <w:tc>
          <w:tcPr>
            <w:tcW w:w="1020"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1500x2700</w:t>
            </w:r>
          </w:p>
        </w:tc>
        <w:tc>
          <w:tcPr>
            <w:tcW w:w="585"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2600</w:t>
            </w:r>
          </w:p>
        </w:tc>
        <w:tc>
          <w:tcPr>
            <w:tcW w:w="855"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≥2500</w:t>
            </w:r>
          </w:p>
        </w:tc>
        <w:tc>
          <w:tcPr>
            <w:tcW w:w="555"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33.7</w:t>
            </w:r>
          </w:p>
        </w:tc>
        <w:tc>
          <w:tcPr>
            <w:tcW w:w="1245"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双扇中分双折</w:t>
            </w:r>
          </w:p>
        </w:tc>
        <w:tc>
          <w:tcPr>
            <w:tcW w:w="855"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DD88D"/>
            <w:vAlign w:val="center"/>
          </w:tcPr>
          <w:p>
            <w:pPr>
              <w:jc w:val="center"/>
              <w:rPr>
                <w:rFonts w:hint="eastAsia" w:ascii="宋体" w:hAnsi="宋体" w:eastAsia="宋体" w:cs="宋体"/>
                <w:i w:val="0"/>
                <w:iCs w:val="0"/>
                <w:color w:val="000000"/>
                <w:sz w:val="21"/>
                <w:szCs w:val="21"/>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货梯</w:t>
            </w:r>
          </w:p>
        </w:tc>
        <w:tc>
          <w:tcPr>
            <w:tcW w:w="600"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1-DT4</w:t>
            </w:r>
          </w:p>
        </w:tc>
        <w:tc>
          <w:tcPr>
            <w:tcW w:w="330"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585"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1.0 </w:t>
            </w:r>
          </w:p>
        </w:tc>
        <w:tc>
          <w:tcPr>
            <w:tcW w:w="750"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2~7F、屋面</w:t>
            </w:r>
          </w:p>
        </w:tc>
        <w:tc>
          <w:tcPr>
            <w:tcW w:w="375"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440"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4200×4100</w:t>
            </w:r>
          </w:p>
        </w:tc>
        <w:tc>
          <w:tcPr>
            <w:tcW w:w="1110"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2200×2400</w:t>
            </w:r>
          </w:p>
        </w:tc>
        <w:tc>
          <w:tcPr>
            <w:tcW w:w="1110"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2400×2500</w:t>
            </w:r>
          </w:p>
        </w:tc>
        <w:tc>
          <w:tcPr>
            <w:tcW w:w="795"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525"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1600</w:t>
            </w:r>
          </w:p>
        </w:tc>
        <w:tc>
          <w:tcPr>
            <w:tcW w:w="1020"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2500x3500</w:t>
            </w:r>
          </w:p>
        </w:tc>
        <w:tc>
          <w:tcPr>
            <w:tcW w:w="585"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2600</w:t>
            </w:r>
          </w:p>
        </w:tc>
        <w:tc>
          <w:tcPr>
            <w:tcW w:w="855"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≥2500</w:t>
            </w:r>
          </w:p>
        </w:tc>
        <w:tc>
          <w:tcPr>
            <w:tcW w:w="555"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35.5</w:t>
            </w:r>
          </w:p>
        </w:tc>
        <w:tc>
          <w:tcPr>
            <w:tcW w:w="1245"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双扇中分双折</w:t>
            </w:r>
          </w:p>
        </w:tc>
        <w:tc>
          <w:tcPr>
            <w:tcW w:w="855"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并联运行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DD88D"/>
            <w:vAlign w:val="center"/>
          </w:tcPr>
          <w:p>
            <w:pPr>
              <w:jc w:val="center"/>
              <w:rPr>
                <w:rFonts w:hint="eastAsia" w:ascii="宋体" w:hAnsi="宋体" w:eastAsia="宋体" w:cs="宋体"/>
                <w:i w:val="0"/>
                <w:iCs w:val="0"/>
                <w:color w:val="000000"/>
                <w:sz w:val="21"/>
                <w:szCs w:val="21"/>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货梯</w:t>
            </w:r>
          </w:p>
        </w:tc>
        <w:tc>
          <w:tcPr>
            <w:tcW w:w="600"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1-DT5</w:t>
            </w:r>
          </w:p>
        </w:tc>
        <w:tc>
          <w:tcPr>
            <w:tcW w:w="330"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3000</w:t>
            </w:r>
          </w:p>
        </w:tc>
        <w:tc>
          <w:tcPr>
            <w:tcW w:w="585"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1.0 </w:t>
            </w:r>
          </w:p>
        </w:tc>
        <w:tc>
          <w:tcPr>
            <w:tcW w:w="750"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2~7F</w:t>
            </w:r>
          </w:p>
        </w:tc>
        <w:tc>
          <w:tcPr>
            <w:tcW w:w="375"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440"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3200×4100</w:t>
            </w:r>
          </w:p>
        </w:tc>
        <w:tc>
          <w:tcPr>
            <w:tcW w:w="1110"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1700×2400</w:t>
            </w:r>
          </w:p>
        </w:tc>
        <w:tc>
          <w:tcPr>
            <w:tcW w:w="1110"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1900×2500</w:t>
            </w:r>
          </w:p>
        </w:tc>
        <w:tc>
          <w:tcPr>
            <w:tcW w:w="795"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5550</w:t>
            </w:r>
          </w:p>
        </w:tc>
        <w:tc>
          <w:tcPr>
            <w:tcW w:w="525"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1600</w:t>
            </w:r>
          </w:p>
        </w:tc>
        <w:tc>
          <w:tcPr>
            <w:tcW w:w="1020"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1800x3100</w:t>
            </w:r>
          </w:p>
        </w:tc>
        <w:tc>
          <w:tcPr>
            <w:tcW w:w="585"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2600</w:t>
            </w:r>
          </w:p>
        </w:tc>
        <w:tc>
          <w:tcPr>
            <w:tcW w:w="855"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≥2500</w:t>
            </w:r>
          </w:p>
        </w:tc>
        <w:tc>
          <w:tcPr>
            <w:tcW w:w="555"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30.3</w:t>
            </w:r>
          </w:p>
        </w:tc>
        <w:tc>
          <w:tcPr>
            <w:tcW w:w="1245"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双扇中分双折</w:t>
            </w:r>
          </w:p>
        </w:tc>
        <w:tc>
          <w:tcPr>
            <w:tcW w:w="855" w:type="dxa"/>
            <w:tcBorders>
              <w:top w:val="single" w:color="000000" w:sz="4" w:space="0"/>
              <w:left w:val="single" w:color="000000" w:sz="4" w:space="0"/>
              <w:bottom w:val="single" w:color="000000" w:sz="4" w:space="0"/>
              <w:right w:val="single" w:color="000000" w:sz="4" w:space="0"/>
            </w:tcBorders>
            <w:shd w:val="clear" w:color="auto" w:fill="ADD88D"/>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并联运行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80" w:type="dxa"/>
            <w:vMerge w:val="restart"/>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2#楼</w:t>
            </w:r>
          </w:p>
        </w:tc>
        <w:tc>
          <w:tcPr>
            <w:tcW w:w="1305"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客梯、消防电梯</w:t>
            </w:r>
          </w:p>
        </w:tc>
        <w:tc>
          <w:tcPr>
            <w:tcW w:w="600"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2-DT1</w:t>
            </w:r>
          </w:p>
        </w:tc>
        <w:tc>
          <w:tcPr>
            <w:tcW w:w="330"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585"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1.6 </w:t>
            </w:r>
          </w:p>
        </w:tc>
        <w:tc>
          <w:tcPr>
            <w:tcW w:w="750"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1~7F</w:t>
            </w:r>
          </w:p>
        </w:tc>
        <w:tc>
          <w:tcPr>
            <w:tcW w:w="375"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440"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2200×2400</w:t>
            </w:r>
          </w:p>
        </w:tc>
        <w:tc>
          <w:tcPr>
            <w:tcW w:w="1110"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900×2300</w:t>
            </w:r>
          </w:p>
        </w:tc>
        <w:tc>
          <w:tcPr>
            <w:tcW w:w="1110"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1100×2400</w:t>
            </w:r>
          </w:p>
        </w:tc>
        <w:tc>
          <w:tcPr>
            <w:tcW w:w="795"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5250</w:t>
            </w:r>
          </w:p>
        </w:tc>
        <w:tc>
          <w:tcPr>
            <w:tcW w:w="525"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1600</w:t>
            </w:r>
          </w:p>
        </w:tc>
        <w:tc>
          <w:tcPr>
            <w:tcW w:w="1020"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1600x1500</w:t>
            </w:r>
          </w:p>
        </w:tc>
        <w:tc>
          <w:tcPr>
            <w:tcW w:w="585"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2800</w:t>
            </w:r>
          </w:p>
        </w:tc>
        <w:tc>
          <w:tcPr>
            <w:tcW w:w="855"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≥2500</w:t>
            </w:r>
          </w:p>
        </w:tc>
        <w:tc>
          <w:tcPr>
            <w:tcW w:w="555"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34.2</w:t>
            </w:r>
          </w:p>
        </w:tc>
        <w:tc>
          <w:tcPr>
            <w:tcW w:w="1245"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双扇中分</w:t>
            </w:r>
          </w:p>
        </w:tc>
        <w:tc>
          <w:tcPr>
            <w:tcW w:w="855"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并联运行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80" w:type="dxa"/>
            <w:vMerge w:val="continue"/>
            <w:tcBorders>
              <w:top w:val="single" w:color="000000" w:sz="4" w:space="0"/>
              <w:left w:val="single" w:color="000000" w:sz="4" w:space="0"/>
              <w:bottom w:val="single" w:color="000000" w:sz="4" w:space="0"/>
              <w:right w:val="single" w:color="000000" w:sz="4" w:space="0"/>
            </w:tcBorders>
            <w:shd w:val="clear" w:color="auto" w:fill="B5C6EA"/>
            <w:vAlign w:val="center"/>
          </w:tcPr>
          <w:p>
            <w:pPr>
              <w:jc w:val="center"/>
              <w:rPr>
                <w:rFonts w:hint="eastAsia" w:ascii="宋体" w:hAnsi="宋体" w:eastAsia="宋体" w:cs="宋体"/>
                <w:i w:val="0"/>
                <w:iCs w:val="0"/>
                <w:color w:val="000000"/>
                <w:sz w:val="21"/>
                <w:szCs w:val="21"/>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客梯、消防电梯</w:t>
            </w:r>
          </w:p>
        </w:tc>
        <w:tc>
          <w:tcPr>
            <w:tcW w:w="600"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2-DT2</w:t>
            </w:r>
          </w:p>
        </w:tc>
        <w:tc>
          <w:tcPr>
            <w:tcW w:w="330"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585"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1.6 </w:t>
            </w:r>
          </w:p>
        </w:tc>
        <w:tc>
          <w:tcPr>
            <w:tcW w:w="750"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1~7F</w:t>
            </w:r>
          </w:p>
        </w:tc>
        <w:tc>
          <w:tcPr>
            <w:tcW w:w="375"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440"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2200×2400</w:t>
            </w:r>
          </w:p>
        </w:tc>
        <w:tc>
          <w:tcPr>
            <w:tcW w:w="1110"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900×2300</w:t>
            </w:r>
          </w:p>
        </w:tc>
        <w:tc>
          <w:tcPr>
            <w:tcW w:w="1110"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1100×2400</w:t>
            </w:r>
          </w:p>
        </w:tc>
        <w:tc>
          <w:tcPr>
            <w:tcW w:w="795"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5250</w:t>
            </w:r>
          </w:p>
        </w:tc>
        <w:tc>
          <w:tcPr>
            <w:tcW w:w="525"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1600</w:t>
            </w:r>
          </w:p>
        </w:tc>
        <w:tc>
          <w:tcPr>
            <w:tcW w:w="1020"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1600x1500</w:t>
            </w:r>
          </w:p>
        </w:tc>
        <w:tc>
          <w:tcPr>
            <w:tcW w:w="585"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2800</w:t>
            </w:r>
          </w:p>
        </w:tc>
        <w:tc>
          <w:tcPr>
            <w:tcW w:w="855"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≥2500</w:t>
            </w:r>
          </w:p>
        </w:tc>
        <w:tc>
          <w:tcPr>
            <w:tcW w:w="555"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34.2</w:t>
            </w:r>
          </w:p>
        </w:tc>
        <w:tc>
          <w:tcPr>
            <w:tcW w:w="1245"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双扇中分</w:t>
            </w:r>
          </w:p>
        </w:tc>
        <w:tc>
          <w:tcPr>
            <w:tcW w:w="855"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并联运行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80" w:type="dxa"/>
            <w:vMerge w:val="continue"/>
            <w:tcBorders>
              <w:top w:val="single" w:color="000000" w:sz="4" w:space="0"/>
              <w:left w:val="single" w:color="000000" w:sz="4" w:space="0"/>
              <w:bottom w:val="single" w:color="000000" w:sz="4" w:space="0"/>
              <w:right w:val="single" w:color="000000" w:sz="4" w:space="0"/>
            </w:tcBorders>
            <w:shd w:val="clear" w:color="auto" w:fill="B5C6EA"/>
            <w:vAlign w:val="center"/>
          </w:tcPr>
          <w:p>
            <w:pPr>
              <w:jc w:val="center"/>
              <w:rPr>
                <w:rFonts w:hint="eastAsia" w:ascii="宋体" w:hAnsi="宋体" w:eastAsia="宋体" w:cs="宋体"/>
                <w:i w:val="0"/>
                <w:iCs w:val="0"/>
                <w:color w:val="000000"/>
                <w:sz w:val="21"/>
                <w:szCs w:val="21"/>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货梯</w:t>
            </w:r>
          </w:p>
        </w:tc>
        <w:tc>
          <w:tcPr>
            <w:tcW w:w="600"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2-DT3</w:t>
            </w:r>
          </w:p>
        </w:tc>
        <w:tc>
          <w:tcPr>
            <w:tcW w:w="330"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3000</w:t>
            </w:r>
          </w:p>
        </w:tc>
        <w:tc>
          <w:tcPr>
            <w:tcW w:w="585"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1.0 </w:t>
            </w:r>
          </w:p>
        </w:tc>
        <w:tc>
          <w:tcPr>
            <w:tcW w:w="750"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1~7F</w:t>
            </w:r>
          </w:p>
        </w:tc>
        <w:tc>
          <w:tcPr>
            <w:tcW w:w="375"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440"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3600×3000</w:t>
            </w:r>
          </w:p>
        </w:tc>
        <w:tc>
          <w:tcPr>
            <w:tcW w:w="1110"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1700×2400</w:t>
            </w:r>
          </w:p>
        </w:tc>
        <w:tc>
          <w:tcPr>
            <w:tcW w:w="1110"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1900×2500</w:t>
            </w:r>
          </w:p>
        </w:tc>
        <w:tc>
          <w:tcPr>
            <w:tcW w:w="795"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5100</w:t>
            </w:r>
          </w:p>
        </w:tc>
        <w:tc>
          <w:tcPr>
            <w:tcW w:w="525"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1600</w:t>
            </w:r>
          </w:p>
        </w:tc>
        <w:tc>
          <w:tcPr>
            <w:tcW w:w="1020"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1800x3100</w:t>
            </w:r>
          </w:p>
        </w:tc>
        <w:tc>
          <w:tcPr>
            <w:tcW w:w="585"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2600</w:t>
            </w:r>
          </w:p>
        </w:tc>
        <w:tc>
          <w:tcPr>
            <w:tcW w:w="855"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≥2500</w:t>
            </w:r>
          </w:p>
        </w:tc>
        <w:tc>
          <w:tcPr>
            <w:tcW w:w="555"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34.2</w:t>
            </w:r>
          </w:p>
        </w:tc>
        <w:tc>
          <w:tcPr>
            <w:tcW w:w="1245"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双扇中分双折</w:t>
            </w:r>
          </w:p>
        </w:tc>
        <w:tc>
          <w:tcPr>
            <w:tcW w:w="855"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并联运行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80" w:type="dxa"/>
            <w:vMerge w:val="continue"/>
            <w:tcBorders>
              <w:top w:val="single" w:color="000000" w:sz="4" w:space="0"/>
              <w:left w:val="single" w:color="000000" w:sz="4" w:space="0"/>
              <w:bottom w:val="single" w:color="000000" w:sz="4" w:space="0"/>
              <w:right w:val="single" w:color="000000" w:sz="4" w:space="0"/>
            </w:tcBorders>
            <w:shd w:val="clear" w:color="auto" w:fill="B5C6EA"/>
            <w:vAlign w:val="center"/>
          </w:tcPr>
          <w:p>
            <w:pPr>
              <w:jc w:val="center"/>
              <w:rPr>
                <w:rFonts w:hint="eastAsia" w:ascii="宋体" w:hAnsi="宋体" w:eastAsia="宋体" w:cs="宋体"/>
                <w:i w:val="0"/>
                <w:iCs w:val="0"/>
                <w:color w:val="000000"/>
                <w:sz w:val="21"/>
                <w:szCs w:val="21"/>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货梯</w:t>
            </w:r>
          </w:p>
        </w:tc>
        <w:tc>
          <w:tcPr>
            <w:tcW w:w="600"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2-DT4</w:t>
            </w:r>
          </w:p>
        </w:tc>
        <w:tc>
          <w:tcPr>
            <w:tcW w:w="330"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3000</w:t>
            </w:r>
          </w:p>
        </w:tc>
        <w:tc>
          <w:tcPr>
            <w:tcW w:w="585"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1.0 </w:t>
            </w:r>
          </w:p>
        </w:tc>
        <w:tc>
          <w:tcPr>
            <w:tcW w:w="750"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1~7F</w:t>
            </w:r>
          </w:p>
        </w:tc>
        <w:tc>
          <w:tcPr>
            <w:tcW w:w="375"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440"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3600×3000</w:t>
            </w:r>
          </w:p>
        </w:tc>
        <w:tc>
          <w:tcPr>
            <w:tcW w:w="1110"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1700×2400</w:t>
            </w:r>
          </w:p>
        </w:tc>
        <w:tc>
          <w:tcPr>
            <w:tcW w:w="1110"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1900×2500</w:t>
            </w:r>
          </w:p>
        </w:tc>
        <w:tc>
          <w:tcPr>
            <w:tcW w:w="795"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5100</w:t>
            </w:r>
          </w:p>
        </w:tc>
        <w:tc>
          <w:tcPr>
            <w:tcW w:w="525"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1600</w:t>
            </w:r>
          </w:p>
        </w:tc>
        <w:tc>
          <w:tcPr>
            <w:tcW w:w="1020"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1800x3100</w:t>
            </w:r>
          </w:p>
        </w:tc>
        <w:tc>
          <w:tcPr>
            <w:tcW w:w="585"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2600</w:t>
            </w:r>
          </w:p>
        </w:tc>
        <w:tc>
          <w:tcPr>
            <w:tcW w:w="855"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≥2500</w:t>
            </w:r>
          </w:p>
        </w:tc>
        <w:tc>
          <w:tcPr>
            <w:tcW w:w="555"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34.2</w:t>
            </w:r>
          </w:p>
        </w:tc>
        <w:tc>
          <w:tcPr>
            <w:tcW w:w="1245"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双扇中分双折</w:t>
            </w:r>
          </w:p>
        </w:tc>
        <w:tc>
          <w:tcPr>
            <w:tcW w:w="855" w:type="dxa"/>
            <w:tcBorders>
              <w:top w:val="single" w:color="000000" w:sz="4" w:space="0"/>
              <w:left w:val="single" w:color="000000" w:sz="4" w:space="0"/>
              <w:bottom w:val="single" w:color="000000" w:sz="4" w:space="0"/>
              <w:right w:val="single" w:color="000000" w:sz="4" w:space="0"/>
            </w:tcBorders>
            <w:shd w:val="clear" w:color="auto" w:fill="B5C6E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并联运行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80" w:type="dxa"/>
            <w:vMerge w:val="restart"/>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3#楼</w:t>
            </w:r>
          </w:p>
        </w:tc>
        <w:tc>
          <w:tcPr>
            <w:tcW w:w="1305"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客梯、无障碍电梯</w:t>
            </w:r>
          </w:p>
        </w:tc>
        <w:tc>
          <w:tcPr>
            <w:tcW w:w="600"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3-DT1</w:t>
            </w:r>
          </w:p>
        </w:tc>
        <w:tc>
          <w:tcPr>
            <w:tcW w:w="330"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585"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1.6 </w:t>
            </w:r>
          </w:p>
        </w:tc>
        <w:tc>
          <w:tcPr>
            <w:tcW w:w="750"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B1~8F</w:t>
            </w:r>
          </w:p>
        </w:tc>
        <w:tc>
          <w:tcPr>
            <w:tcW w:w="375"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1440"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2200×2400</w:t>
            </w:r>
          </w:p>
        </w:tc>
        <w:tc>
          <w:tcPr>
            <w:tcW w:w="1110"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900×2300</w:t>
            </w:r>
          </w:p>
        </w:tc>
        <w:tc>
          <w:tcPr>
            <w:tcW w:w="1110"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1100×2400</w:t>
            </w:r>
          </w:p>
        </w:tc>
        <w:tc>
          <w:tcPr>
            <w:tcW w:w="795"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6290</w:t>
            </w:r>
          </w:p>
        </w:tc>
        <w:tc>
          <w:tcPr>
            <w:tcW w:w="525"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1600</w:t>
            </w:r>
          </w:p>
        </w:tc>
        <w:tc>
          <w:tcPr>
            <w:tcW w:w="1020"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1600x1500</w:t>
            </w:r>
          </w:p>
        </w:tc>
        <w:tc>
          <w:tcPr>
            <w:tcW w:w="585"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2800</w:t>
            </w:r>
          </w:p>
        </w:tc>
        <w:tc>
          <w:tcPr>
            <w:tcW w:w="855"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≥2500</w:t>
            </w:r>
          </w:p>
        </w:tc>
        <w:tc>
          <w:tcPr>
            <w:tcW w:w="555"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36.8</w:t>
            </w:r>
          </w:p>
        </w:tc>
        <w:tc>
          <w:tcPr>
            <w:tcW w:w="1245"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双扇中分</w:t>
            </w:r>
          </w:p>
        </w:tc>
        <w:tc>
          <w:tcPr>
            <w:tcW w:w="855"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并联运行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80" w:type="dxa"/>
            <w:vMerge w:val="continue"/>
            <w:tcBorders>
              <w:top w:val="single" w:color="000000" w:sz="4" w:space="0"/>
              <w:left w:val="single" w:color="000000" w:sz="4" w:space="0"/>
              <w:bottom w:val="single" w:color="000000" w:sz="4" w:space="0"/>
              <w:right w:val="single" w:color="000000" w:sz="4" w:space="0"/>
            </w:tcBorders>
            <w:shd w:val="clear" w:color="auto" w:fill="F9CBAA"/>
            <w:vAlign w:val="center"/>
          </w:tcPr>
          <w:p>
            <w:pPr>
              <w:jc w:val="center"/>
              <w:rPr>
                <w:rFonts w:hint="eastAsia" w:ascii="宋体" w:hAnsi="宋体" w:eastAsia="宋体" w:cs="宋体"/>
                <w:i w:val="0"/>
                <w:iCs w:val="0"/>
                <w:color w:val="000000"/>
                <w:sz w:val="21"/>
                <w:szCs w:val="21"/>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货梯</w:t>
            </w:r>
          </w:p>
        </w:tc>
        <w:tc>
          <w:tcPr>
            <w:tcW w:w="600"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3-DT2</w:t>
            </w:r>
          </w:p>
        </w:tc>
        <w:tc>
          <w:tcPr>
            <w:tcW w:w="330"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585"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1.6 </w:t>
            </w:r>
          </w:p>
        </w:tc>
        <w:tc>
          <w:tcPr>
            <w:tcW w:w="750"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B1~8F</w:t>
            </w:r>
          </w:p>
        </w:tc>
        <w:tc>
          <w:tcPr>
            <w:tcW w:w="375"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1440"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2200×2400</w:t>
            </w:r>
          </w:p>
        </w:tc>
        <w:tc>
          <w:tcPr>
            <w:tcW w:w="1110"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900×2300</w:t>
            </w:r>
          </w:p>
        </w:tc>
        <w:tc>
          <w:tcPr>
            <w:tcW w:w="1110"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1100×2400</w:t>
            </w:r>
          </w:p>
        </w:tc>
        <w:tc>
          <w:tcPr>
            <w:tcW w:w="795"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6290</w:t>
            </w:r>
          </w:p>
        </w:tc>
        <w:tc>
          <w:tcPr>
            <w:tcW w:w="525"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1600</w:t>
            </w:r>
          </w:p>
        </w:tc>
        <w:tc>
          <w:tcPr>
            <w:tcW w:w="1020"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1600x1500</w:t>
            </w:r>
          </w:p>
        </w:tc>
        <w:tc>
          <w:tcPr>
            <w:tcW w:w="585"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2800</w:t>
            </w:r>
          </w:p>
        </w:tc>
        <w:tc>
          <w:tcPr>
            <w:tcW w:w="855"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≥2500</w:t>
            </w:r>
          </w:p>
        </w:tc>
        <w:tc>
          <w:tcPr>
            <w:tcW w:w="555"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36.8</w:t>
            </w:r>
          </w:p>
        </w:tc>
        <w:tc>
          <w:tcPr>
            <w:tcW w:w="1245"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双扇中分</w:t>
            </w:r>
          </w:p>
        </w:tc>
        <w:tc>
          <w:tcPr>
            <w:tcW w:w="855"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并联运行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80" w:type="dxa"/>
            <w:vMerge w:val="continue"/>
            <w:tcBorders>
              <w:top w:val="single" w:color="000000" w:sz="4" w:space="0"/>
              <w:left w:val="single" w:color="000000" w:sz="4" w:space="0"/>
              <w:bottom w:val="single" w:color="000000" w:sz="4" w:space="0"/>
              <w:right w:val="single" w:color="000000" w:sz="4" w:space="0"/>
            </w:tcBorders>
            <w:shd w:val="clear" w:color="auto" w:fill="F9CBAA"/>
            <w:vAlign w:val="center"/>
          </w:tcPr>
          <w:p>
            <w:pPr>
              <w:jc w:val="center"/>
              <w:rPr>
                <w:rFonts w:hint="eastAsia" w:ascii="宋体" w:hAnsi="宋体" w:eastAsia="宋体" w:cs="宋体"/>
                <w:i w:val="0"/>
                <w:iCs w:val="0"/>
                <w:color w:val="000000"/>
                <w:sz w:val="21"/>
                <w:szCs w:val="21"/>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货梯</w:t>
            </w:r>
          </w:p>
        </w:tc>
        <w:tc>
          <w:tcPr>
            <w:tcW w:w="600"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3-DT3</w:t>
            </w:r>
          </w:p>
        </w:tc>
        <w:tc>
          <w:tcPr>
            <w:tcW w:w="330"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585"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1.6 </w:t>
            </w:r>
          </w:p>
        </w:tc>
        <w:tc>
          <w:tcPr>
            <w:tcW w:w="750"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B1~8F</w:t>
            </w:r>
          </w:p>
        </w:tc>
        <w:tc>
          <w:tcPr>
            <w:tcW w:w="375"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1440"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2200×2400</w:t>
            </w:r>
          </w:p>
        </w:tc>
        <w:tc>
          <w:tcPr>
            <w:tcW w:w="1110"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900×2300</w:t>
            </w:r>
          </w:p>
        </w:tc>
        <w:tc>
          <w:tcPr>
            <w:tcW w:w="1110"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1100×2400</w:t>
            </w:r>
          </w:p>
        </w:tc>
        <w:tc>
          <w:tcPr>
            <w:tcW w:w="795"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6290</w:t>
            </w:r>
          </w:p>
        </w:tc>
        <w:tc>
          <w:tcPr>
            <w:tcW w:w="525"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1600</w:t>
            </w:r>
          </w:p>
        </w:tc>
        <w:tc>
          <w:tcPr>
            <w:tcW w:w="1020"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1600x1500</w:t>
            </w:r>
          </w:p>
        </w:tc>
        <w:tc>
          <w:tcPr>
            <w:tcW w:w="585"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2800</w:t>
            </w:r>
          </w:p>
        </w:tc>
        <w:tc>
          <w:tcPr>
            <w:tcW w:w="855"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≥2500</w:t>
            </w:r>
          </w:p>
        </w:tc>
        <w:tc>
          <w:tcPr>
            <w:tcW w:w="555"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36.8</w:t>
            </w:r>
          </w:p>
        </w:tc>
        <w:tc>
          <w:tcPr>
            <w:tcW w:w="1245"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双扇中分</w:t>
            </w:r>
          </w:p>
        </w:tc>
        <w:tc>
          <w:tcPr>
            <w:tcW w:w="855"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并联运行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80" w:type="dxa"/>
            <w:vMerge w:val="continue"/>
            <w:tcBorders>
              <w:top w:val="single" w:color="000000" w:sz="4" w:space="0"/>
              <w:left w:val="single" w:color="000000" w:sz="4" w:space="0"/>
              <w:bottom w:val="single" w:color="000000" w:sz="4" w:space="0"/>
              <w:right w:val="single" w:color="000000" w:sz="4" w:space="0"/>
            </w:tcBorders>
            <w:shd w:val="clear" w:color="auto" w:fill="F9CBAA"/>
            <w:vAlign w:val="center"/>
          </w:tcPr>
          <w:p>
            <w:pPr>
              <w:jc w:val="center"/>
              <w:rPr>
                <w:rFonts w:hint="eastAsia" w:ascii="宋体" w:hAnsi="宋体" w:eastAsia="宋体" w:cs="宋体"/>
                <w:i w:val="0"/>
                <w:iCs w:val="0"/>
                <w:color w:val="000000"/>
                <w:sz w:val="21"/>
                <w:szCs w:val="21"/>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货梯、消防电梯</w:t>
            </w:r>
          </w:p>
        </w:tc>
        <w:tc>
          <w:tcPr>
            <w:tcW w:w="600"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3-DT4</w:t>
            </w:r>
          </w:p>
        </w:tc>
        <w:tc>
          <w:tcPr>
            <w:tcW w:w="330"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1600</w:t>
            </w:r>
          </w:p>
        </w:tc>
        <w:tc>
          <w:tcPr>
            <w:tcW w:w="585"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1.6 </w:t>
            </w:r>
          </w:p>
        </w:tc>
        <w:tc>
          <w:tcPr>
            <w:tcW w:w="750"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B1~8F</w:t>
            </w:r>
          </w:p>
        </w:tc>
        <w:tc>
          <w:tcPr>
            <w:tcW w:w="375"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1440"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2500x2850</w:t>
            </w:r>
          </w:p>
        </w:tc>
        <w:tc>
          <w:tcPr>
            <w:tcW w:w="1110"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1200×2400</w:t>
            </w:r>
          </w:p>
        </w:tc>
        <w:tc>
          <w:tcPr>
            <w:tcW w:w="1110"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1400×2500</w:t>
            </w:r>
          </w:p>
        </w:tc>
        <w:tc>
          <w:tcPr>
            <w:tcW w:w="795"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6290</w:t>
            </w:r>
          </w:p>
        </w:tc>
        <w:tc>
          <w:tcPr>
            <w:tcW w:w="525"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1400</w:t>
            </w:r>
          </w:p>
        </w:tc>
        <w:tc>
          <w:tcPr>
            <w:tcW w:w="1020"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1400x2400</w:t>
            </w:r>
          </w:p>
        </w:tc>
        <w:tc>
          <w:tcPr>
            <w:tcW w:w="585"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2800</w:t>
            </w:r>
          </w:p>
        </w:tc>
        <w:tc>
          <w:tcPr>
            <w:tcW w:w="855"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≥2500</w:t>
            </w:r>
          </w:p>
        </w:tc>
        <w:tc>
          <w:tcPr>
            <w:tcW w:w="555"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36.8</w:t>
            </w:r>
          </w:p>
        </w:tc>
        <w:tc>
          <w:tcPr>
            <w:tcW w:w="1245"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双扇中分双折</w:t>
            </w:r>
          </w:p>
        </w:tc>
        <w:tc>
          <w:tcPr>
            <w:tcW w:w="855" w:type="dxa"/>
            <w:tcBorders>
              <w:top w:val="single" w:color="000000" w:sz="4" w:space="0"/>
              <w:left w:val="single" w:color="000000" w:sz="4" w:space="0"/>
              <w:bottom w:val="single" w:color="000000" w:sz="4" w:space="0"/>
              <w:right w:val="single" w:color="000000" w:sz="4" w:space="0"/>
            </w:tcBorders>
            <w:shd w:val="clear" w:color="auto" w:fill="F9CBAA"/>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80" w:type="dxa"/>
            <w:vMerge w:val="restart"/>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4#楼</w:t>
            </w:r>
          </w:p>
        </w:tc>
        <w:tc>
          <w:tcPr>
            <w:tcW w:w="1305" w:type="dxa"/>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客梯、无障碍电梯、消防电梯</w:t>
            </w:r>
          </w:p>
        </w:tc>
        <w:tc>
          <w:tcPr>
            <w:tcW w:w="600" w:type="dxa"/>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4-DT1</w:t>
            </w:r>
          </w:p>
        </w:tc>
        <w:tc>
          <w:tcPr>
            <w:tcW w:w="330" w:type="dxa"/>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585" w:type="dxa"/>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1.6 </w:t>
            </w:r>
          </w:p>
        </w:tc>
        <w:tc>
          <w:tcPr>
            <w:tcW w:w="750" w:type="dxa"/>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1~11F</w:t>
            </w:r>
          </w:p>
        </w:tc>
        <w:tc>
          <w:tcPr>
            <w:tcW w:w="375" w:type="dxa"/>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1440" w:type="dxa"/>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2150x2300</w:t>
            </w:r>
          </w:p>
        </w:tc>
        <w:tc>
          <w:tcPr>
            <w:tcW w:w="1110" w:type="dxa"/>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900×2300</w:t>
            </w:r>
          </w:p>
        </w:tc>
        <w:tc>
          <w:tcPr>
            <w:tcW w:w="1110" w:type="dxa"/>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1100×2400</w:t>
            </w:r>
          </w:p>
        </w:tc>
        <w:tc>
          <w:tcPr>
            <w:tcW w:w="795" w:type="dxa"/>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4300</w:t>
            </w:r>
          </w:p>
        </w:tc>
        <w:tc>
          <w:tcPr>
            <w:tcW w:w="525" w:type="dxa"/>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1600</w:t>
            </w:r>
          </w:p>
        </w:tc>
        <w:tc>
          <w:tcPr>
            <w:tcW w:w="1020" w:type="dxa"/>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1600x1500</w:t>
            </w:r>
          </w:p>
        </w:tc>
        <w:tc>
          <w:tcPr>
            <w:tcW w:w="585" w:type="dxa"/>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2800</w:t>
            </w:r>
          </w:p>
        </w:tc>
        <w:tc>
          <w:tcPr>
            <w:tcW w:w="855" w:type="dxa"/>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≥2500</w:t>
            </w:r>
          </w:p>
        </w:tc>
        <w:tc>
          <w:tcPr>
            <w:tcW w:w="555" w:type="dxa"/>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33.5</w:t>
            </w:r>
          </w:p>
        </w:tc>
        <w:tc>
          <w:tcPr>
            <w:tcW w:w="1245" w:type="dxa"/>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双扇中分</w:t>
            </w:r>
          </w:p>
        </w:tc>
        <w:tc>
          <w:tcPr>
            <w:tcW w:w="855" w:type="dxa"/>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并联运行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80" w:type="dxa"/>
            <w:vMerge w:val="continue"/>
            <w:tcBorders>
              <w:top w:val="single" w:color="000000" w:sz="4" w:space="0"/>
              <w:left w:val="single" w:color="000000" w:sz="4" w:space="0"/>
              <w:bottom w:val="single" w:color="000000" w:sz="4" w:space="0"/>
              <w:right w:val="single" w:color="000000" w:sz="4" w:space="0"/>
            </w:tcBorders>
            <w:shd w:val="clear" w:color="auto" w:fill="C9E4B4"/>
            <w:vAlign w:val="center"/>
          </w:tcPr>
          <w:p>
            <w:pPr>
              <w:jc w:val="center"/>
              <w:rPr>
                <w:rFonts w:hint="eastAsia" w:ascii="宋体" w:hAnsi="宋体" w:eastAsia="宋体" w:cs="宋体"/>
                <w:i w:val="0"/>
                <w:iCs w:val="0"/>
                <w:color w:val="000000"/>
                <w:sz w:val="21"/>
                <w:szCs w:val="21"/>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客梯、担架、消防电梯</w:t>
            </w:r>
          </w:p>
        </w:tc>
        <w:tc>
          <w:tcPr>
            <w:tcW w:w="600" w:type="dxa"/>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4-DT2</w:t>
            </w:r>
          </w:p>
        </w:tc>
        <w:tc>
          <w:tcPr>
            <w:tcW w:w="330" w:type="dxa"/>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585" w:type="dxa"/>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1.6 </w:t>
            </w:r>
          </w:p>
        </w:tc>
        <w:tc>
          <w:tcPr>
            <w:tcW w:w="750" w:type="dxa"/>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1~11F</w:t>
            </w:r>
          </w:p>
        </w:tc>
        <w:tc>
          <w:tcPr>
            <w:tcW w:w="375" w:type="dxa"/>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1440" w:type="dxa"/>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2150x2300</w:t>
            </w:r>
          </w:p>
        </w:tc>
        <w:tc>
          <w:tcPr>
            <w:tcW w:w="1110" w:type="dxa"/>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900×2300</w:t>
            </w:r>
          </w:p>
        </w:tc>
        <w:tc>
          <w:tcPr>
            <w:tcW w:w="1110" w:type="dxa"/>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1100×2400</w:t>
            </w:r>
          </w:p>
        </w:tc>
        <w:tc>
          <w:tcPr>
            <w:tcW w:w="795" w:type="dxa"/>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4300</w:t>
            </w:r>
          </w:p>
        </w:tc>
        <w:tc>
          <w:tcPr>
            <w:tcW w:w="525" w:type="dxa"/>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1600</w:t>
            </w:r>
          </w:p>
        </w:tc>
        <w:tc>
          <w:tcPr>
            <w:tcW w:w="1020" w:type="dxa"/>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1600x1500</w:t>
            </w:r>
          </w:p>
        </w:tc>
        <w:tc>
          <w:tcPr>
            <w:tcW w:w="585" w:type="dxa"/>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2800</w:t>
            </w:r>
          </w:p>
        </w:tc>
        <w:tc>
          <w:tcPr>
            <w:tcW w:w="855" w:type="dxa"/>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≥2500</w:t>
            </w:r>
          </w:p>
        </w:tc>
        <w:tc>
          <w:tcPr>
            <w:tcW w:w="555" w:type="dxa"/>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33.5</w:t>
            </w:r>
          </w:p>
        </w:tc>
        <w:tc>
          <w:tcPr>
            <w:tcW w:w="1245" w:type="dxa"/>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双扇中分</w:t>
            </w:r>
          </w:p>
        </w:tc>
        <w:tc>
          <w:tcPr>
            <w:tcW w:w="855" w:type="dxa"/>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并联运行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80" w:type="dxa"/>
            <w:vMerge w:val="continue"/>
            <w:tcBorders>
              <w:top w:val="single" w:color="000000" w:sz="4" w:space="0"/>
              <w:left w:val="single" w:color="000000" w:sz="4" w:space="0"/>
              <w:bottom w:val="single" w:color="000000" w:sz="4" w:space="0"/>
              <w:right w:val="single" w:color="000000" w:sz="4" w:space="0"/>
            </w:tcBorders>
            <w:shd w:val="clear" w:color="auto" w:fill="C9E4B4"/>
            <w:vAlign w:val="center"/>
          </w:tcPr>
          <w:p>
            <w:pPr>
              <w:jc w:val="center"/>
              <w:rPr>
                <w:rFonts w:hint="eastAsia" w:ascii="宋体" w:hAnsi="宋体" w:eastAsia="宋体" w:cs="宋体"/>
                <w:i w:val="0"/>
                <w:iCs w:val="0"/>
                <w:color w:val="000000"/>
                <w:sz w:val="21"/>
                <w:szCs w:val="21"/>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客梯、消防电梯</w:t>
            </w:r>
          </w:p>
        </w:tc>
        <w:tc>
          <w:tcPr>
            <w:tcW w:w="600" w:type="dxa"/>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4-DT3</w:t>
            </w:r>
          </w:p>
        </w:tc>
        <w:tc>
          <w:tcPr>
            <w:tcW w:w="330" w:type="dxa"/>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585" w:type="dxa"/>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1.6 </w:t>
            </w:r>
          </w:p>
        </w:tc>
        <w:tc>
          <w:tcPr>
            <w:tcW w:w="750" w:type="dxa"/>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1~11F</w:t>
            </w:r>
          </w:p>
        </w:tc>
        <w:tc>
          <w:tcPr>
            <w:tcW w:w="375" w:type="dxa"/>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1440" w:type="dxa"/>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2150x2300</w:t>
            </w:r>
          </w:p>
        </w:tc>
        <w:tc>
          <w:tcPr>
            <w:tcW w:w="1110" w:type="dxa"/>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900×2300</w:t>
            </w:r>
          </w:p>
        </w:tc>
        <w:tc>
          <w:tcPr>
            <w:tcW w:w="1110" w:type="dxa"/>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1100×2400</w:t>
            </w:r>
          </w:p>
        </w:tc>
        <w:tc>
          <w:tcPr>
            <w:tcW w:w="795" w:type="dxa"/>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4300</w:t>
            </w:r>
          </w:p>
        </w:tc>
        <w:tc>
          <w:tcPr>
            <w:tcW w:w="525" w:type="dxa"/>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1600</w:t>
            </w:r>
          </w:p>
        </w:tc>
        <w:tc>
          <w:tcPr>
            <w:tcW w:w="1020" w:type="dxa"/>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1600x1500</w:t>
            </w:r>
          </w:p>
        </w:tc>
        <w:tc>
          <w:tcPr>
            <w:tcW w:w="585" w:type="dxa"/>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2800</w:t>
            </w:r>
          </w:p>
        </w:tc>
        <w:tc>
          <w:tcPr>
            <w:tcW w:w="855" w:type="dxa"/>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≥2500</w:t>
            </w:r>
          </w:p>
        </w:tc>
        <w:tc>
          <w:tcPr>
            <w:tcW w:w="555" w:type="dxa"/>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33.5</w:t>
            </w:r>
          </w:p>
        </w:tc>
        <w:tc>
          <w:tcPr>
            <w:tcW w:w="1245" w:type="dxa"/>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双扇中分</w:t>
            </w:r>
          </w:p>
        </w:tc>
        <w:tc>
          <w:tcPr>
            <w:tcW w:w="855" w:type="dxa"/>
            <w:tcBorders>
              <w:top w:val="single" w:color="000000" w:sz="4" w:space="0"/>
              <w:left w:val="single" w:color="000000" w:sz="4" w:space="0"/>
              <w:bottom w:val="single" w:color="000000" w:sz="4" w:space="0"/>
              <w:right w:val="single" w:color="000000" w:sz="4" w:space="0"/>
            </w:tcBorders>
            <w:shd w:val="clear" w:color="auto" w:fill="C9E4B4"/>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并联运行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80" w:type="dxa"/>
            <w:tcBorders>
              <w:top w:val="single" w:color="000000" w:sz="4" w:space="0"/>
              <w:left w:val="single" w:color="000000" w:sz="4" w:space="0"/>
              <w:bottom w:val="single" w:color="000000" w:sz="4" w:space="0"/>
              <w:right w:val="single" w:color="000000" w:sz="4" w:space="0"/>
            </w:tcBorders>
            <w:shd w:val="clear" w:color="auto" w:fill="DEEAF6"/>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w:t>
            </w:r>
          </w:p>
        </w:tc>
        <w:tc>
          <w:tcPr>
            <w:tcW w:w="1305" w:type="dxa"/>
            <w:tcBorders>
              <w:top w:val="single" w:color="000000" w:sz="4" w:space="0"/>
              <w:left w:val="single" w:color="000000" w:sz="4" w:space="0"/>
              <w:bottom w:val="single" w:color="000000" w:sz="4" w:space="0"/>
              <w:right w:val="single" w:color="000000" w:sz="4" w:space="0"/>
            </w:tcBorders>
            <w:shd w:val="clear" w:color="auto" w:fill="DEEAF6"/>
            <w:vAlign w:val="center"/>
          </w:tcPr>
          <w:p>
            <w:pPr>
              <w:jc w:val="center"/>
              <w:rPr>
                <w:rFonts w:hint="eastAsia" w:ascii="宋体" w:hAnsi="宋体" w:eastAsia="宋体" w:cs="宋体"/>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DEEAF6"/>
            <w:vAlign w:val="center"/>
          </w:tcPr>
          <w:p>
            <w:pPr>
              <w:jc w:val="center"/>
              <w:rPr>
                <w:rFonts w:hint="eastAsia" w:ascii="宋体" w:hAnsi="宋体" w:eastAsia="宋体" w:cs="宋体"/>
                <w:i w:val="0"/>
                <w:iCs w:val="0"/>
                <w:color w:val="000000"/>
                <w:sz w:val="21"/>
                <w:szCs w:val="21"/>
                <w:u w:val="none"/>
              </w:rPr>
            </w:pPr>
          </w:p>
        </w:tc>
        <w:tc>
          <w:tcPr>
            <w:tcW w:w="330" w:type="dxa"/>
            <w:tcBorders>
              <w:top w:val="single" w:color="000000" w:sz="4" w:space="0"/>
              <w:left w:val="single" w:color="000000" w:sz="4" w:space="0"/>
              <w:bottom w:val="single" w:color="000000" w:sz="4" w:space="0"/>
              <w:right w:val="single" w:color="000000" w:sz="4" w:space="0"/>
            </w:tcBorders>
            <w:shd w:val="clear" w:color="auto" w:fill="DEEAF6"/>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660" w:type="dxa"/>
            <w:tcBorders>
              <w:top w:val="single" w:color="000000" w:sz="4" w:space="0"/>
              <w:left w:val="single" w:color="000000" w:sz="4" w:space="0"/>
              <w:bottom w:val="single" w:color="000000" w:sz="4" w:space="0"/>
              <w:right w:val="single" w:color="000000" w:sz="4" w:space="0"/>
            </w:tcBorders>
            <w:shd w:val="clear" w:color="auto" w:fill="DEEAF6"/>
            <w:vAlign w:val="center"/>
          </w:tcPr>
          <w:p>
            <w:pPr>
              <w:jc w:val="center"/>
              <w:rPr>
                <w:rFonts w:hint="eastAsia" w:ascii="宋体" w:hAnsi="宋体" w:eastAsia="宋体" w:cs="宋体"/>
                <w:i w:val="0"/>
                <w:iCs w:val="0"/>
                <w:color w:val="000000"/>
                <w:sz w:val="21"/>
                <w:szCs w:val="21"/>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DEEAF6"/>
            <w:vAlign w:val="center"/>
          </w:tcPr>
          <w:p>
            <w:pPr>
              <w:jc w:val="center"/>
              <w:rPr>
                <w:rFonts w:hint="eastAsia" w:ascii="宋体" w:hAnsi="宋体" w:eastAsia="宋体" w:cs="宋体"/>
                <w:i w:val="0"/>
                <w:iCs w:val="0"/>
                <w:color w:val="000000"/>
                <w:sz w:val="21"/>
                <w:szCs w:val="21"/>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DEEAF6"/>
            <w:vAlign w:val="center"/>
          </w:tcPr>
          <w:p>
            <w:pPr>
              <w:jc w:val="center"/>
              <w:rPr>
                <w:rFonts w:hint="eastAsia" w:ascii="宋体" w:hAnsi="宋体" w:eastAsia="宋体" w:cs="宋体"/>
                <w:i w:val="0"/>
                <w:iCs w:val="0"/>
                <w:color w:val="000000"/>
                <w:sz w:val="21"/>
                <w:szCs w:val="21"/>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DEEAF6"/>
            <w:vAlign w:val="center"/>
          </w:tcPr>
          <w:p>
            <w:pPr>
              <w:jc w:val="center"/>
              <w:rPr>
                <w:rFonts w:hint="eastAsia" w:ascii="宋体" w:hAnsi="宋体" w:eastAsia="宋体" w:cs="宋体"/>
                <w:i w:val="0"/>
                <w:iCs w:val="0"/>
                <w:color w:val="000000"/>
                <w:sz w:val="21"/>
                <w:szCs w:val="21"/>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DEEAF6"/>
            <w:vAlign w:val="center"/>
          </w:tcPr>
          <w:p>
            <w:pPr>
              <w:jc w:val="center"/>
              <w:rPr>
                <w:rFonts w:hint="eastAsia" w:ascii="宋体" w:hAnsi="宋体" w:eastAsia="宋体" w:cs="宋体"/>
                <w:i w:val="0"/>
                <w:iCs w:val="0"/>
                <w:color w:val="000000"/>
                <w:sz w:val="21"/>
                <w:szCs w:val="21"/>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DEEAF6"/>
            <w:vAlign w:val="center"/>
          </w:tcPr>
          <w:p>
            <w:pPr>
              <w:jc w:val="center"/>
              <w:rPr>
                <w:rFonts w:hint="eastAsia" w:ascii="宋体" w:hAnsi="宋体" w:eastAsia="宋体" w:cs="宋体"/>
                <w:i w:val="0"/>
                <w:iCs w:val="0"/>
                <w:color w:val="000000"/>
                <w:sz w:val="21"/>
                <w:szCs w:val="21"/>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DEEAF6"/>
            <w:vAlign w:val="center"/>
          </w:tcPr>
          <w:p>
            <w:pPr>
              <w:jc w:val="center"/>
              <w:rPr>
                <w:rFonts w:hint="eastAsia" w:ascii="宋体" w:hAnsi="宋体" w:eastAsia="宋体" w:cs="宋体"/>
                <w:i w:val="0"/>
                <w:iCs w:val="0"/>
                <w:color w:val="000000"/>
                <w:sz w:val="21"/>
                <w:szCs w:val="21"/>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DEEAF6"/>
            <w:vAlign w:val="center"/>
          </w:tcPr>
          <w:p>
            <w:pPr>
              <w:jc w:val="center"/>
              <w:rPr>
                <w:rFonts w:hint="eastAsia" w:ascii="宋体" w:hAnsi="宋体" w:eastAsia="宋体" w:cs="宋体"/>
                <w:i w:val="0"/>
                <w:iCs w:val="0"/>
                <w:color w:val="000000"/>
                <w:sz w:val="21"/>
                <w:szCs w:val="21"/>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DEEAF6"/>
            <w:vAlign w:val="center"/>
          </w:tcPr>
          <w:p>
            <w:pPr>
              <w:jc w:val="center"/>
              <w:rPr>
                <w:rFonts w:hint="eastAsia" w:ascii="宋体" w:hAnsi="宋体" w:eastAsia="宋体" w:cs="宋体"/>
                <w:i w:val="0"/>
                <w:iCs w:val="0"/>
                <w:color w:val="000000"/>
                <w:sz w:val="21"/>
                <w:szCs w:val="21"/>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DEEAF6"/>
            <w:vAlign w:val="center"/>
          </w:tcPr>
          <w:p>
            <w:pPr>
              <w:jc w:val="center"/>
              <w:rPr>
                <w:rFonts w:hint="eastAsia" w:ascii="宋体" w:hAnsi="宋体" w:eastAsia="宋体" w:cs="宋体"/>
                <w:i w:val="0"/>
                <w:iCs w:val="0"/>
                <w:color w:val="000000"/>
                <w:sz w:val="21"/>
                <w:szCs w:val="21"/>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DEEAF6"/>
            <w:vAlign w:val="center"/>
          </w:tcPr>
          <w:p>
            <w:pPr>
              <w:jc w:val="center"/>
              <w:rPr>
                <w:rFonts w:hint="eastAsia" w:ascii="宋体" w:hAnsi="宋体" w:eastAsia="宋体" w:cs="宋体"/>
                <w:i w:val="0"/>
                <w:iCs w:val="0"/>
                <w:color w:val="000000"/>
                <w:sz w:val="21"/>
                <w:szCs w:val="21"/>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DEEAF6"/>
            <w:vAlign w:val="center"/>
          </w:tcPr>
          <w:p>
            <w:pPr>
              <w:jc w:val="center"/>
              <w:rPr>
                <w:rFonts w:hint="eastAsia" w:ascii="宋体" w:hAnsi="宋体" w:eastAsia="宋体" w:cs="宋体"/>
                <w:i w:val="0"/>
                <w:iCs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DEEAF6"/>
            <w:vAlign w:val="center"/>
          </w:tcPr>
          <w:p>
            <w:pPr>
              <w:jc w:val="center"/>
              <w:rPr>
                <w:rFonts w:hint="eastAsia" w:ascii="宋体" w:hAnsi="宋体" w:eastAsia="宋体" w:cs="宋体"/>
                <w:i w:val="0"/>
                <w:iCs w:val="0"/>
                <w:color w:val="000000"/>
                <w:sz w:val="21"/>
                <w:szCs w:val="21"/>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DEEAF6"/>
            <w:vAlign w:val="center"/>
          </w:tcPr>
          <w:p>
            <w:pPr>
              <w:jc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DEEAF6"/>
            <w:noWrap/>
            <w:vAlign w:val="center"/>
          </w:tcPr>
          <w:p>
            <w:pPr>
              <w:rPr>
                <w:rFonts w:hint="eastAsia" w:ascii="宋体" w:hAnsi="宋体" w:eastAsia="宋体" w:cs="宋体"/>
                <w:i w:val="0"/>
                <w:iCs w:val="0"/>
                <w:color w:val="000000"/>
                <w:sz w:val="21"/>
                <w:szCs w:val="21"/>
                <w:u w:val="none"/>
              </w:rPr>
            </w:pPr>
          </w:p>
        </w:tc>
      </w:tr>
    </w:tbl>
    <w:p>
      <w:pPr>
        <w:adjustRightInd/>
        <w:spacing w:after="240" w:line="360" w:lineRule="auto"/>
        <w:ind w:firstLine="371" w:firstLineChars="177"/>
        <w:jc w:val="left"/>
        <w:rPr>
          <w:rFonts w:hint="eastAsia" w:ascii="宋体" w:hAnsi="宋体" w:eastAsia="宋体" w:cs="宋体"/>
          <w:color w:val="FF0000"/>
          <w:sz w:val="21"/>
          <w:szCs w:val="21"/>
          <w:u w:val="single"/>
          <w:shd w:val="clear" w:color="auto" w:fill="FFFFFF"/>
          <w:lang w:val="en-US" w:eastAsia="zh-CN"/>
        </w:rPr>
      </w:pPr>
      <w:r>
        <w:rPr>
          <w:rFonts w:hint="eastAsia" w:ascii="宋体" w:hAnsi="宋体" w:cs="宋体"/>
          <w:color w:val="FF0000"/>
          <w:sz w:val="21"/>
          <w:szCs w:val="21"/>
          <w:u w:val="single"/>
          <w:shd w:val="clear" w:color="auto" w:fill="FFFFFF"/>
          <w:lang w:val="en-US" w:eastAsia="zh-CN"/>
        </w:rPr>
        <w:t>备注：3-DT2、3-DT3后续实际使用为客梯。</w:t>
      </w:r>
    </w:p>
    <w:p>
      <w:pPr>
        <w:adjustRightInd/>
        <w:spacing w:before="240" w:line="360" w:lineRule="auto"/>
        <w:ind w:firstLine="371" w:firstLineChars="177"/>
        <w:jc w:val="left"/>
        <w:outlineLvl w:val="3"/>
        <w:rPr>
          <w:rFonts w:hint="eastAsia" w:ascii="宋体" w:hAnsi="宋体" w:eastAsia="宋体" w:cs="宋体"/>
          <w:color w:val="0000FF"/>
          <w:sz w:val="21"/>
          <w:szCs w:val="21"/>
          <w:u w:val="single"/>
          <w:shd w:val="clear" w:color="auto" w:fill="FFFFFF"/>
          <w:lang w:eastAsia="zh-CN"/>
        </w:rPr>
        <w:sectPr>
          <w:footnotePr>
            <w:numFmt w:val="decimalEnclosedCircleChinese"/>
            <w:numRestart w:val="eachPage"/>
          </w:footnotePr>
          <w:pgSz w:w="16838" w:h="11906" w:orient="landscape"/>
          <w:pgMar w:top="1134" w:right="1440" w:bottom="992" w:left="1440" w:header="0" w:footer="595" w:gutter="0"/>
          <w:pgNumType w:fmt="decimal"/>
          <w:cols w:space="0" w:num="1"/>
          <w:rtlGutter w:val="0"/>
          <w:docGrid w:linePitch="360" w:charSpace="0"/>
        </w:sectPr>
      </w:pPr>
    </w:p>
    <w:p>
      <w:pPr>
        <w:adjustRightInd/>
        <w:spacing w:before="240" w:line="360" w:lineRule="auto"/>
        <w:ind w:firstLine="371" w:firstLineChars="177"/>
        <w:jc w:val="left"/>
        <w:outlineLvl w:val="3"/>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.4.1电梯</w:t>
      </w:r>
    </w:p>
    <w:p>
      <w:pPr>
        <w:adjustRightInd/>
        <w:spacing w:line="360" w:lineRule="auto"/>
        <w:ind w:firstLine="371" w:firstLineChars="177"/>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序号 电梯类型 客梯</w:t>
      </w:r>
    </w:p>
    <w:p>
      <w:pPr>
        <w:pStyle w:val="174"/>
        <w:numPr>
          <w:ilvl w:val="1"/>
          <w:numId w:val="24"/>
        </w:numPr>
        <w:adjustRightInd/>
        <w:spacing w:line="360" w:lineRule="auto"/>
        <w:ind w:left="993"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控制系统双32位或64 位智能化电脑控制系统</w:t>
      </w:r>
    </w:p>
    <w:p>
      <w:pPr>
        <w:pStyle w:val="174"/>
        <w:numPr>
          <w:ilvl w:val="1"/>
          <w:numId w:val="24"/>
        </w:numPr>
        <w:adjustRightInd/>
        <w:spacing w:line="360" w:lineRule="auto"/>
        <w:ind w:left="993"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拖动系统 永磁同步无齿轮</w:t>
      </w:r>
    </w:p>
    <w:p>
      <w:pPr>
        <w:pStyle w:val="174"/>
        <w:numPr>
          <w:ilvl w:val="1"/>
          <w:numId w:val="24"/>
        </w:numPr>
        <w:adjustRightInd/>
        <w:spacing w:line="360" w:lineRule="auto"/>
        <w:ind w:left="993"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门机系统 VVVF 变频门机</w:t>
      </w:r>
    </w:p>
    <w:p>
      <w:pPr>
        <w:pStyle w:val="174"/>
        <w:numPr>
          <w:ilvl w:val="1"/>
          <w:numId w:val="24"/>
        </w:numPr>
        <w:adjustRightInd/>
        <w:spacing w:line="360" w:lineRule="auto"/>
        <w:ind w:left="993"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驱动系统 VVVF 变频变压驱动</w:t>
      </w:r>
    </w:p>
    <w:p>
      <w:pPr>
        <w:pStyle w:val="174"/>
        <w:numPr>
          <w:ilvl w:val="1"/>
          <w:numId w:val="24"/>
        </w:numPr>
        <w:adjustRightInd/>
        <w:spacing w:line="360" w:lineRule="auto"/>
        <w:ind w:left="993"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井道尺寸（净宽×净深） 详见图纸要求</w:t>
      </w:r>
    </w:p>
    <w:p>
      <w:pPr>
        <w:pStyle w:val="174"/>
        <w:numPr>
          <w:ilvl w:val="1"/>
          <w:numId w:val="24"/>
        </w:numPr>
        <w:adjustRightInd/>
        <w:spacing w:line="360" w:lineRule="auto"/>
        <w:ind w:left="993"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轿厢尺寸（净宽×净深×净高） 详见图纸要求</w:t>
      </w:r>
    </w:p>
    <w:p>
      <w:pPr>
        <w:pStyle w:val="174"/>
        <w:numPr>
          <w:ilvl w:val="1"/>
          <w:numId w:val="24"/>
        </w:numPr>
        <w:adjustRightInd/>
        <w:spacing w:line="360" w:lineRule="auto"/>
        <w:ind w:left="993"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开门尺寸（净宽×净高） 详见图纸要求</w:t>
      </w:r>
    </w:p>
    <w:p>
      <w:pPr>
        <w:pStyle w:val="174"/>
        <w:numPr>
          <w:ilvl w:val="1"/>
          <w:numId w:val="24"/>
        </w:numPr>
        <w:adjustRightInd/>
        <w:spacing w:line="360" w:lineRule="auto"/>
        <w:ind w:left="993"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开门方式 中分门，带红外光幕保护装置</w:t>
      </w:r>
    </w:p>
    <w:p>
      <w:pPr>
        <w:pStyle w:val="174"/>
        <w:numPr>
          <w:ilvl w:val="1"/>
          <w:numId w:val="24"/>
        </w:numPr>
        <w:adjustRightInd/>
        <w:spacing w:line="360" w:lineRule="auto"/>
        <w:ind w:left="993"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平层精度 ±3MM</w:t>
      </w:r>
    </w:p>
    <w:p>
      <w:pPr>
        <w:adjustRightInd/>
        <w:spacing w:line="360" w:lineRule="auto"/>
        <w:ind w:firstLine="420" w:firstLineChars="200"/>
        <w:jc w:val="left"/>
        <w:rPr>
          <w:rFonts w:hint="eastAsia" w:ascii="宋体" w:hAnsi="宋体" w:cs="宋体"/>
          <w:color w:val="0000FF"/>
          <w:sz w:val="21"/>
          <w:szCs w:val="21"/>
          <w:highlight w:val="yellow"/>
          <w:u w:val="single"/>
          <w:shd w:val="clear" w:color="auto" w:fill="FFFFFF"/>
        </w:rPr>
      </w:pPr>
      <w:r>
        <w:rPr>
          <w:rFonts w:hint="eastAsia" w:ascii="宋体" w:hAnsi="宋体" w:cs="宋体"/>
          <w:color w:val="0000FF"/>
          <w:sz w:val="21"/>
          <w:szCs w:val="21"/>
          <w:highlight w:val="yellow"/>
          <w:u w:val="single"/>
          <w:shd w:val="clear" w:color="auto" w:fill="FFFFFF"/>
        </w:rPr>
        <w:t xml:space="preserve">（10）轿厢及装潢 </w:t>
      </w:r>
    </w:p>
    <w:p>
      <w:pPr>
        <w:adjustRightInd/>
        <w:spacing w:line="360" w:lineRule="auto"/>
        <w:ind w:firstLine="371" w:firstLineChars="177"/>
        <w:jc w:val="left"/>
        <w:rPr>
          <w:rFonts w:hint="eastAsia" w:ascii="宋体" w:hAnsi="宋体" w:cs="宋体"/>
          <w:color w:val="0000FF"/>
          <w:sz w:val="21"/>
          <w:szCs w:val="21"/>
          <w:highlight w:val="yellow"/>
          <w:u w:val="single"/>
          <w:shd w:val="clear" w:color="auto" w:fill="FFFFFF"/>
        </w:rPr>
      </w:pPr>
      <w:r>
        <w:rPr>
          <w:rFonts w:hint="eastAsia" w:cs="宋体"/>
          <w:sz w:val="21"/>
          <w:szCs w:val="21"/>
          <w:highlight w:val="yellow"/>
        </w:rPr>
        <w:t>1.0粗装交付（1#</w:t>
      </w:r>
      <w:r>
        <w:rPr>
          <w:rFonts w:hint="eastAsia" w:ascii="宋体" w:hAnsi="宋体" w:cs="宋体"/>
          <w:color w:val="000000"/>
          <w:sz w:val="21"/>
          <w:szCs w:val="21"/>
          <w:highlight w:val="yellow"/>
        </w:rPr>
        <w:t>DT1-5、2#DT1-4、3#DT4、4#DT1-DT3</w:t>
      </w:r>
      <w:r>
        <w:rPr>
          <w:rFonts w:hint="eastAsia" w:cs="宋体"/>
          <w:sz w:val="21"/>
          <w:szCs w:val="21"/>
          <w:highlight w:val="yellow"/>
        </w:rPr>
        <w:t>）</w:t>
      </w:r>
    </w:p>
    <w:p>
      <w:pPr>
        <w:adjustRightInd/>
        <w:spacing w:line="360" w:lineRule="auto"/>
        <w:ind w:left="372"/>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1.电梯轿厢配置液晶显示屏，能够显示楼层指示器和上下行箭头，显示电梯位置及运行方向等功能。电梯轿厢面板配置（一体式操纵盘），轿厢内需配置语音报站系统，无障碍电梯需增设残疾人操纵盘；</w:t>
      </w:r>
    </w:p>
    <w:p>
      <w:pPr>
        <w:adjustRightInd/>
        <w:spacing w:line="360" w:lineRule="auto"/>
        <w:ind w:left="0" w:leftChars="0" w:firstLine="420" w:firstLineChars="20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2.轿厢前壁、门楣、一体式操纵盘含按钮及外召唤:所有不锈钢厚度不低于1.2mm；前轿壁：发纹不锈钢；左右侧壁及后壁:发纹不锈钢；前壁一体式操纵箱；发纹不锈钢外召面楼。</w:t>
      </w:r>
    </w:p>
    <w:p>
      <w:pPr>
        <w:adjustRightInd/>
        <w:spacing w:line="360" w:lineRule="auto"/>
        <w:ind w:left="372"/>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3.轿厢地板：PVC地板；</w:t>
      </w:r>
    </w:p>
    <w:p>
      <w:pPr>
        <w:adjustRightInd/>
        <w:spacing w:line="360" w:lineRule="auto"/>
        <w:ind w:firstLine="420" w:firstLineChars="20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4.轿厢通风：配置轴流风扇；</w:t>
      </w:r>
    </w:p>
    <w:p>
      <w:pPr>
        <w:adjustRightInd/>
        <w:spacing w:line="360" w:lineRule="auto"/>
        <w:ind w:left="372"/>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5.吊顶：豪华镜面不锈钢，高效节能LED灯饰。</w:t>
      </w:r>
    </w:p>
    <w:p>
      <w:pPr>
        <w:adjustRightInd/>
        <w:spacing w:line="360" w:lineRule="auto"/>
        <w:ind w:left="372"/>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6.轿顶设轴流风机，轿顶照明（嵌入式LED），轿顶应能承受三人之总重量以便于维修。</w:t>
      </w:r>
    </w:p>
    <w:p>
      <w:pPr>
        <w:adjustRightInd/>
        <w:spacing w:line="360" w:lineRule="auto"/>
        <w:ind w:firstLine="420" w:firstLineChars="20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7.轿门：发纹不锈钢厚度不低于1.2mm不锈钢，带≥150 束光幕保护装置。</w:t>
      </w:r>
    </w:p>
    <w:p>
      <w:pPr>
        <w:adjustRightInd/>
        <w:spacing w:line="360" w:lineRule="auto"/>
        <w:ind w:left="372"/>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8.门套： 发纹不锈钢小门套，厚度不低于1.2mm不锈钢小门套。</w:t>
      </w:r>
    </w:p>
    <w:p>
      <w:pPr>
        <w:adjustRightInd/>
        <w:spacing w:line="360" w:lineRule="auto"/>
        <w:ind w:left="372"/>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9.外显面板材质需采用发纹不锈钢，不锈钢微动按钮及不锈钢无底盒面板。</w:t>
      </w:r>
    </w:p>
    <w:p>
      <w:pPr>
        <w:adjustRightInd/>
        <w:spacing w:line="360" w:lineRule="auto"/>
        <w:ind w:left="372"/>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注：1号楼厂房首层门厅电梯层门需考虑按精装设计要求（枪灰色）不锈钢厚度不低于1.2mm不锈钢，自动中分门，带≥150 束光幕保护装置。轿门必须采用原厂产品。电梯外呼考虑按精装要求定位不锈钢嵌入式按钮。</w:t>
      </w:r>
    </w:p>
    <w:p>
      <w:pPr>
        <w:adjustRightInd/>
        <w:spacing w:line="360" w:lineRule="auto"/>
        <w:ind w:firstLine="371" w:firstLineChars="177"/>
        <w:jc w:val="left"/>
        <w:rPr>
          <w:rFonts w:hint="eastAsia" w:ascii="宋体" w:hAnsi="宋体" w:cs="宋体"/>
          <w:color w:val="0000FF"/>
          <w:sz w:val="21"/>
          <w:szCs w:val="21"/>
          <w:highlight w:val="yellow"/>
          <w:u w:val="single"/>
          <w:shd w:val="clear" w:color="auto" w:fill="FFFFFF"/>
        </w:rPr>
      </w:pPr>
      <w:r>
        <w:rPr>
          <w:rFonts w:hint="eastAsia" w:cs="宋体"/>
          <w:sz w:val="21"/>
          <w:szCs w:val="21"/>
          <w:highlight w:val="yellow"/>
        </w:rPr>
        <w:t>2.0精装交付（3#</w:t>
      </w:r>
      <w:r>
        <w:rPr>
          <w:rFonts w:hint="eastAsia" w:ascii="宋体" w:hAnsi="宋体" w:cs="宋体"/>
          <w:color w:val="000000"/>
          <w:sz w:val="21"/>
          <w:szCs w:val="21"/>
          <w:highlight w:val="yellow"/>
        </w:rPr>
        <w:t>DT1-3</w:t>
      </w:r>
      <w:r>
        <w:rPr>
          <w:rFonts w:hint="eastAsia" w:cs="宋体"/>
          <w:sz w:val="21"/>
          <w:szCs w:val="21"/>
          <w:highlight w:val="yellow"/>
        </w:rPr>
        <w:t>）</w:t>
      </w:r>
    </w:p>
    <w:p>
      <w:pPr>
        <w:adjustRightInd/>
        <w:spacing w:line="360" w:lineRule="auto"/>
        <w:ind w:left="372"/>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1.电梯轿厢配置液晶显示屏，能够显示楼层指示器和上下行箭头，显示电梯位置及运行方向等功能。电梯轿厢面板配置（一体式操纵盘），轿厢内需配置语音报站系统，无障碍电梯需增设残疾人操纵盘；</w:t>
      </w:r>
    </w:p>
    <w:p>
      <w:pPr>
        <w:adjustRightInd/>
        <w:spacing w:line="360" w:lineRule="auto"/>
        <w:ind w:left="372"/>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2.轿厢前壁、门楣、一体式操纵盘含按钮及外召唤:采用按精装设计要求（枪灰色乱纹）不锈钢厚度不低于1.2mm；左右侧壁及后壁:采用按精装设计要求</w:t>
      </w:r>
      <w:r>
        <w:rPr>
          <w:rFonts w:hint="eastAsia" w:ascii="宋体" w:hAnsi="宋体" w:cs="宋体"/>
          <w:color w:val="0000FF"/>
          <w:sz w:val="21"/>
          <w:szCs w:val="21"/>
          <w:highlight w:val="yellow"/>
          <w:u w:val="single"/>
          <w:shd w:val="clear" w:color="auto" w:fill="FFFFFF"/>
        </w:rPr>
        <w:t>（ 枪灰色乱纹 ）</w:t>
      </w:r>
      <w:r>
        <w:rPr>
          <w:rFonts w:hint="eastAsia" w:ascii="宋体" w:hAnsi="宋体" w:cs="宋体"/>
          <w:color w:val="0000FF"/>
          <w:sz w:val="21"/>
          <w:szCs w:val="21"/>
          <w:u w:val="single"/>
          <w:shd w:val="clear" w:color="auto" w:fill="FFFFFF"/>
        </w:rPr>
        <w:t>不锈钢厚度不低于1.2mm、背景冲孔铝板或烤漆瓦楞玻璃。颜色需与设计及建设单位确认；由中标人提供样品确认并安装一台样品经发包人选择作为最终装饰样式）</w:t>
      </w:r>
    </w:p>
    <w:p>
      <w:pPr>
        <w:adjustRightInd/>
        <w:spacing w:line="360" w:lineRule="auto"/>
        <w:ind w:left="372"/>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3.轿厢地板：按精装轿厢设计方案大理石材（厚度≥2cm，型号：按精装修轿厢方案，石材由中标人安装到位）；</w:t>
      </w:r>
    </w:p>
    <w:p>
      <w:pPr>
        <w:adjustRightInd/>
        <w:spacing w:line="360" w:lineRule="auto"/>
        <w:ind w:left="372"/>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4.轿厢通风：配置轴流风扇；</w:t>
      </w:r>
    </w:p>
    <w:p>
      <w:pPr>
        <w:adjustRightInd/>
        <w:spacing w:line="360" w:lineRule="auto"/>
        <w:ind w:left="372"/>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5.吊顶：采用发包人指定的装饰要求。轿厢内应有足够的照明；吊顶厚度原则上不超过0.2米；吊顶装修应考虑已配置轿箱空调送回风口的方案。轿顶采用1.2mm厚抗指纹灰色不锈钢背面单侧反光灯槽造型，暗藏风口，照明选用暖色LED灯带，需符合照明顾问，发包人可根据轿厢装修方案重新选择，中标人应予以配合；不得另行增加费用。</w:t>
      </w:r>
    </w:p>
    <w:p>
      <w:pPr>
        <w:adjustRightInd/>
        <w:spacing w:line="360" w:lineRule="auto"/>
        <w:ind w:left="372"/>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6.轿顶设轴流风机，轿顶照明（嵌入式LED），轿顶应能承受三人之总重量以便于维修。</w:t>
      </w:r>
    </w:p>
    <w:p>
      <w:pPr>
        <w:adjustRightInd/>
        <w:spacing w:line="360" w:lineRule="auto"/>
        <w:ind w:firstLine="420" w:firstLineChars="20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7.轿门：按精装设计要求（枪灰色）不锈钢厚度不低于1.2mm不锈钢，自动中分门，带≥150 束光幕保护装置。</w:t>
      </w:r>
    </w:p>
    <w:p>
      <w:pPr>
        <w:adjustRightInd/>
        <w:spacing w:line="360" w:lineRule="auto"/>
        <w:ind w:left="372"/>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8.门套： 枪灰色不锈钢小门套，厚度不低于1.2mm不锈钢小门套。</w:t>
      </w:r>
    </w:p>
    <w:p>
      <w:pPr>
        <w:adjustRightInd/>
        <w:spacing w:line="360" w:lineRule="auto"/>
        <w:ind w:left="372"/>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9.外显面板材质需采用发纹不锈钢，不锈钢微动按钮及不锈钢无底盒面板。</w:t>
      </w:r>
    </w:p>
    <w:p>
      <w:pPr>
        <w:adjustRightInd/>
        <w:spacing w:line="360" w:lineRule="auto"/>
        <w:ind w:left="372"/>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（11）操纵方式 ：台独立、多台并联或群控方式工作。</w:t>
      </w:r>
    </w:p>
    <w:p>
      <w:pPr>
        <w:adjustRightInd/>
        <w:spacing w:line="360" w:lineRule="auto"/>
        <w:ind w:left="372"/>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 xml:space="preserve">（12）通讯功能 </w:t>
      </w:r>
    </w:p>
    <w:p>
      <w:pPr>
        <w:pStyle w:val="174"/>
        <w:numPr>
          <w:ilvl w:val="-1"/>
          <w:numId w:val="0"/>
        </w:numPr>
        <w:adjustRightInd/>
        <w:spacing w:line="360" w:lineRule="auto"/>
        <w:ind w:left="0" w:firstLine="420" w:firstLineChars="200"/>
        <w:jc w:val="left"/>
        <w:rPr>
          <w:rFonts w:hint="eastAsia" w:ascii="宋体" w:hAnsi="宋体" w:cs="宋体"/>
          <w:color w:val="0000FF"/>
          <w:sz w:val="21"/>
          <w:szCs w:val="21"/>
          <w:u w:val="single"/>
          <w:shd w:val="clear" w:color="auto" w:fill="FFFFFF"/>
        </w:rPr>
      </w:pPr>
      <w:r>
        <w:rPr>
          <w:rFonts w:hint="default" w:ascii="Calibri" w:hAnsi="Calibri" w:eastAsia="宋体" w:cs="Calibri"/>
          <w:color w:val="0000FF"/>
          <w:sz w:val="21"/>
          <w:szCs w:val="21"/>
          <w:u w:val="single"/>
          <w:shd w:val="clear" w:color="auto" w:fill="FFFFFF"/>
        </w:rPr>
        <w:t>①</w:t>
      </w:r>
      <w:r>
        <w:rPr>
          <w:rFonts w:hint="eastAsia" w:ascii="宋体" w:hAnsi="宋体" w:cs="宋体"/>
          <w:color w:val="0000FF"/>
          <w:sz w:val="21"/>
          <w:szCs w:val="21"/>
          <w:u w:val="single"/>
          <w:shd w:val="clear" w:color="auto" w:fill="FFFFFF"/>
        </w:rPr>
        <w:t>五方通话：实现轿厢、机房、底坑、轿顶、监控中心对讲功能，监控中心主机为1对多台电梯，监控中心预留电脑接口。</w:t>
      </w:r>
    </w:p>
    <w:p>
      <w:pPr>
        <w:pStyle w:val="174"/>
        <w:numPr>
          <w:ilvl w:val="-1"/>
          <w:numId w:val="0"/>
        </w:numPr>
        <w:adjustRightInd/>
        <w:spacing w:line="360" w:lineRule="auto"/>
        <w:ind w:left="0" w:firstLine="420" w:firstLineChars="200"/>
        <w:jc w:val="left"/>
        <w:rPr>
          <w:rFonts w:hint="eastAsia" w:ascii="宋体" w:hAnsi="宋体" w:cs="宋体"/>
          <w:color w:val="0000FF"/>
          <w:sz w:val="21"/>
          <w:szCs w:val="21"/>
          <w:u w:val="single"/>
          <w:shd w:val="clear" w:color="auto" w:fill="FFFFFF"/>
        </w:rPr>
      </w:pPr>
      <w:r>
        <w:rPr>
          <w:rFonts w:hint="default" w:ascii="Calibri" w:hAnsi="Calibri" w:eastAsia="宋体" w:cs="Calibri"/>
          <w:color w:val="0000FF"/>
          <w:sz w:val="21"/>
          <w:szCs w:val="21"/>
          <w:u w:val="single"/>
          <w:shd w:val="clear" w:color="auto" w:fill="FFFFFF"/>
        </w:rPr>
        <w:t>②</w:t>
      </w:r>
      <w:r>
        <w:rPr>
          <w:rFonts w:hint="eastAsia" w:ascii="宋体" w:hAnsi="宋体" w:cs="宋体"/>
          <w:color w:val="0000FF"/>
          <w:sz w:val="21"/>
          <w:szCs w:val="21"/>
          <w:u w:val="single"/>
          <w:shd w:val="clear" w:color="auto" w:fill="FFFFFF"/>
        </w:rPr>
        <w:t>监控功能：轿厢内监控摄像头电梯随行电梯内需配置预留监控线、背景音乐线至电梯机房控制柜接驳口，电梯井道随行电缆自带配有专用监控视频线及背景音乐线（数字信号）不得外加。</w:t>
      </w:r>
    </w:p>
    <w:p>
      <w:pPr>
        <w:adjustRightInd/>
        <w:spacing w:line="360" w:lineRule="auto"/>
        <w:ind w:left="372"/>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（13）应急功能 轿厢紧急照明；火警返回基站；满足国家标准消防功能要求。</w:t>
      </w:r>
    </w:p>
    <w:p>
      <w:pPr>
        <w:adjustRightInd/>
        <w:spacing w:line="360" w:lineRule="auto"/>
        <w:ind w:left="372"/>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（14）服务功能 轿厢按钮纠错功能；应急照明。</w:t>
      </w:r>
    </w:p>
    <w:p>
      <w:pPr>
        <w:adjustRightInd/>
        <w:spacing w:line="360" w:lineRule="auto"/>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（15）电梯基本功能要求：</w:t>
      </w:r>
    </w:p>
    <w:p>
      <w:pPr>
        <w:adjustRightInd/>
        <w:spacing w:line="360" w:lineRule="auto"/>
        <w:ind w:left="0" w:leftChars="0" w:firstLine="420" w:firstLineChars="200"/>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(01) 直接停靠（节能技术） (02) 最佳运行曲线自动生成 (03) 来电自动恢复运行 (04) 轿厢位置自修正 (05) 满载直驶 (06) 轿内空调手、自动控制 (07) 轿内照明自动控制 (08) 轿内错误指令取消 (09) 全集选 (10) 开门时间可设定 (11) 显示楼层字符可设置 (12) 轿内载重补偿 (13) 五方通话 (14) 运行计数器 (15) 运行计时器 (16) 层高数据自修正 (17) 井道参数自学习 (18) 电机参数自学习 (19) 基站锁梯 (20) 自动返基站 (21) 消防返基站 (22) 电源过电压保护 (23) 电动机过流过载保护 (24) 编码器故障保护 (25) 上下行超速保护 (26) 运行时间过长保护 (27) 轿厢超载保护 (28) 电源缺相错相保护 (29) 电动机过热保护 (30) 光幕保护 (31) 触点粘连保护 (32) 运行方向逆转保护 (33) 运行终端越程保护 (34) 开门故障它层放客 (35) 轿内应急照明 (36) 报警警铃 (37) 消防状态反馈 (38) 故障低速平层 (39) 故障记录可查询 (40) 反向指令消除 (41) 非开门区域提供报警 (42) 再平层功能（43）防夹功能（44）取消错误呼叫（45）电梯物联网链接功能符合2019年福建省新规范的要求（46）配置电梯机房空调符合2019年福建省新规范的要求</w:t>
      </w:r>
    </w:p>
    <w:p>
      <w:pPr>
        <w:adjustRightInd/>
        <w:spacing w:line="360" w:lineRule="auto"/>
        <w:ind w:firstLine="371" w:firstLineChars="177"/>
        <w:jc w:val="left"/>
        <w:outlineLvl w:val="3"/>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.4.2技术规格</w:t>
      </w:r>
    </w:p>
    <w:p>
      <w:pPr>
        <w:adjustRightInd/>
        <w:spacing w:line="360" w:lineRule="auto"/>
        <w:ind w:firstLine="371" w:firstLineChars="177"/>
        <w:jc w:val="left"/>
        <w:outlineLvl w:val="4"/>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.4.2.1 整机性能要求:</w:t>
      </w:r>
    </w:p>
    <w:p>
      <w:pPr>
        <w:pStyle w:val="174"/>
        <w:numPr>
          <w:ilvl w:val="1"/>
          <w:numId w:val="25"/>
        </w:numPr>
        <w:adjustRightInd/>
        <w:spacing w:line="360" w:lineRule="auto"/>
        <w:ind w:left="1276"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中标后中标人须需向发包人提供由电梯整机制造商盖章确认的垂直梯主要配置清单原件。主要配置清单必须注明具体报价电梯整机的品牌与型号以及主要部件的品牌、产地与型号（主要部件指控制柜、曳引机、门机三大部件及控制柜内主控板和变频器）。</w:t>
      </w:r>
    </w:p>
    <w:p>
      <w:pPr>
        <w:pStyle w:val="174"/>
        <w:numPr>
          <w:ilvl w:val="1"/>
          <w:numId w:val="25"/>
        </w:numPr>
        <w:adjustRightInd/>
        <w:spacing w:line="360" w:lineRule="auto"/>
        <w:ind w:left="1276"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曳引机整机采用与投标电梯整机同一品牌，且为原品牌产品。</w:t>
      </w:r>
    </w:p>
    <w:p>
      <w:pPr>
        <w:pStyle w:val="174"/>
        <w:numPr>
          <w:ilvl w:val="1"/>
          <w:numId w:val="25"/>
        </w:numPr>
        <w:adjustRightInd/>
        <w:spacing w:line="360" w:lineRule="auto"/>
        <w:ind w:left="1276"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控制柜内主板采用与投标电梯整机同一品牌，且为原品牌产品。</w:t>
      </w:r>
    </w:p>
    <w:p>
      <w:pPr>
        <w:pStyle w:val="174"/>
        <w:numPr>
          <w:ilvl w:val="1"/>
          <w:numId w:val="25"/>
        </w:numPr>
        <w:adjustRightInd/>
        <w:spacing w:line="360" w:lineRule="auto"/>
        <w:ind w:left="1276"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门机整机采用与投标电梯整机同一品牌，且为原品牌产品。</w:t>
      </w:r>
    </w:p>
    <w:p>
      <w:pPr>
        <w:pStyle w:val="174"/>
        <w:numPr>
          <w:ilvl w:val="1"/>
          <w:numId w:val="25"/>
        </w:numPr>
        <w:adjustRightInd/>
        <w:spacing w:line="360" w:lineRule="auto"/>
        <w:ind w:left="1276"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光幕采用带≥150 束光幕保护装置。</w:t>
      </w:r>
    </w:p>
    <w:p>
      <w:pPr>
        <w:pStyle w:val="174"/>
        <w:numPr>
          <w:ilvl w:val="1"/>
          <w:numId w:val="25"/>
        </w:numPr>
        <w:adjustRightInd/>
        <w:spacing w:line="360" w:lineRule="auto"/>
        <w:ind w:left="1276"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安全部件（限速器、安全钳、缓冲器、门锁）与投标电梯整机同一品牌或高于相应配置的产品。</w:t>
      </w:r>
    </w:p>
    <w:p>
      <w:pPr>
        <w:pStyle w:val="174"/>
        <w:numPr>
          <w:ilvl w:val="1"/>
          <w:numId w:val="25"/>
        </w:numPr>
        <w:adjustRightInd/>
        <w:spacing w:line="360" w:lineRule="auto"/>
        <w:ind w:left="1276"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设备整机电磁兼容性达到国家级或欧盟级检验合格的。</w:t>
      </w:r>
    </w:p>
    <w:p>
      <w:pPr>
        <w:pStyle w:val="174"/>
        <w:numPr>
          <w:ilvl w:val="1"/>
          <w:numId w:val="25"/>
        </w:numPr>
        <w:adjustRightInd/>
        <w:spacing w:line="360" w:lineRule="auto"/>
        <w:ind w:left="1276"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电梯具有厅门防脱装置。</w:t>
      </w:r>
    </w:p>
    <w:p>
      <w:pPr>
        <w:pStyle w:val="174"/>
        <w:numPr>
          <w:ilvl w:val="1"/>
          <w:numId w:val="25"/>
        </w:numPr>
        <w:adjustRightInd/>
        <w:spacing w:line="360" w:lineRule="auto"/>
        <w:ind w:left="1276"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电梯运行速度≥2.0m/s电梯导靴采用“滚动导靴”。</w:t>
      </w:r>
    </w:p>
    <w:p>
      <w:pPr>
        <w:pStyle w:val="174"/>
        <w:numPr>
          <w:ilvl w:val="1"/>
          <w:numId w:val="25"/>
        </w:numPr>
        <w:adjustRightInd/>
        <w:spacing w:line="360" w:lineRule="auto"/>
        <w:ind w:left="1276"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电梯配置物联网装置。</w:t>
      </w:r>
    </w:p>
    <w:p>
      <w:pPr>
        <w:adjustRightInd/>
        <w:spacing w:line="360" w:lineRule="auto"/>
        <w:ind w:firstLine="371" w:firstLineChars="177"/>
        <w:jc w:val="left"/>
        <w:outlineLvl w:val="4"/>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.4.2.2 主要技术要求</w:t>
      </w:r>
    </w:p>
    <w:p>
      <w:pPr>
        <w:adjustRightInd/>
        <w:spacing w:line="360" w:lineRule="auto"/>
        <w:ind w:firstLine="371" w:firstLineChars="177"/>
        <w:jc w:val="left"/>
        <w:outlineLvl w:val="5"/>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.4.2.2.1 外观质量要求</w:t>
      </w:r>
    </w:p>
    <w:p>
      <w:pPr>
        <w:adjustRightInd/>
        <w:spacing w:line="360" w:lineRule="auto"/>
        <w:ind w:firstLine="371" w:firstLineChars="177"/>
        <w:jc w:val="left"/>
        <w:outlineLvl w:val="6"/>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.4.2.2.1.1 外观质量要求应符合GB/T10058-2009《电梯技术条件》3.4 条要求。</w:t>
      </w:r>
    </w:p>
    <w:p>
      <w:pPr>
        <w:adjustRightInd/>
        <w:spacing w:line="360" w:lineRule="auto"/>
        <w:ind w:firstLine="371" w:firstLineChars="177"/>
        <w:jc w:val="left"/>
        <w:outlineLvl w:val="6"/>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.4.2.2.1.2 层门由轿门拖动，门机应采用交流变频控制。</w:t>
      </w:r>
    </w:p>
    <w:p>
      <w:pPr>
        <w:adjustRightInd/>
        <w:spacing w:line="360" w:lineRule="auto"/>
        <w:ind w:firstLine="371" w:firstLineChars="177"/>
        <w:jc w:val="left"/>
        <w:outlineLvl w:val="5"/>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.4.2.2.2 控制系统要求</w:t>
      </w:r>
    </w:p>
    <w:p>
      <w:pPr>
        <w:adjustRightInd/>
        <w:spacing w:line="360" w:lineRule="auto"/>
        <w:ind w:firstLine="371" w:firstLineChars="177"/>
        <w:jc w:val="left"/>
        <w:outlineLvl w:val="6"/>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.4.2.2.2.1 控制柜</w:t>
      </w:r>
    </w:p>
    <w:p>
      <w:pPr>
        <w:pStyle w:val="174"/>
        <w:numPr>
          <w:ilvl w:val="1"/>
          <w:numId w:val="26"/>
        </w:numPr>
        <w:adjustRightInd/>
        <w:spacing w:line="360" w:lineRule="auto"/>
        <w:ind w:left="1134"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控制柜应具有丰富的配置和功能，控制柜主电脑板应采用双32位或64 位智能化电脑控制系统。</w:t>
      </w:r>
    </w:p>
    <w:p>
      <w:pPr>
        <w:pStyle w:val="174"/>
        <w:numPr>
          <w:ilvl w:val="1"/>
          <w:numId w:val="26"/>
        </w:numPr>
        <w:adjustRightInd/>
        <w:spacing w:line="360" w:lineRule="auto"/>
        <w:ind w:left="1134"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应是多微机控制。其中微机系统主控制板及制动模块（变频器）印板均要求为原品牌。</w:t>
      </w:r>
    </w:p>
    <w:p>
      <w:pPr>
        <w:pStyle w:val="174"/>
        <w:numPr>
          <w:ilvl w:val="1"/>
          <w:numId w:val="26"/>
        </w:numPr>
        <w:adjustRightInd/>
        <w:spacing w:line="360" w:lineRule="auto"/>
        <w:ind w:left="1134"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应有远程监控接口，与电梯监控中心相联。</w:t>
      </w:r>
    </w:p>
    <w:p>
      <w:pPr>
        <w:adjustRightInd/>
        <w:spacing w:line="360" w:lineRule="auto"/>
        <w:ind w:firstLine="371" w:firstLineChars="177"/>
        <w:jc w:val="left"/>
        <w:outlineLvl w:val="6"/>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.4.2.2.2.2 控制系统应具有故障自诊断程序，可以明确指示故障部位，包括安全回路、门回路及层站信号等。当故障排除后，电梯回复正常。</w:t>
      </w:r>
    </w:p>
    <w:p>
      <w:pPr>
        <w:adjustRightInd/>
        <w:spacing w:line="360" w:lineRule="auto"/>
        <w:ind w:firstLine="371" w:firstLineChars="177"/>
        <w:jc w:val="left"/>
        <w:outlineLvl w:val="6"/>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.4.2.2.2.3 控制系统应具有故障自动存储、待机定期自检、运行次数显示功能。</w:t>
      </w:r>
    </w:p>
    <w:p>
      <w:pPr>
        <w:adjustRightInd/>
        <w:spacing w:line="360" w:lineRule="auto"/>
        <w:ind w:firstLine="371" w:firstLineChars="177"/>
        <w:jc w:val="left"/>
        <w:outlineLvl w:val="6"/>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.4.2.2.2.4 中标后中标人须需向发包人提供主控微机的型号及主要技术参数。</w:t>
      </w:r>
    </w:p>
    <w:p>
      <w:pPr>
        <w:adjustRightInd/>
        <w:spacing w:line="360" w:lineRule="auto"/>
        <w:ind w:firstLine="371" w:firstLineChars="177"/>
        <w:jc w:val="left"/>
        <w:outlineLvl w:val="5"/>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.4.2.2.3 拖动系统要求</w:t>
      </w:r>
    </w:p>
    <w:p>
      <w:pPr>
        <w:adjustRightInd/>
        <w:spacing w:line="360" w:lineRule="auto"/>
        <w:ind w:firstLine="371" w:firstLineChars="177"/>
        <w:jc w:val="left"/>
        <w:outlineLvl w:val="6"/>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.4.2.2.3.1 无齿轮曳引机应是密封免保养式的。</w:t>
      </w:r>
    </w:p>
    <w:p>
      <w:pPr>
        <w:adjustRightInd/>
        <w:spacing w:line="360" w:lineRule="auto"/>
        <w:ind w:left="0" w:leftChars="0"/>
        <w:jc w:val="left"/>
        <w:rPr>
          <w:rFonts w:hint="eastAsia" w:ascii="宋体" w:hAnsi="宋体" w:eastAsia="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 xml:space="preserve">电梯均应采用矢量型变频变压调速（VVVF）拖动系统； </w:t>
      </w:r>
    </w:p>
    <w:p>
      <w:pPr>
        <w:adjustRightInd/>
        <w:spacing w:line="360" w:lineRule="auto"/>
        <w:ind w:left="0" w:leftChars="0" w:firstLine="420" w:firstLineChars="200"/>
        <w:jc w:val="left"/>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.4.2.2.3.2 曳引机为永磁同步无齿轮曳引机，曳引机应满足GB/T10058-2009《电梯技术条件》3.5 条要求。曳引机应安装于稳定基座上，保证电梯平稳低噪运行。</w:t>
      </w:r>
    </w:p>
    <w:p>
      <w:pPr>
        <w:adjustRightInd/>
        <w:spacing w:line="360" w:lineRule="auto"/>
        <w:ind w:firstLine="371" w:firstLineChars="177"/>
        <w:jc w:val="left"/>
        <w:outlineLvl w:val="6"/>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.4.2.2.3.3 功率配置应按照国家标准《电梯安装验收规范》（GB/T 10060-2011）中的相关规定进行试验和超载试验，曳引机应能正常工作。中标后中标人应说明投标产品的电机功率、传动机构的原理。</w:t>
      </w:r>
    </w:p>
    <w:p>
      <w:pPr>
        <w:adjustRightInd/>
        <w:spacing w:line="360" w:lineRule="auto"/>
        <w:ind w:firstLine="371" w:firstLineChars="177"/>
        <w:jc w:val="left"/>
        <w:outlineLvl w:val="6"/>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.4.2.2.3.4 曳引机应配有以下保护功能：</w:t>
      </w:r>
    </w:p>
    <w:p>
      <w:pPr>
        <w:pStyle w:val="174"/>
        <w:numPr>
          <w:ilvl w:val="1"/>
          <w:numId w:val="27"/>
        </w:numPr>
        <w:adjustRightInd/>
        <w:spacing w:line="360" w:lineRule="auto"/>
        <w:ind w:left="1134"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电动机空转保护功能</w:t>
      </w:r>
    </w:p>
    <w:p>
      <w:pPr>
        <w:pStyle w:val="174"/>
        <w:numPr>
          <w:ilvl w:val="1"/>
          <w:numId w:val="27"/>
        </w:numPr>
        <w:adjustRightInd/>
        <w:spacing w:line="360" w:lineRule="auto"/>
        <w:ind w:left="1134"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电动机过热保护功能</w:t>
      </w:r>
    </w:p>
    <w:p>
      <w:pPr>
        <w:adjustRightInd/>
        <w:spacing w:line="360" w:lineRule="auto"/>
        <w:ind w:firstLine="371" w:firstLineChars="177"/>
        <w:jc w:val="left"/>
        <w:outlineLvl w:val="5"/>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.4.2.2.4 自动门机</w:t>
      </w:r>
    </w:p>
    <w:p>
      <w:pPr>
        <w:adjustRightInd/>
        <w:spacing w:line="360" w:lineRule="auto"/>
        <w:ind w:firstLine="371" w:firstLineChars="177"/>
        <w:jc w:val="left"/>
        <w:outlineLvl w:val="6"/>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.4.2.2.4.1 开门机应是64 位CPU 控制、VVVF 智能门机系统。开门时间：应能够便于现场调节。基准开门时间≤2.5 秒；</w:t>
      </w:r>
    </w:p>
    <w:p>
      <w:pPr>
        <w:adjustRightInd/>
        <w:spacing w:line="360" w:lineRule="auto"/>
        <w:ind w:firstLine="371" w:firstLineChars="177"/>
        <w:jc w:val="left"/>
        <w:outlineLvl w:val="6"/>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.4.2.2.4.2 具有开门力矩自调整等智能化功能，能使各层站的开关门速度保持一致。</w:t>
      </w:r>
    </w:p>
    <w:p>
      <w:pPr>
        <w:adjustRightInd/>
        <w:spacing w:line="360" w:lineRule="auto"/>
        <w:ind w:firstLine="371" w:firstLineChars="177"/>
        <w:jc w:val="left"/>
        <w:outlineLvl w:val="5"/>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.4.2.2.5 功能要求</w:t>
      </w:r>
    </w:p>
    <w:p>
      <w:pPr>
        <w:adjustRightInd/>
        <w:spacing w:line="360" w:lineRule="auto"/>
        <w:ind w:firstLine="371" w:firstLineChars="177"/>
        <w:jc w:val="left"/>
        <w:outlineLvl w:val="6"/>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.4.2.2.5.1 称重启动：电梯启动前，对轿厢内负载进行称重，以使电梯启动平稳；</w:t>
      </w:r>
    </w:p>
    <w:p>
      <w:pPr>
        <w:adjustRightInd/>
        <w:spacing w:line="360" w:lineRule="auto"/>
        <w:ind w:firstLine="371" w:firstLineChars="177"/>
        <w:jc w:val="left"/>
        <w:outlineLvl w:val="6"/>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.4.2.2.5.2 安全停靠：如电梯发生故障并停在楼层之间，控制器执行诊断检查后，将电梯驶往最近的楼层；</w:t>
      </w:r>
    </w:p>
    <w:p>
      <w:pPr>
        <w:adjustRightInd/>
        <w:spacing w:line="360" w:lineRule="auto"/>
        <w:ind w:firstLine="371" w:firstLineChars="177"/>
        <w:jc w:val="left"/>
        <w:outlineLvl w:val="6"/>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.4.2.2.5.3 最近楼层服务运转：由于某种原因，电梯在到达目的楼层后，门不能完全打开，电梯将会把门关闭，驶往最近的楼层；</w:t>
      </w:r>
    </w:p>
    <w:p>
      <w:pPr>
        <w:adjustRightInd/>
        <w:spacing w:line="360" w:lineRule="auto"/>
        <w:ind w:firstLine="371" w:firstLineChars="177"/>
        <w:jc w:val="left"/>
        <w:outlineLvl w:val="6"/>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.4.2.2.5.4 超载报警：轿厢超载时鸣响蜂鸣器并停止于该层站，满载直驶；</w:t>
      </w:r>
    </w:p>
    <w:p>
      <w:pPr>
        <w:adjustRightInd/>
        <w:spacing w:line="360" w:lineRule="auto"/>
        <w:ind w:firstLine="371" w:firstLineChars="177"/>
        <w:jc w:val="left"/>
        <w:outlineLvl w:val="6"/>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.4.2.2.5.5 开门时间自动调整：按照召唤是层站召唤或轿厢召唤的区别，自动调整保持开门的时间；根据开门后状况的变化（开门按钮之动作）自动设定为最适当的开门时间；</w:t>
      </w:r>
    </w:p>
    <w:p>
      <w:pPr>
        <w:adjustRightInd/>
        <w:spacing w:line="360" w:lineRule="auto"/>
        <w:ind w:firstLine="371" w:firstLineChars="177"/>
        <w:jc w:val="left"/>
        <w:outlineLvl w:val="6"/>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.4.2.2.5.6 强制关门：如果电梯门保持打开的时间超过了预定时间，临时性强制功能自动工作，从而把门关闭；</w:t>
      </w:r>
    </w:p>
    <w:p>
      <w:pPr>
        <w:adjustRightInd/>
        <w:spacing w:line="360" w:lineRule="auto"/>
        <w:ind w:firstLine="371" w:firstLineChars="177"/>
        <w:jc w:val="left"/>
        <w:outlineLvl w:val="6"/>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.4.2.2.5.7 重复关门：有时因阻碍或干扰，电梯门未能关闭，电梯门就会重复打开或关闭，直到杂物被清除；</w:t>
      </w:r>
    </w:p>
    <w:p>
      <w:pPr>
        <w:adjustRightInd/>
        <w:spacing w:line="360" w:lineRule="auto"/>
        <w:ind w:firstLine="371" w:firstLineChars="177"/>
        <w:jc w:val="left"/>
        <w:outlineLvl w:val="6"/>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.4.2.2.5.8 对讲装置：通过对讲电话，可使轿内乘客与机房及大楼值班人员通话，提供轿厢闭路监视的视频线，提供能与大楼智能系统中设备自动化、消防自动化、保安系统管理自动化相关的兼容接口；</w:t>
      </w:r>
    </w:p>
    <w:p>
      <w:pPr>
        <w:adjustRightInd/>
        <w:spacing w:line="360" w:lineRule="auto"/>
        <w:ind w:firstLine="371" w:firstLineChars="177"/>
        <w:jc w:val="left"/>
        <w:outlineLvl w:val="6"/>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.4.2.2.5.9 警铃：紧急时，连续按下轿内操纵箱紧急按钮，装于井道内的警铃会鸣响；</w:t>
      </w:r>
    </w:p>
    <w:p>
      <w:pPr>
        <w:adjustRightInd/>
        <w:spacing w:line="360" w:lineRule="auto"/>
        <w:ind w:firstLine="371" w:firstLineChars="177"/>
        <w:jc w:val="left"/>
        <w:outlineLvl w:val="6"/>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.4.2.2.5.10 轿厢应急照明：停电时，轿内应急照明点亮，照明时间不得低于1.5 小时；</w:t>
      </w:r>
    </w:p>
    <w:p>
      <w:pPr>
        <w:adjustRightInd/>
        <w:spacing w:line="360" w:lineRule="auto"/>
        <w:ind w:firstLine="371" w:firstLineChars="177"/>
        <w:jc w:val="left"/>
        <w:outlineLvl w:val="6"/>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.4.2.2.5.11 轿内风扇及照明自动关闭：在规定时间内，没有召唤信号登记，轿厢的风扇及照明会自动关闭，以节约能源；</w:t>
      </w:r>
    </w:p>
    <w:p>
      <w:pPr>
        <w:adjustRightInd/>
        <w:spacing w:line="360" w:lineRule="auto"/>
        <w:ind w:firstLine="371" w:firstLineChars="177"/>
        <w:jc w:val="left"/>
        <w:outlineLvl w:val="6"/>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.4.2.2.5.12 消防服务：消防开关被启动后，所有的召唤均被取消，电梯立即返回指定层站，到达指定层站后，电梯只应答轿厢内的召唤；</w:t>
      </w:r>
    </w:p>
    <w:p>
      <w:pPr>
        <w:adjustRightInd/>
        <w:spacing w:line="360" w:lineRule="auto"/>
        <w:ind w:firstLine="371" w:firstLineChars="177"/>
        <w:jc w:val="left"/>
        <w:outlineLvl w:val="6"/>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.4.2.2.5.13 光幕保护：门开启与关闭期间，红外线光束探测到乘客和物件，门将自动停止关闭动作，以保证乘客安全红外线安全光幕的安全保护装置，具防夹伤功能；</w:t>
      </w:r>
    </w:p>
    <w:p>
      <w:pPr>
        <w:adjustRightInd/>
        <w:spacing w:line="360" w:lineRule="auto"/>
        <w:ind w:firstLine="371" w:firstLineChars="177"/>
        <w:jc w:val="left"/>
        <w:outlineLvl w:val="6"/>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.4.2.2.5.14 自动再平层：当电梯运行到目的层站后，由于乘客进出电梯，可能会使钢丝绳产生伸缩，导致电梯超出平层范围，此时电梯将以蠕动的速度在开门状态下运行，使电梯重新平层，补偿因钢丝绳伸长而引起的平层误差；</w:t>
      </w:r>
    </w:p>
    <w:p>
      <w:pPr>
        <w:adjustRightInd/>
        <w:spacing w:line="360" w:lineRule="auto"/>
        <w:ind w:firstLine="371" w:firstLineChars="177"/>
        <w:jc w:val="left"/>
        <w:outlineLvl w:val="6"/>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.4.2.2.5.15 故障电梯自动分离：当并联或者群控中的一台电梯发生故障时，会自动脱离系统以保证其他电梯的正常运行；</w:t>
      </w:r>
    </w:p>
    <w:p>
      <w:pPr>
        <w:adjustRightInd/>
        <w:spacing w:line="360" w:lineRule="auto"/>
        <w:ind w:firstLine="371" w:firstLineChars="177"/>
        <w:jc w:val="left"/>
        <w:outlineLvl w:val="6"/>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.4.2.2.5.16 防捣乱功能：如果同时按下多个按钮或在短时间内按下多个按钮，则会取消所有轿厢呼叫；</w:t>
      </w:r>
    </w:p>
    <w:p>
      <w:pPr>
        <w:adjustRightInd/>
        <w:spacing w:line="360" w:lineRule="auto"/>
        <w:ind w:firstLine="371" w:firstLineChars="177"/>
        <w:jc w:val="left"/>
        <w:outlineLvl w:val="6"/>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.4.2.2.5.17 禁止反向运行登录：轿厢呼叫与轿厢实际运行方向相反时，反向轿厢呼叫无法登录；</w:t>
      </w:r>
    </w:p>
    <w:p>
      <w:pPr>
        <w:adjustRightInd/>
        <w:spacing w:line="360" w:lineRule="auto"/>
        <w:ind w:firstLine="371" w:firstLineChars="177"/>
        <w:jc w:val="left"/>
        <w:outlineLvl w:val="6"/>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.4.2.2.5.18 门的异常检查装置：如果轿厢门在预定时间内应开而不开或不完全开启时，轿厢门会自动关闭，再应答其他呼叫。如轿厢门在预定时间内应关而未能关闭时，将会重复关闭动作以清除地坎上的障碍物；</w:t>
      </w:r>
    </w:p>
    <w:p>
      <w:pPr>
        <w:adjustRightInd/>
        <w:spacing w:line="360" w:lineRule="auto"/>
        <w:ind w:firstLine="371" w:firstLineChars="177"/>
        <w:jc w:val="left"/>
        <w:outlineLvl w:val="6"/>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.4.2.2.5.19 基准层返回：当下列条件满足时，轿厢自动返回基准层，开门待机：</w:t>
      </w:r>
    </w:p>
    <w:p>
      <w:pPr>
        <w:pStyle w:val="174"/>
        <w:numPr>
          <w:ilvl w:val="1"/>
          <w:numId w:val="28"/>
        </w:numPr>
        <w:adjustRightInd/>
        <w:spacing w:line="360" w:lineRule="auto"/>
        <w:ind w:left="2268"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应答最后呼叫后在设定的时间内没有其他呼叫；</w:t>
      </w:r>
    </w:p>
    <w:p>
      <w:pPr>
        <w:pStyle w:val="174"/>
        <w:numPr>
          <w:ilvl w:val="1"/>
          <w:numId w:val="28"/>
        </w:numPr>
        <w:adjustRightInd/>
        <w:spacing w:line="360" w:lineRule="auto"/>
        <w:ind w:left="2268"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在其他轿厢正在返回基准层途中；</w:t>
      </w:r>
    </w:p>
    <w:p>
      <w:pPr>
        <w:pStyle w:val="174"/>
        <w:numPr>
          <w:ilvl w:val="1"/>
          <w:numId w:val="28"/>
        </w:numPr>
        <w:adjustRightInd/>
        <w:spacing w:line="360" w:lineRule="auto"/>
        <w:ind w:left="2268"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在基准层上没有其他轿厢停靠。</w:t>
      </w:r>
    </w:p>
    <w:p>
      <w:pPr>
        <w:adjustRightInd/>
        <w:spacing w:line="360" w:lineRule="auto"/>
        <w:ind w:firstLine="371" w:firstLineChars="177"/>
        <w:jc w:val="left"/>
        <w:outlineLvl w:val="6"/>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.4.2.2.5.20 开门警报：电梯运行中或停止在平层区以外时，如果有人在轿厢里强行扒门，则轿顶蜂鸣器会发出连续的报警声以示警告，如果电梯运行中报警声已经响起，乘客却继续扒门，导致门被打开，则电梯将保护性停车，直到确认门关上后启动。</w:t>
      </w:r>
    </w:p>
    <w:p>
      <w:pPr>
        <w:adjustRightInd/>
        <w:spacing w:line="360" w:lineRule="auto"/>
        <w:ind w:firstLine="371" w:firstLineChars="177"/>
        <w:jc w:val="left"/>
        <w:outlineLvl w:val="6"/>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.4.2.2.5.21 电梯受阻失速保护：当曳引钢丝绳打滑达到预定时间时，电梯停止运行。</w:t>
      </w:r>
    </w:p>
    <w:p>
      <w:pPr>
        <w:adjustRightInd/>
        <w:spacing w:line="360" w:lineRule="auto"/>
        <w:ind w:firstLine="371" w:firstLineChars="177"/>
        <w:jc w:val="left"/>
        <w:outlineLvl w:val="6"/>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.4.2.2.5.22 消防功能：消防电梯必须具备专业的消防功能。</w:t>
      </w:r>
    </w:p>
    <w:p>
      <w:pPr>
        <w:adjustRightInd/>
        <w:spacing w:line="360" w:lineRule="auto"/>
        <w:ind w:firstLine="371" w:firstLineChars="177"/>
        <w:jc w:val="left"/>
        <w:outlineLvl w:val="6"/>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.4.2.3.5.23 独立服务：把轿厢从群控中脱离，单独响应轿厢召唤（控制开关安装在轿厢操纵箱内）。</w:t>
      </w:r>
    </w:p>
    <w:p>
      <w:pPr>
        <w:adjustRightInd/>
        <w:spacing w:line="360" w:lineRule="auto"/>
        <w:ind w:firstLine="371" w:firstLineChars="177"/>
        <w:jc w:val="left"/>
        <w:outlineLvl w:val="6"/>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.4.2.2.5.24 基站锁梯：当轿厢转换为停用运转状态时，轿厢会到预设的停梯楼层停靠，途中可应答同方向的候梯厅及轿厢呼叫，抵达后即取消所有轿厢与候梯厅登录。（如果是并联状况时，另一轿厢即会应答其他呼叫。）在一定时间后电梯门即自动关闭。停用运转只有在该电梯是全自动操作状态下才生效。该功能通过设在特定层的钥匙开关来实现。</w:t>
      </w:r>
    </w:p>
    <w:p>
      <w:pPr>
        <w:adjustRightInd/>
        <w:spacing w:line="360" w:lineRule="auto"/>
        <w:ind w:firstLine="371" w:firstLineChars="177"/>
        <w:jc w:val="left"/>
        <w:outlineLvl w:val="6"/>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.4.2.2.5.25 电梯应具备取消错误呼叫功能，可双击或长按取消错误呼叫的楼层，所有电梯都具备消防迫降功能。</w:t>
      </w:r>
    </w:p>
    <w:p>
      <w:pPr>
        <w:adjustRightInd/>
        <w:spacing w:line="360" w:lineRule="auto"/>
        <w:ind w:firstLine="371" w:firstLineChars="177"/>
        <w:jc w:val="left"/>
        <w:outlineLvl w:val="5"/>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.4.2.2.6 其他部件要求</w:t>
      </w:r>
    </w:p>
    <w:p>
      <w:pPr>
        <w:adjustRightInd/>
        <w:spacing w:line="360" w:lineRule="auto"/>
        <w:ind w:firstLine="371" w:firstLineChars="177"/>
        <w:jc w:val="left"/>
        <w:outlineLvl w:val="6"/>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.4.2.2.6.1 导轨</w:t>
      </w:r>
    </w:p>
    <w:p>
      <w:pPr>
        <w:pStyle w:val="174"/>
        <w:numPr>
          <w:ilvl w:val="1"/>
          <w:numId w:val="29"/>
        </w:numPr>
        <w:adjustRightInd/>
        <w:spacing w:line="360" w:lineRule="auto"/>
        <w:ind w:left="993"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导轨及其附件和接头应有足够的强度，应能承受安全钳装置（或夹紧装置）等装置动作时产生的力和由于轿厢不均匀载荷引起的变形，此变形应予以限制，不得影响电梯的正常工作，不得作为电梯主机的承力部件。其要求应符合国家标准《电梯制造与安装安全规范》（GB 7588-2003）中10.1 中的相关规定。</w:t>
      </w:r>
    </w:p>
    <w:p>
      <w:pPr>
        <w:pStyle w:val="174"/>
        <w:numPr>
          <w:ilvl w:val="1"/>
          <w:numId w:val="29"/>
        </w:numPr>
        <w:adjustRightInd/>
        <w:spacing w:line="360" w:lineRule="auto"/>
        <w:ind w:left="993"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悬挂装置：用于悬挂的钢丝绳的抗拉强度、安全系数应符合国家标准《电梯制造与安装安全规范》（GB 7588-2003）中9.1 中的相关规定。</w:t>
      </w:r>
    </w:p>
    <w:p>
      <w:pPr>
        <w:adjustRightInd/>
        <w:spacing w:line="360" w:lineRule="auto"/>
        <w:ind w:firstLine="371" w:firstLineChars="177"/>
        <w:jc w:val="left"/>
        <w:outlineLvl w:val="6"/>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.4.2.2.6.2 电梯轿顶其两侧各设一台电梯专用风机通风。每台电梯应单设一个切断该电梯的主电源开关，但该开关不应切断下列供电电路：</w:t>
      </w:r>
    </w:p>
    <w:p>
      <w:pPr>
        <w:pStyle w:val="174"/>
        <w:numPr>
          <w:ilvl w:val="1"/>
          <w:numId w:val="30"/>
        </w:numPr>
        <w:adjustRightInd/>
        <w:spacing w:line="360" w:lineRule="auto"/>
        <w:ind w:left="993"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轿厢内的照明和通风电路。</w:t>
      </w:r>
    </w:p>
    <w:p>
      <w:pPr>
        <w:pStyle w:val="174"/>
        <w:numPr>
          <w:ilvl w:val="1"/>
          <w:numId w:val="30"/>
        </w:numPr>
        <w:adjustRightInd/>
        <w:spacing w:line="360" w:lineRule="auto"/>
        <w:ind w:left="993"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轿顶的电源插座电路。</w:t>
      </w:r>
    </w:p>
    <w:p>
      <w:pPr>
        <w:pStyle w:val="174"/>
        <w:numPr>
          <w:ilvl w:val="1"/>
          <w:numId w:val="30"/>
        </w:numPr>
        <w:adjustRightInd/>
        <w:spacing w:line="360" w:lineRule="auto"/>
        <w:ind w:left="993"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电梯井道内的照明电路。</w:t>
      </w:r>
    </w:p>
    <w:p>
      <w:pPr>
        <w:pStyle w:val="174"/>
        <w:numPr>
          <w:ilvl w:val="1"/>
          <w:numId w:val="30"/>
        </w:numPr>
        <w:adjustRightInd/>
        <w:spacing w:line="360" w:lineRule="auto"/>
        <w:ind w:left="993"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电梯的报警装置电路。</w:t>
      </w:r>
    </w:p>
    <w:p>
      <w:pPr>
        <w:adjustRightInd/>
        <w:spacing w:line="360" w:lineRule="auto"/>
        <w:ind w:firstLine="371" w:firstLineChars="177"/>
        <w:jc w:val="left"/>
        <w:outlineLvl w:val="6"/>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.4.2.2.6.3 电缆电线：</w:t>
      </w:r>
    </w:p>
    <w:p>
      <w:pPr>
        <w:pStyle w:val="174"/>
        <w:numPr>
          <w:ilvl w:val="1"/>
          <w:numId w:val="31"/>
        </w:numPr>
        <w:adjustRightInd/>
        <w:spacing w:line="360" w:lineRule="auto"/>
        <w:ind w:left="993"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电梯的随行电缆应为阻燃型。</w:t>
      </w:r>
    </w:p>
    <w:p>
      <w:pPr>
        <w:pStyle w:val="174"/>
        <w:numPr>
          <w:ilvl w:val="1"/>
          <w:numId w:val="31"/>
        </w:numPr>
        <w:adjustRightInd/>
        <w:spacing w:line="360" w:lineRule="auto"/>
        <w:ind w:left="993"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除满足上述要求外，所有电缆电线还应满足《电梯制造与安装安全规范》（GB 7588-2003）中13.5 电气配线的规定。</w:t>
      </w:r>
    </w:p>
    <w:p>
      <w:pPr>
        <w:pStyle w:val="174"/>
        <w:numPr>
          <w:ilvl w:val="1"/>
          <w:numId w:val="31"/>
        </w:numPr>
        <w:adjustRightInd/>
        <w:spacing w:line="360" w:lineRule="auto"/>
        <w:ind w:left="993"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电磁兼容性要求符合下列标准：</w:t>
      </w:r>
    </w:p>
    <w:p>
      <w:pPr>
        <w:pStyle w:val="174"/>
        <w:numPr>
          <w:ilvl w:val="0"/>
          <w:numId w:val="32"/>
        </w:numPr>
        <w:adjustRightInd/>
        <w:spacing w:line="360" w:lineRule="auto"/>
        <w:ind w:left="1418"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《工业过程测量和控制装置的电磁兼容性总论》（GB/13926.1-1992）</w:t>
      </w:r>
    </w:p>
    <w:p>
      <w:pPr>
        <w:pStyle w:val="174"/>
        <w:numPr>
          <w:ilvl w:val="0"/>
          <w:numId w:val="32"/>
        </w:numPr>
        <w:adjustRightInd/>
        <w:spacing w:line="360" w:lineRule="auto"/>
        <w:ind w:left="1418"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《工业过程测量和控制装置的电磁兼容性静电放电要求》（GB/13926.2-1992）</w:t>
      </w:r>
    </w:p>
    <w:p>
      <w:pPr>
        <w:pStyle w:val="174"/>
        <w:numPr>
          <w:ilvl w:val="0"/>
          <w:numId w:val="32"/>
        </w:numPr>
        <w:adjustRightInd/>
        <w:spacing w:line="360" w:lineRule="auto"/>
        <w:ind w:left="1418"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《工业过程测量和控制装置的电磁兼容性辐射电磁场要求》（GB/13926.3-1992）</w:t>
      </w:r>
    </w:p>
    <w:p>
      <w:pPr>
        <w:pStyle w:val="174"/>
        <w:numPr>
          <w:ilvl w:val="0"/>
          <w:numId w:val="32"/>
        </w:numPr>
        <w:adjustRightInd/>
        <w:spacing w:line="360" w:lineRule="auto"/>
        <w:ind w:left="1418"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《工业过程测量和控制装置的电磁兼容性电快速瞬变脉冲要求》（GB/13926.4-1992）</w:t>
      </w:r>
    </w:p>
    <w:p>
      <w:pPr>
        <w:adjustRightInd/>
        <w:spacing w:line="360" w:lineRule="auto"/>
        <w:ind w:firstLine="371" w:firstLineChars="177"/>
        <w:jc w:val="left"/>
        <w:outlineLvl w:val="3"/>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.4.3安装施工及配合要求</w:t>
      </w:r>
    </w:p>
    <w:p>
      <w:pPr>
        <w:adjustRightInd/>
        <w:spacing w:line="360" w:lineRule="auto"/>
        <w:ind w:firstLine="371" w:firstLineChars="177"/>
        <w:jc w:val="left"/>
        <w:outlineLvl w:val="4"/>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.4.3.1 中标人应配合项目进度要求，提供经制造厂家盖章核准的符合现场实际情况的电梯技术条件图，配合发包人完成设计调整。主体施工期间，应及时做好预埋件的安装及监控系统的施工配合工作（该费用投标时综合考虑，中标后不再调整）。</w:t>
      </w:r>
    </w:p>
    <w:p>
      <w:pPr>
        <w:adjustRightInd/>
        <w:spacing w:line="360" w:lineRule="auto"/>
        <w:ind w:firstLine="371" w:firstLineChars="177"/>
        <w:jc w:val="left"/>
        <w:outlineLvl w:val="4"/>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.4.3.3 电梯五方通话系统：在消控室配置一台电梯集中对讲系统主机（即一台，不可每台电梯配一台），电梯五方通话系统应采用双向对讲系统，以便与救援服务持续联系。电梯五方通话系统所需的所有设备材料、软件、安装费都由中标人负责且电梯机房安装到发包人指定的消控室。</w:t>
      </w:r>
    </w:p>
    <w:p>
      <w:pPr>
        <w:adjustRightInd/>
        <w:spacing w:line="360" w:lineRule="auto"/>
        <w:ind w:firstLine="371" w:firstLineChars="177"/>
        <w:jc w:val="left"/>
        <w:outlineLvl w:val="4"/>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.4.3.4 中标人应负责实现电梯消防联动迫降功能的实现，并需配合其他相关单位工作。</w:t>
      </w:r>
    </w:p>
    <w:p>
      <w:pPr>
        <w:adjustRightInd/>
        <w:spacing w:line="360" w:lineRule="auto"/>
        <w:ind w:firstLine="371" w:firstLineChars="177"/>
        <w:jc w:val="left"/>
        <w:outlineLvl w:val="4"/>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.4.3.5 电梯轿厢应为监控摄像机提供独立电源。</w:t>
      </w:r>
    </w:p>
    <w:p>
      <w:pPr>
        <w:adjustRightInd/>
        <w:spacing w:line="360" w:lineRule="auto"/>
        <w:ind w:firstLine="371" w:firstLineChars="177"/>
        <w:jc w:val="left"/>
        <w:outlineLvl w:val="4"/>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.4.3.6 配置符合消防验收及后续管理的电梯集中监视装置：</w:t>
      </w:r>
    </w:p>
    <w:p>
      <w:pPr>
        <w:pStyle w:val="174"/>
        <w:numPr>
          <w:ilvl w:val="1"/>
          <w:numId w:val="33"/>
        </w:numPr>
        <w:adjustRightInd/>
        <w:spacing w:line="360" w:lineRule="auto"/>
        <w:ind w:left="1134"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实时显示所有电梯的运行、楼层、方向、消防功能输入及输出等信号。</w:t>
      </w:r>
    </w:p>
    <w:p>
      <w:pPr>
        <w:pStyle w:val="174"/>
        <w:widowControl/>
        <w:numPr>
          <w:ilvl w:val="1"/>
          <w:numId w:val="33"/>
        </w:numPr>
        <w:ind w:left="1134"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 xml:space="preserve">提供电梯故障数据库，实时记录每一台电梯的故障发生时间、故障类型及故障排除时间，并自动备份。利用该数据库对电梯的故障情况进行统计和分析，为电梯的科学管理提供了可靠的手段。 </w:t>
      </w:r>
    </w:p>
    <w:p>
      <w:pPr>
        <w:pStyle w:val="174"/>
        <w:widowControl/>
        <w:numPr>
          <w:ilvl w:val="1"/>
          <w:numId w:val="33"/>
        </w:numPr>
        <w:ind w:left="1134"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电梯集中监视装置设置于消控室内，由智能化专业规划定位。</w:t>
      </w:r>
    </w:p>
    <w:p>
      <w:pPr>
        <w:pStyle w:val="174"/>
        <w:widowControl/>
        <w:numPr>
          <w:ilvl w:val="1"/>
          <w:numId w:val="33"/>
        </w:numPr>
        <w:ind w:left="1134" w:firstLineChars="0"/>
        <w:jc w:val="left"/>
        <w:rPr>
          <w:rFonts w:hint="eastAsia" w:ascii="宋体" w:hAnsi="宋体" w:cs="宋体"/>
          <w:color w:val="0000FF"/>
          <w:sz w:val="21"/>
          <w:szCs w:val="21"/>
          <w:u w:val="single"/>
          <w:shd w:val="clear" w:color="auto" w:fill="FFFFFF"/>
        </w:rPr>
      </w:pPr>
      <w:r>
        <w:rPr>
          <w:rFonts w:hint="eastAsia" w:ascii="宋体" w:hAnsi="宋体" w:cs="宋体"/>
          <w:color w:val="0000FF"/>
          <w:sz w:val="21"/>
          <w:szCs w:val="21"/>
          <w:u w:val="single"/>
          <w:shd w:val="clear" w:color="auto" w:fill="FFFFFF"/>
        </w:rPr>
        <w:t>电梯供应商提交电梯监视系统设备（含值班室）电脑、信号转回接口、软件及深化图。控制线路采用RS485双交屏蔽线路拟消防承包单位负责施工，包括弱电桥架或钢管施工、穿线。电梯供应商负责对线路进行验收、设备安装调试。功能且符合消防验收标准。</w:t>
      </w:r>
    </w:p>
    <w:p>
      <w:pPr>
        <w:adjustRightInd/>
        <w:spacing w:line="360" w:lineRule="auto"/>
        <w:ind w:firstLine="371" w:firstLineChars="177"/>
        <w:jc w:val="left"/>
        <w:outlineLvl w:val="4"/>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.4.3.7 为确保电梯安装工程质量，中标后中标人需向发包人承诺：保证在设备安装、调试直至最终验收期间至少有1 名电梯专业厂家授权工程师派驻现场。安装施工：中标人必须根据土建施工进度，及时做好预埋件的安装等施工配合工作，确保安装工程质量。中标人应在货物运抵现场前，向发包人提供安装、调试及试运行的进度计划表和施工作业措施计划。中标人应配合项目进度向采购人提交经制造商确认的设备安装图及相关条件要求，及时做好预埋件的安装及监控系统的施工配合工作。如若因设备安装配合图提供延迟所带来的返工及施工现场预埋件、预埋洞配合不当所造成的一切费用由中标人负责。安装现场一切安全责任由中标人自行承担。中标人在安装施工过程中，给发包人造成损失的，须赔偿相应损失。安装施工完成，中标人须做好现场清理工作。</w:t>
      </w:r>
    </w:p>
    <w:p>
      <w:pPr>
        <w:adjustRightInd/>
        <w:spacing w:line="360" w:lineRule="auto"/>
        <w:ind w:firstLine="371" w:firstLineChars="177"/>
        <w:jc w:val="left"/>
        <w:outlineLvl w:val="2"/>
        <w:rPr>
          <w:rFonts w:hint="eastAsia" w:ascii="宋体" w:hAnsi="宋体" w:cs="宋体"/>
          <w:color w:val="0000FF"/>
          <w:sz w:val="21"/>
          <w:szCs w:val="21"/>
          <w:u w:val="single"/>
          <w:shd w:val="clear" w:color="auto" w:fill="FFFFFF"/>
        </w:rPr>
      </w:pPr>
      <w:bookmarkStart w:id="1840" w:name="_Toc12947"/>
      <w:bookmarkStart w:id="1841" w:name="_Toc9419"/>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.5安装调试要求</w:t>
      </w:r>
      <w:bookmarkEnd w:id="1840"/>
      <w:bookmarkEnd w:id="1841"/>
    </w:p>
    <w:p>
      <w:pPr>
        <w:adjustRightInd/>
        <w:spacing w:line="360" w:lineRule="auto"/>
        <w:ind w:firstLine="371" w:firstLineChars="177"/>
        <w:jc w:val="left"/>
        <w:outlineLvl w:val="3"/>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.5.1 在安装过程中，中标人如需发包人或第三方配合的工作，需说明安装调试的工作和责任范围，发生的费用由中标人支付。</w:t>
      </w:r>
    </w:p>
    <w:p>
      <w:pPr>
        <w:adjustRightInd/>
        <w:spacing w:line="360" w:lineRule="auto"/>
        <w:ind w:firstLine="371" w:firstLineChars="177"/>
        <w:jc w:val="left"/>
        <w:outlineLvl w:val="3"/>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.5.2 设备配置的进口件报关提货时，中标人应通知发包人一同前往提货，发包人有权核验进口部件的相应凭证。</w:t>
      </w:r>
    </w:p>
    <w:p>
      <w:pPr>
        <w:adjustRightInd/>
        <w:spacing w:line="360" w:lineRule="auto"/>
        <w:ind w:firstLine="371" w:firstLineChars="177"/>
        <w:jc w:val="left"/>
        <w:outlineLvl w:val="3"/>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.5.3 中标人应在货物运抵现场壹周前，向发包人提供安装、调试及试运行的进度计划表和施工作业措施计划。</w:t>
      </w:r>
    </w:p>
    <w:p>
      <w:pPr>
        <w:adjustRightInd/>
        <w:spacing w:line="360" w:lineRule="auto"/>
        <w:ind w:firstLine="371" w:firstLineChars="177"/>
        <w:jc w:val="left"/>
        <w:outlineLvl w:val="3"/>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.5.4 中标人应确保设备的安装调试，验收合格后，发包人及中标人、特种设备监检机构共同签署设备检验合格证书。</w:t>
      </w:r>
    </w:p>
    <w:p>
      <w:pPr>
        <w:adjustRightInd/>
        <w:spacing w:line="360" w:lineRule="auto"/>
        <w:ind w:firstLine="371" w:firstLineChars="177"/>
        <w:jc w:val="left"/>
        <w:outlineLvl w:val="3"/>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.5.5 中标人在设备交货时应提供带速度闭环反馈的VVVF 变频驱动系统、控制系统、VVVF 变频门机系统以及曳引主机的产地的清单。</w:t>
      </w:r>
    </w:p>
    <w:p>
      <w:pPr>
        <w:adjustRightInd/>
        <w:spacing w:line="360" w:lineRule="auto"/>
        <w:ind w:firstLine="371" w:firstLineChars="177"/>
        <w:jc w:val="left"/>
        <w:outlineLvl w:val="3"/>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.5.6 货物到达发包人指定场地后，由中标人通知发包人会同发包人、监理单位进行基本质量和数量的验收（但不作为最终合格的保证），该验收应达到国家相关规定以及合同中约定的要求。</w:t>
      </w:r>
    </w:p>
    <w:p>
      <w:pPr>
        <w:adjustRightInd/>
        <w:spacing w:line="360" w:lineRule="auto"/>
        <w:ind w:firstLine="371" w:firstLineChars="177"/>
        <w:jc w:val="left"/>
        <w:outlineLvl w:val="3"/>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.5.7 交货验收时，必须提供设备相关手续、品牌证书、 中文安装、品质保证书、使用及维护说明书。</w:t>
      </w:r>
    </w:p>
    <w:p>
      <w:pPr>
        <w:adjustRightInd/>
        <w:spacing w:line="360" w:lineRule="auto"/>
        <w:ind w:firstLine="371" w:firstLineChars="177"/>
        <w:jc w:val="left"/>
        <w:outlineLvl w:val="3"/>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.5.8 属于进口部件的货物（以下称进口部件），交货时必须提供运输证明（自启运港至中国口岸的全程海运提单副本、陆运单证）、货物进口清单、海关进口手续（报关单、完税证明）等证明所供货物为依承诺规定的进口的原装产品的证明文件，及相关主管部门核发的入境货物检验证明。</w:t>
      </w:r>
    </w:p>
    <w:p>
      <w:pPr>
        <w:adjustRightInd/>
        <w:spacing w:line="360" w:lineRule="auto"/>
        <w:ind w:firstLine="371" w:firstLineChars="177"/>
        <w:jc w:val="left"/>
        <w:outlineLvl w:val="3"/>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.5.9 电梯安装调试（包括整机性能试验）过程，中标人应作详细检验记录。</w:t>
      </w:r>
    </w:p>
    <w:p>
      <w:pPr>
        <w:adjustRightInd/>
        <w:spacing w:line="360" w:lineRule="auto"/>
        <w:ind w:firstLine="371" w:firstLineChars="177"/>
        <w:jc w:val="left"/>
        <w:outlineLvl w:val="3"/>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.5.10 安装调试和试运行结束后，由中标人负责联系监检机构会同发包人按验收标准进行联合验收并办理电梯使用许可证，按交钥匙工程的方式移交给发包人使用。所发生的一切费用均已包含在投标总价中。</w:t>
      </w:r>
    </w:p>
    <w:p>
      <w:pPr>
        <w:adjustRightInd/>
        <w:spacing w:line="360" w:lineRule="auto"/>
        <w:ind w:firstLine="371" w:firstLineChars="177"/>
        <w:jc w:val="left"/>
        <w:outlineLvl w:val="2"/>
        <w:rPr>
          <w:rFonts w:hint="eastAsia" w:ascii="宋体" w:hAnsi="宋体" w:cs="宋体"/>
          <w:color w:val="0000FF"/>
          <w:sz w:val="21"/>
          <w:szCs w:val="21"/>
          <w:u w:val="single"/>
          <w:shd w:val="clear" w:color="auto" w:fill="FFFFFF"/>
        </w:rPr>
      </w:pPr>
      <w:bookmarkStart w:id="1842" w:name="_Toc23625"/>
      <w:bookmarkStart w:id="1843" w:name="_Toc22381"/>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.6验收条件及标准</w:t>
      </w:r>
      <w:bookmarkEnd w:id="1842"/>
      <w:bookmarkEnd w:id="1843"/>
    </w:p>
    <w:p>
      <w:pPr>
        <w:adjustRightInd/>
        <w:spacing w:line="360" w:lineRule="auto"/>
        <w:ind w:firstLine="371" w:firstLineChars="177"/>
        <w:jc w:val="left"/>
        <w:outlineLvl w:val="3"/>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.6.1 验收依据：招标文件、投标文件、厂家货物技术标准说明及国家有关的质量标准规定，均为验收依据。</w:t>
      </w:r>
    </w:p>
    <w:p>
      <w:pPr>
        <w:adjustRightInd/>
        <w:spacing w:line="360" w:lineRule="auto"/>
        <w:ind w:firstLine="371" w:firstLineChars="177"/>
        <w:jc w:val="left"/>
        <w:outlineLvl w:val="3"/>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.6.2 投标人所投设备的验收应按照制造厂商的产品标准、中华人民共和国GB10058-2009《电梯技术条件》、GB10059-2009《电梯试验方法》、GB10060-2011《电梯安装验收规范》、GB7588-2003《电梯制造与安装安全规范》、GB50310-2002《电梯工程施工质量验收规范》、当地建筑劳动安全部门的电梯验收规范及招标文件中的相关规定。</w:t>
      </w:r>
    </w:p>
    <w:p>
      <w:pPr>
        <w:adjustRightInd/>
        <w:spacing w:line="360" w:lineRule="auto"/>
        <w:ind w:firstLine="371" w:firstLineChars="177"/>
        <w:jc w:val="left"/>
        <w:outlineLvl w:val="3"/>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.6.3 货物验收：中标人必须提供设备相关手续、品牌证书、 中文安装、品质保证书、使用及维护说明书。货物运抵发包人处后由双方对照采购清单及技术要求进行验收。</w:t>
      </w:r>
    </w:p>
    <w:p>
      <w:pPr>
        <w:adjustRightInd/>
        <w:spacing w:line="360" w:lineRule="auto"/>
        <w:ind w:firstLine="371" w:firstLineChars="177"/>
        <w:jc w:val="left"/>
        <w:outlineLvl w:val="3"/>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.6.4 系统验收：中标人根据招标要求进行设备安装、调试、测试后，由发包人或相关部门进行使用方面的验收。</w:t>
      </w:r>
    </w:p>
    <w:p>
      <w:pPr>
        <w:pStyle w:val="59"/>
        <w:numPr>
          <w:ilvl w:val="-1"/>
          <w:numId w:val="0"/>
        </w:numPr>
        <w:ind w:left="0" w:firstLineChars="200"/>
        <w:rPr>
          <w:rFonts w:hint="eastAsia" w:ascii="宋体" w:hAnsi="宋体" w:cs="宋体"/>
          <w:color w:val="0000FF"/>
          <w:sz w:val="21"/>
          <w:szCs w:val="21"/>
          <w:u w:val="single"/>
          <w:shd w:val="clear" w:color="auto" w:fill="FFFFFF"/>
        </w:rPr>
      </w:pPr>
      <w:r>
        <w:rPr>
          <w:rFonts w:hint="eastAsia" w:ascii="宋体" w:hAnsi="宋体" w:eastAsia="宋体" w:cs="宋体"/>
          <w:color w:val="0000FF"/>
          <w:sz w:val="21"/>
          <w:szCs w:val="21"/>
          <w:u w:val="single"/>
          <w:shd w:val="clear" w:color="auto" w:fill="FFFFFF"/>
          <w:lang w:eastAsia="zh-CN"/>
        </w:rPr>
        <w:t>3</w:t>
      </w:r>
      <w:r>
        <w:rPr>
          <w:rFonts w:hint="eastAsia" w:ascii="宋体" w:hAnsi="宋体" w:cs="宋体"/>
          <w:color w:val="0000FF"/>
          <w:sz w:val="21"/>
          <w:szCs w:val="21"/>
          <w:u w:val="single"/>
          <w:shd w:val="clear" w:color="auto" w:fill="FFFFFF"/>
        </w:rPr>
        <w:t>.6.5 发包人有权委托我国相关具有检验资质的部门、单位、机构针对货物的精度（软硬件）、性能等进行检验。其检验结果将作为验收标准的组成部分之一。</w:t>
      </w:r>
    </w:p>
    <w:p>
      <w:pPr>
        <w:pStyle w:val="59"/>
        <w:numPr>
          <w:ilvl w:val="-1"/>
          <w:numId w:val="0"/>
        </w:numPr>
        <w:ind w:left="0" w:firstLineChars="200"/>
        <w:rPr>
          <w:rFonts w:hint="eastAsia" w:ascii="宋体" w:hAnsi="宋体" w:cs="宋体"/>
          <w:b/>
          <w:bCs/>
          <w:color w:val="0000FF"/>
          <w:szCs w:val="21"/>
          <w:u w:val="single"/>
          <w:shd w:val="clear" w:color="auto" w:fill="FFFFFF"/>
        </w:rPr>
      </w:pPr>
      <w:r>
        <w:rPr>
          <w:rFonts w:hint="eastAsia" w:ascii="宋体" w:hAnsi="宋体" w:cs="宋体"/>
          <w:b/>
          <w:bCs/>
          <w:color w:val="0000FF"/>
          <w:szCs w:val="21"/>
          <w:u w:val="single"/>
          <w:shd w:val="clear" w:color="auto" w:fill="FFFFFF"/>
          <w:lang w:eastAsia="zh-CN"/>
        </w:rPr>
        <w:t>4</w:t>
      </w:r>
      <w:r>
        <w:rPr>
          <w:rFonts w:hint="eastAsia" w:ascii="宋体" w:hAnsi="宋体" w:cs="宋体"/>
          <w:b/>
          <w:bCs/>
          <w:color w:val="0000FF"/>
          <w:szCs w:val="21"/>
          <w:u w:val="single"/>
          <w:shd w:val="clear" w:color="auto" w:fill="FFFFFF"/>
        </w:rPr>
        <w:t>.柴油发电机组主要技术参数及配置要求：</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lang w:eastAsia="zh-CN"/>
        </w:rPr>
        <w:t>4</w:t>
      </w:r>
      <w:r>
        <w:rPr>
          <w:rFonts w:hint="eastAsia" w:ascii="宋体" w:hAnsi="宋体" w:cs="宋体"/>
          <w:color w:val="0000FF"/>
          <w:szCs w:val="21"/>
          <w:u w:val="single"/>
          <w:shd w:val="clear" w:color="auto" w:fill="FFFFFF"/>
        </w:rPr>
        <w:t>.1 机组必须为全新未经使用的标准一体式产品，为原厂原装整机。发包人不接受非标产品（以生产厂家提供的正式原装样本为准）。所有设备的技术规范应符合招标文件中所列的技术要求；并且投标人承诺所提供的设备为当年生产的、全新的、先进的、成熟的、完整的和安全可靠的设备，且设备的技术经济性能符合招标文件的要求。</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lang w:eastAsia="zh-CN"/>
        </w:rPr>
        <w:t>4</w:t>
      </w:r>
      <w:r>
        <w:rPr>
          <w:rFonts w:hint="eastAsia" w:ascii="宋体" w:hAnsi="宋体" w:cs="宋体"/>
          <w:color w:val="0000FF"/>
          <w:szCs w:val="21"/>
          <w:u w:val="single"/>
          <w:shd w:val="clear" w:color="auto" w:fill="FFFFFF"/>
        </w:rPr>
        <w:t>.2烟气净化装置  排烟系统：配备消音功能大于25dB的消音器、膨胀节 。发动机应通过《GB20891-2014 非道路移动机械用柴油机排气污染物排放限值及测量方法(中国第三、四阶段）》中非道路第三阶段排放认证和发动机耐久性认证，应确保处理后的烟气在满足消防及环保的验收条件下，可直接经排风井首层低空排出。额定功率运行工况条件下，排烟尾气应满足国家环保标准（HJ/T398-2007）《固定污染源排放烟气黑度的测定》，林格曼黑度≤1 级，净化后排烟（风）口的温度不大于90摄氏度。</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lang w:eastAsia="zh-CN"/>
        </w:rPr>
        <w:t>4</w:t>
      </w:r>
      <w:r>
        <w:rPr>
          <w:rFonts w:hint="eastAsia" w:ascii="宋体" w:hAnsi="宋体" w:cs="宋体"/>
          <w:color w:val="0000FF"/>
          <w:szCs w:val="21"/>
          <w:u w:val="single"/>
          <w:shd w:val="clear" w:color="auto" w:fill="FFFFFF"/>
        </w:rPr>
        <w:t>.3设备合同签订后10个工作日内，中标人向发包人提供详细的设备基础图，包括尺寸及施工要求等，并配合现场相关单位进行预埋等工作。</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lang w:eastAsia="zh-CN"/>
        </w:rPr>
        <w:t>4</w:t>
      </w:r>
      <w:r>
        <w:rPr>
          <w:rFonts w:hint="eastAsia" w:ascii="宋体" w:hAnsi="宋体" w:cs="宋体"/>
          <w:color w:val="0000FF"/>
          <w:szCs w:val="21"/>
          <w:u w:val="single"/>
          <w:shd w:val="clear" w:color="auto" w:fill="FFFFFF"/>
        </w:rPr>
        <w:t>.4中标人应仔细核对原建筑设计图纸的机房尺寸能否满足投标设备安装使用要求，如原建筑设计的机房尺寸需要做适当调整才能满足要求的，中标人应及时与原设计单位的设计修改协调工作。由此发生的一切费用由中标人自行解决。</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lang w:eastAsia="zh-CN"/>
        </w:rPr>
        <w:t>4</w:t>
      </w:r>
      <w:r>
        <w:rPr>
          <w:rFonts w:hint="eastAsia" w:ascii="宋体" w:hAnsi="宋体" w:cs="宋体"/>
          <w:color w:val="0000FF"/>
          <w:szCs w:val="21"/>
          <w:u w:val="single"/>
          <w:shd w:val="clear" w:color="auto" w:fill="FFFFFF"/>
        </w:rPr>
        <w:t>.5柴油发电机组内容包含但不限于：柴油发电机组1套（包括：柴油发动机、发电机、机组控制柜、钢底座、减震器），随机配件：蓄电池、市电浮充器，日用燃油箱（满足8小时用油），油水分离器、排风管、随机文件（含说明书、合格证和产地质量证明文件、出厂测试报告等完整资料）等全套设备资料。</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lang w:eastAsia="zh-CN"/>
        </w:rPr>
        <w:t>4</w:t>
      </w:r>
      <w:r>
        <w:rPr>
          <w:rFonts w:hint="eastAsia" w:ascii="宋体" w:hAnsi="宋体" w:cs="宋体"/>
          <w:color w:val="0000FF"/>
          <w:szCs w:val="21"/>
          <w:u w:val="single"/>
          <w:shd w:val="clear" w:color="auto" w:fill="FFFFFF"/>
        </w:rPr>
        <w:t>.6主要技术参数：</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lang w:eastAsia="zh-CN"/>
        </w:rPr>
        <w:t>4</w:t>
      </w:r>
      <w:r>
        <w:rPr>
          <w:rFonts w:hint="eastAsia" w:ascii="宋体" w:hAnsi="宋体" w:cs="宋体"/>
          <w:color w:val="0000FF"/>
          <w:szCs w:val="21"/>
          <w:u w:val="single"/>
          <w:shd w:val="clear" w:color="auto" w:fill="FFFFFF"/>
        </w:rPr>
        <w:t>.6.1发电机组额定功率（12小时功率）：额定功率800KW(备载功率880KW)。</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lang w:eastAsia="zh-CN"/>
        </w:rPr>
        <w:t>4</w:t>
      </w:r>
      <w:r>
        <w:rPr>
          <w:rFonts w:hint="eastAsia" w:ascii="宋体" w:hAnsi="宋体" w:cs="宋体"/>
          <w:color w:val="0000FF"/>
          <w:szCs w:val="21"/>
          <w:u w:val="single"/>
          <w:shd w:val="clear" w:color="auto" w:fill="FFFFFF"/>
        </w:rPr>
        <w:t>.6.2额定转速为1500转/分。</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lang w:eastAsia="zh-CN"/>
        </w:rPr>
        <w:t>4</w:t>
      </w:r>
      <w:r>
        <w:rPr>
          <w:rFonts w:hint="eastAsia" w:ascii="宋体" w:hAnsi="宋体" w:cs="宋体"/>
          <w:color w:val="0000FF"/>
          <w:szCs w:val="21"/>
          <w:u w:val="single"/>
          <w:shd w:val="clear" w:color="auto" w:fill="FFFFFF"/>
        </w:rPr>
        <w:t>.6.3额定电压：三相交流400/230V。</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lang w:eastAsia="zh-CN"/>
        </w:rPr>
        <w:t>4</w:t>
      </w:r>
      <w:r>
        <w:rPr>
          <w:rFonts w:hint="eastAsia" w:ascii="宋体" w:hAnsi="宋体" w:cs="宋体"/>
          <w:color w:val="0000FF"/>
          <w:szCs w:val="21"/>
          <w:u w:val="single"/>
          <w:shd w:val="clear" w:color="auto" w:fill="FFFFFF"/>
        </w:rPr>
        <w:t>.6.4额定频率：50HZ。</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lang w:eastAsia="zh-CN"/>
        </w:rPr>
        <w:t>4</w:t>
      </w:r>
      <w:r>
        <w:rPr>
          <w:rFonts w:hint="eastAsia" w:ascii="宋体" w:hAnsi="宋体" w:cs="宋体"/>
          <w:color w:val="0000FF"/>
          <w:szCs w:val="21"/>
          <w:u w:val="single"/>
          <w:shd w:val="clear" w:color="auto" w:fill="FFFFFF"/>
        </w:rPr>
        <w:t>.6.5功率因数：0.8（滞后）。</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lang w:eastAsia="zh-CN"/>
        </w:rPr>
        <w:t>4</w:t>
      </w:r>
      <w:r>
        <w:rPr>
          <w:rFonts w:hint="eastAsia" w:ascii="宋体" w:hAnsi="宋体" w:cs="宋体"/>
          <w:color w:val="0000FF"/>
          <w:szCs w:val="21"/>
          <w:u w:val="single"/>
          <w:shd w:val="clear" w:color="auto" w:fill="FFFFFF"/>
        </w:rPr>
        <w:t>.6.6稳定电压调整率≤±1%。</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lang w:eastAsia="zh-CN"/>
        </w:rPr>
        <w:t>4</w:t>
      </w:r>
      <w:r>
        <w:rPr>
          <w:rFonts w:hint="eastAsia" w:ascii="宋体" w:hAnsi="宋体" w:cs="宋体"/>
          <w:color w:val="0000FF"/>
          <w:szCs w:val="21"/>
          <w:u w:val="single"/>
          <w:shd w:val="clear" w:color="auto" w:fill="FFFFFF"/>
        </w:rPr>
        <w:t>.6.7瞬态电压调整率≤±15%。</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lang w:eastAsia="zh-CN"/>
        </w:rPr>
        <w:t>4</w:t>
      </w:r>
      <w:r>
        <w:rPr>
          <w:rFonts w:hint="eastAsia" w:ascii="宋体" w:hAnsi="宋体" w:cs="宋体"/>
          <w:color w:val="0000FF"/>
          <w:szCs w:val="21"/>
          <w:u w:val="single"/>
          <w:shd w:val="clear" w:color="auto" w:fill="FFFFFF"/>
        </w:rPr>
        <w:t>.6.8电压稳定时间≤1S。</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lang w:eastAsia="zh-CN"/>
        </w:rPr>
        <w:t>4</w:t>
      </w:r>
      <w:r>
        <w:rPr>
          <w:rFonts w:hint="eastAsia" w:ascii="宋体" w:hAnsi="宋体" w:cs="宋体"/>
          <w:color w:val="0000FF"/>
          <w:szCs w:val="21"/>
          <w:u w:val="single"/>
          <w:shd w:val="clear" w:color="auto" w:fill="FFFFFF"/>
        </w:rPr>
        <w:t>.6.9电压波动率≤2%。</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lang w:eastAsia="zh-CN"/>
        </w:rPr>
        <w:t>4</w:t>
      </w:r>
      <w:r>
        <w:rPr>
          <w:rFonts w:hint="eastAsia" w:ascii="宋体" w:hAnsi="宋体" w:cs="宋体"/>
          <w:color w:val="0000FF"/>
          <w:szCs w:val="21"/>
          <w:u w:val="single"/>
          <w:shd w:val="clear" w:color="auto" w:fill="FFFFFF"/>
        </w:rPr>
        <w:t>.6.10稳态频率调整率：从空载至满载负荷变化时，频率不变。</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lang w:eastAsia="zh-CN"/>
        </w:rPr>
        <w:t>4</w:t>
      </w:r>
      <w:r>
        <w:rPr>
          <w:rFonts w:hint="eastAsia" w:ascii="宋体" w:hAnsi="宋体" w:cs="宋体"/>
          <w:color w:val="0000FF"/>
          <w:szCs w:val="21"/>
          <w:u w:val="single"/>
          <w:shd w:val="clear" w:color="auto" w:fill="FFFFFF"/>
        </w:rPr>
        <w:t>.6.11瞬态频率调整≤5％。</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lang w:eastAsia="zh-CN"/>
        </w:rPr>
        <w:t>4</w:t>
      </w:r>
      <w:r>
        <w:rPr>
          <w:rFonts w:hint="eastAsia" w:ascii="宋体" w:hAnsi="宋体" w:cs="宋体"/>
          <w:color w:val="0000FF"/>
          <w:szCs w:val="21"/>
          <w:u w:val="single"/>
          <w:shd w:val="clear" w:color="auto" w:fill="FFFFFF"/>
        </w:rPr>
        <w:t>.6.12频率稳定时间≤5S。</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lang w:eastAsia="zh-CN"/>
        </w:rPr>
        <w:t>4</w:t>
      </w:r>
      <w:r>
        <w:rPr>
          <w:rFonts w:hint="eastAsia" w:ascii="宋体" w:hAnsi="宋体" w:cs="宋体"/>
          <w:color w:val="0000FF"/>
          <w:szCs w:val="21"/>
          <w:u w:val="single"/>
          <w:shd w:val="clear" w:color="auto" w:fill="FFFFFF"/>
        </w:rPr>
        <w:t>.6.13频率波动率≤0.5％。</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lang w:eastAsia="zh-CN"/>
        </w:rPr>
        <w:t>4</w:t>
      </w:r>
      <w:r>
        <w:rPr>
          <w:rFonts w:hint="eastAsia" w:ascii="宋体" w:hAnsi="宋体" w:cs="宋体"/>
          <w:color w:val="0000FF"/>
          <w:szCs w:val="21"/>
          <w:u w:val="single"/>
          <w:shd w:val="clear" w:color="auto" w:fill="FFFFFF"/>
        </w:rPr>
        <w:t>.6.14机组启动时间：≤5秒。</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lang w:eastAsia="zh-CN"/>
        </w:rPr>
        <w:t>4</w:t>
      </w:r>
      <w:r>
        <w:rPr>
          <w:rFonts w:hint="eastAsia" w:ascii="宋体" w:hAnsi="宋体" w:cs="宋体"/>
          <w:color w:val="0000FF"/>
          <w:szCs w:val="21"/>
          <w:u w:val="single"/>
          <w:shd w:val="clear" w:color="auto" w:fill="FFFFFF"/>
        </w:rPr>
        <w:t>.6.15按机组标定额定功率可持续正常运行时间≥12小时。</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lang w:eastAsia="zh-CN"/>
        </w:rPr>
        <w:t>4</w:t>
      </w:r>
      <w:r>
        <w:rPr>
          <w:rFonts w:hint="eastAsia" w:ascii="宋体" w:hAnsi="宋体" w:cs="宋体"/>
          <w:color w:val="0000FF"/>
          <w:szCs w:val="21"/>
          <w:u w:val="single"/>
          <w:shd w:val="clear" w:color="auto" w:fill="FFFFFF"/>
        </w:rPr>
        <w:t>.7主要技术要求</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lang w:eastAsia="zh-CN"/>
        </w:rPr>
        <w:t>4</w:t>
      </w:r>
      <w:r>
        <w:rPr>
          <w:rFonts w:hint="eastAsia" w:ascii="宋体" w:hAnsi="宋体" w:cs="宋体"/>
          <w:color w:val="0000FF"/>
          <w:szCs w:val="21"/>
          <w:u w:val="single"/>
          <w:shd w:val="clear" w:color="auto" w:fill="FFFFFF"/>
        </w:rPr>
        <w:t>.7.1机组设备的制造标准及技术规范等有关要求必须符合我国相应的有关标准、规范要求:</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lang w:eastAsia="zh-CN"/>
        </w:rPr>
        <w:t>4</w:t>
      </w:r>
      <w:r>
        <w:rPr>
          <w:rFonts w:hint="eastAsia" w:ascii="宋体" w:hAnsi="宋体" w:cs="宋体"/>
          <w:color w:val="0000FF"/>
          <w:szCs w:val="21"/>
          <w:u w:val="single"/>
          <w:shd w:val="clear" w:color="auto" w:fill="FFFFFF"/>
        </w:rPr>
        <w:t>.7.1.1所报设备的功率不允许负偏差。</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lang w:eastAsia="zh-CN"/>
        </w:rPr>
        <w:t>4</w:t>
      </w:r>
      <w:r>
        <w:rPr>
          <w:rFonts w:hint="eastAsia" w:ascii="宋体" w:hAnsi="宋体" w:cs="宋体"/>
          <w:color w:val="0000FF"/>
          <w:szCs w:val="21"/>
          <w:u w:val="single"/>
          <w:shd w:val="clear" w:color="auto" w:fill="FFFFFF"/>
        </w:rPr>
        <w:t>.7.1.2柴油发动机要求节能、运行成本低，具有低噪音、省燃油等特点，要求符合我国消防、GB20891-2014 非道路移动机械用柴油机排气污染物排放限值中的中国第三阶段要求等有关标准。在标书中要求注明柴油机油耗、（噪音指示）及燃气量等。</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lang w:eastAsia="zh-CN"/>
        </w:rPr>
        <w:t>4</w:t>
      </w:r>
      <w:r>
        <w:rPr>
          <w:rFonts w:hint="eastAsia" w:ascii="宋体" w:hAnsi="宋体" w:cs="宋体"/>
          <w:color w:val="0000FF"/>
          <w:szCs w:val="21"/>
          <w:u w:val="single"/>
          <w:shd w:val="clear" w:color="auto" w:fill="FFFFFF"/>
        </w:rPr>
        <w:t>.7.1.3机房降噪工程</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lang w:eastAsia="zh-CN"/>
        </w:rPr>
        <w:t>4</w:t>
      </w:r>
      <w:r>
        <w:rPr>
          <w:rFonts w:hint="eastAsia" w:ascii="宋体" w:hAnsi="宋体" w:cs="宋体"/>
          <w:color w:val="0000FF"/>
          <w:szCs w:val="21"/>
          <w:u w:val="single"/>
          <w:shd w:val="clear" w:color="auto" w:fill="FFFFFF"/>
        </w:rPr>
        <w:t>.7.1.3.1机房的墙面采用轻钢龙骨冲孔硅酸钙板6mm厚内填充100mm厚吸音棉及玻璃布，天棚采用轻钢龙骨硅酸钙板6mm厚内填充100mm厚吸音棉。</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lang w:eastAsia="zh-CN"/>
        </w:rPr>
        <w:t>4</w:t>
      </w:r>
      <w:r>
        <w:rPr>
          <w:rFonts w:hint="eastAsia" w:ascii="宋体" w:hAnsi="宋体" w:cs="宋体"/>
          <w:color w:val="0000FF"/>
          <w:szCs w:val="21"/>
          <w:u w:val="single"/>
          <w:shd w:val="clear" w:color="auto" w:fill="FFFFFF"/>
        </w:rPr>
        <w:t>.7.1.3.2机房降噪工程完工后符合GB3096-2008“声环境质量标准”达到I类标准，白天≤55分贝，夜间≤45分贝，须满足厦门环保验收要求。</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lang w:eastAsia="zh-CN"/>
        </w:rPr>
        <w:t>4</w:t>
      </w:r>
      <w:r>
        <w:rPr>
          <w:rFonts w:hint="eastAsia" w:ascii="宋体" w:hAnsi="宋体" w:cs="宋体"/>
          <w:color w:val="0000FF"/>
          <w:szCs w:val="21"/>
          <w:u w:val="single"/>
          <w:shd w:val="clear" w:color="auto" w:fill="FFFFFF"/>
        </w:rPr>
        <w:t>.7.1.4机组正常使用安全可靠，寿命长，要求机组第一次大修期为运行20000小时后。</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lang w:eastAsia="zh-CN"/>
        </w:rPr>
        <w:t>4</w:t>
      </w:r>
      <w:r>
        <w:rPr>
          <w:rFonts w:hint="eastAsia" w:ascii="宋体" w:hAnsi="宋体" w:cs="宋体"/>
          <w:color w:val="0000FF"/>
          <w:szCs w:val="21"/>
          <w:u w:val="single"/>
          <w:shd w:val="clear" w:color="auto" w:fill="FFFFFF"/>
        </w:rPr>
        <w:t>.7.1.5发电机的特征与发动机的转矩特征性相匹配，使发电机满载时能充分利用发动机动率而不超载。</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lang w:eastAsia="zh-CN"/>
        </w:rPr>
        <w:t>4</w:t>
      </w:r>
      <w:r>
        <w:rPr>
          <w:rFonts w:hint="eastAsia" w:ascii="宋体" w:hAnsi="宋体" w:cs="宋体"/>
          <w:color w:val="0000FF"/>
          <w:szCs w:val="21"/>
          <w:u w:val="single"/>
          <w:shd w:val="clear" w:color="auto" w:fill="FFFFFF"/>
        </w:rPr>
        <w:t>.7.1.6柴油机与交流发电机之间直接刚性连接，水平连轴，防滴、网护式保护，整机需设有弹簧减震装置与地板隔离，机组运行震动小，不会将震动传到邻近的设备或建筑物的其他部分。</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lang w:eastAsia="zh-CN"/>
        </w:rPr>
        <w:t>4</w:t>
      </w:r>
      <w:r>
        <w:rPr>
          <w:rFonts w:hint="eastAsia" w:ascii="宋体" w:hAnsi="宋体" w:cs="宋体"/>
          <w:color w:val="0000FF"/>
          <w:szCs w:val="21"/>
          <w:u w:val="single"/>
          <w:shd w:val="clear" w:color="auto" w:fill="FFFFFF"/>
        </w:rPr>
        <w:t>.7.1.7发电机抗电磁干扰能力符合BS800标准，VDE等级在G和N之间。</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lang w:eastAsia="zh-CN"/>
        </w:rPr>
        <w:t>4</w:t>
      </w:r>
      <w:r>
        <w:rPr>
          <w:rFonts w:hint="eastAsia" w:ascii="宋体" w:hAnsi="宋体" w:cs="宋体"/>
          <w:color w:val="0000FF"/>
          <w:szCs w:val="21"/>
          <w:u w:val="single"/>
          <w:shd w:val="clear" w:color="auto" w:fill="FFFFFF"/>
        </w:rPr>
        <w:t>.7.1.8绝缘等级要求为H级，达到IP23防护等级，能满足最恶劣工况下的正常使用。</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lang w:eastAsia="zh-CN"/>
        </w:rPr>
        <w:t>4</w:t>
      </w:r>
      <w:r>
        <w:rPr>
          <w:rFonts w:hint="eastAsia" w:ascii="宋体" w:hAnsi="宋体" w:cs="宋体"/>
          <w:color w:val="0000FF"/>
          <w:szCs w:val="21"/>
          <w:u w:val="single"/>
          <w:shd w:val="clear" w:color="auto" w:fill="FFFFFF"/>
        </w:rPr>
        <w:t>.7.1.9机组为柴油机、发电机、控制系统（柜）、冷却水箱、盘底一体化设计的标准化、成套化产品。</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lang w:eastAsia="zh-CN"/>
        </w:rPr>
        <w:t>4</w:t>
      </w:r>
      <w:r>
        <w:rPr>
          <w:rFonts w:hint="eastAsia" w:ascii="宋体" w:hAnsi="宋体" w:cs="宋体"/>
          <w:color w:val="0000FF"/>
          <w:szCs w:val="21"/>
          <w:u w:val="single"/>
          <w:shd w:val="clear" w:color="auto" w:fill="FFFFFF"/>
        </w:rPr>
        <w:t>.7.2柴油发动机技术要求：</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lang w:eastAsia="zh-CN"/>
        </w:rPr>
        <w:t>4</w:t>
      </w:r>
      <w:r>
        <w:rPr>
          <w:rFonts w:hint="eastAsia" w:ascii="宋体" w:hAnsi="宋体" w:cs="宋体"/>
          <w:color w:val="0000FF"/>
          <w:szCs w:val="21"/>
          <w:u w:val="single"/>
          <w:shd w:val="clear" w:color="auto" w:fill="FFFFFF"/>
        </w:rPr>
        <w:t>.7.2.1电动启动系统：</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rPr>
        <w:t>a、蓄电池组：应配备足够容量（Ah）和放电功率的直流发动机启动的免维护蓄电池组，该蓄电池组能提供30秒内连续6次启动（每次间隔为5秒）的容量，并不会给蓄电池造成损害；机组控制系统配备蓄电池充电器，蓄电池充电器要求采用恒压式充电器，并带市电（AC220V，单相）充电输入端，具有脉冲阻尼器、控制装置、浮充和补充充电选择、入电指标、防止过充电保护功能和显示及充电失败报警等功能。</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rPr>
        <w:t>b启动方式：直流马达起动、可手动、自动、远程启动；</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rPr>
        <w:t>c发电机组启动性能要求在﹣5℃以上不经预热可直接起动，当配电系统市电全部消失，机组应在5秒内完成自动启动，10～15秒钟内电压达到额定值并可投入100%负荷（从空载到满载的负载时间不大于15秒）；当市电恢复后，机组经120S延时冷却后自动停机。</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rPr>
        <w:t>d自动启停控制系统应可连续做三次启动，若在连续三次起动（每次间隔5秒）后仍无法起动，机组自动停止操作，并自锁和发出声光报警信号，直至起动自锁装置手动复位。</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rPr>
        <w:t>e额定速度（转/分）为1500 rpm，发动机曲轴转速不超过1500rpm；并需设有超速及紧急停车保护装置。</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lang w:eastAsia="zh-CN"/>
        </w:rPr>
        <w:t>4</w:t>
      </w:r>
      <w:r>
        <w:rPr>
          <w:rFonts w:hint="eastAsia" w:ascii="宋体" w:hAnsi="宋体" w:cs="宋体"/>
          <w:color w:val="0000FF"/>
          <w:szCs w:val="21"/>
          <w:u w:val="single"/>
          <w:shd w:val="clear" w:color="auto" w:fill="FFFFFF"/>
        </w:rPr>
        <w:t>.7.2.2燃油喷射系统：</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rPr>
        <w:t>a调速器： ECU电控/电子调速；</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rPr>
        <w:t>b发动机使用国产0号或－10号轻柴油，并遵循BS5514标准；</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rPr>
        <w:t>c燃油箱：日用油箱容油量可供满载运行8小时，但最大不能超过1000升；箱上应配备相应的加油口、油位观察管阀、排空阀、供回油管路，进油管上需安装常开式电磁阀及通往室外的通气管和不锈钢阻火透气帽等。</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lang w:eastAsia="zh-CN"/>
        </w:rPr>
        <w:t>4</w:t>
      </w:r>
      <w:r>
        <w:rPr>
          <w:rFonts w:hint="eastAsia" w:ascii="宋体" w:hAnsi="宋体" w:cs="宋体"/>
          <w:color w:val="0000FF"/>
          <w:szCs w:val="21"/>
          <w:u w:val="single"/>
          <w:shd w:val="clear" w:color="auto" w:fill="FFFFFF"/>
        </w:rPr>
        <w:t>.7.2.3 润滑系统：密封压力供油润滑系统配有机械润滑油泵、润滑油冷却器、润滑油滤清器和润滑油油位尺标等。</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lang w:eastAsia="zh-CN"/>
        </w:rPr>
        <w:t>4</w:t>
      </w:r>
      <w:r>
        <w:rPr>
          <w:rFonts w:hint="eastAsia" w:ascii="宋体" w:hAnsi="宋体" w:cs="宋体"/>
          <w:color w:val="0000FF"/>
          <w:szCs w:val="21"/>
          <w:u w:val="single"/>
          <w:shd w:val="clear" w:color="auto" w:fill="FFFFFF"/>
        </w:rPr>
        <w:t>.7.2.4 进气系统：采用涡轮增压中冷进气技术，并配有可更换的干式空气滤清器，包括一个滤清器阻塞自动报警装置。</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lang w:eastAsia="zh-CN"/>
        </w:rPr>
        <w:t>4</w:t>
      </w:r>
      <w:r>
        <w:rPr>
          <w:rFonts w:hint="eastAsia" w:ascii="宋体" w:hAnsi="宋体" w:cs="宋体"/>
          <w:color w:val="0000FF"/>
          <w:szCs w:val="21"/>
          <w:u w:val="single"/>
          <w:shd w:val="clear" w:color="auto" w:fill="FFFFFF"/>
        </w:rPr>
        <w:t>.7.2.5 排气系统：</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rPr>
        <w:t>a 排气系统应包括消音功能不小于25dB的消音器、弯管、波纹管。</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rPr>
        <w:t>b发动机与消音器、消音器与排烟管间均采用不锈钢波纹管连接，其所有连接均使用具有耐热接合的法兰连接，外覆耐火隔热装置，并需有保证外观美观的措施。</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lang w:eastAsia="zh-CN"/>
        </w:rPr>
        <w:t>4</w:t>
      </w:r>
      <w:r>
        <w:rPr>
          <w:rFonts w:hint="eastAsia" w:ascii="宋体" w:hAnsi="宋体" w:cs="宋体"/>
          <w:color w:val="0000FF"/>
          <w:szCs w:val="21"/>
          <w:u w:val="single"/>
          <w:shd w:val="clear" w:color="auto" w:fill="FFFFFF"/>
        </w:rPr>
        <w:t>.7.2.6 冷却系统：风冷式自带风扇水箱封闭水循环。</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lang w:eastAsia="zh-CN"/>
        </w:rPr>
        <w:t>4</w:t>
      </w:r>
      <w:r>
        <w:rPr>
          <w:rFonts w:hint="eastAsia" w:ascii="宋体" w:hAnsi="宋体" w:cs="宋体"/>
          <w:color w:val="0000FF"/>
          <w:szCs w:val="21"/>
          <w:u w:val="single"/>
          <w:shd w:val="clear" w:color="auto" w:fill="FFFFFF"/>
        </w:rPr>
        <w:t>.7.3 发电机技术要求：</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lang w:eastAsia="zh-CN"/>
        </w:rPr>
        <w:t>4</w:t>
      </w:r>
      <w:r>
        <w:rPr>
          <w:rFonts w:hint="eastAsia" w:ascii="宋体" w:hAnsi="宋体" w:cs="宋体"/>
          <w:color w:val="0000FF"/>
          <w:szCs w:val="21"/>
          <w:u w:val="single"/>
          <w:shd w:val="clear" w:color="auto" w:fill="FFFFFF"/>
        </w:rPr>
        <w:t>.7.3.1发电机额定功率详图纸、输出电压为三相交流400/230V；三相四线制，Y型接法，中性点直接接地。</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lang w:eastAsia="zh-CN"/>
        </w:rPr>
        <w:t>4</w:t>
      </w:r>
      <w:r>
        <w:rPr>
          <w:rFonts w:hint="eastAsia" w:ascii="宋体" w:hAnsi="宋体" w:cs="宋体"/>
          <w:color w:val="0000FF"/>
          <w:szCs w:val="21"/>
          <w:u w:val="single"/>
          <w:shd w:val="clear" w:color="auto" w:fill="FFFFFF"/>
        </w:rPr>
        <w:t>.7.3.2励磁方式：无刷自动励磁，具有AVR自动调压功能。</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lang w:eastAsia="zh-CN"/>
        </w:rPr>
        <w:t>4</w:t>
      </w:r>
      <w:r>
        <w:rPr>
          <w:rFonts w:hint="eastAsia" w:ascii="宋体" w:hAnsi="宋体" w:cs="宋体"/>
          <w:color w:val="0000FF"/>
          <w:szCs w:val="21"/>
          <w:u w:val="single"/>
          <w:shd w:val="clear" w:color="auto" w:fill="FFFFFF"/>
        </w:rPr>
        <w:t>.7.3.3发电机的过载能力应能经受3倍额定电流的过载输出10秒钟和经受单相负荷不大于额定电流的三相不平衡输出的能力；并具有短路保护、超负载保护的功能。</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lang w:val="en-US" w:eastAsia="zh-CN"/>
        </w:rPr>
        <w:t>4</w:t>
      </w:r>
      <w:r>
        <w:rPr>
          <w:rFonts w:hint="eastAsia" w:ascii="宋体" w:hAnsi="宋体" w:cs="宋体"/>
          <w:color w:val="0000FF"/>
          <w:szCs w:val="21"/>
          <w:u w:val="single"/>
          <w:shd w:val="clear" w:color="auto" w:fill="FFFFFF"/>
        </w:rPr>
        <w:t>.7.3.4电压调整:具备一套自动电压调整系统，在设计参数范围内，电子自动调整输出电压，使发电机接线端的输出电压在稳态电流条件下从空载到满载都保持在其额定值的±0.5%内。其电压调整系统的性能达到BS4999所规定的VR2.23级。</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lang w:eastAsia="zh-CN"/>
        </w:rPr>
        <w:t>4</w:t>
      </w:r>
      <w:r>
        <w:rPr>
          <w:rFonts w:hint="eastAsia" w:ascii="宋体" w:hAnsi="宋体" w:cs="宋体"/>
          <w:color w:val="0000FF"/>
          <w:szCs w:val="21"/>
          <w:u w:val="single"/>
          <w:shd w:val="clear" w:color="auto" w:fill="FFFFFF"/>
        </w:rPr>
        <w:t>.7.4 机组控制柜及控制功能要求：</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lang w:eastAsia="zh-CN"/>
        </w:rPr>
        <w:t>4</w:t>
      </w:r>
      <w:r>
        <w:rPr>
          <w:rFonts w:hint="eastAsia" w:ascii="宋体" w:hAnsi="宋体" w:cs="宋体"/>
          <w:color w:val="0000FF"/>
          <w:szCs w:val="21"/>
          <w:u w:val="single"/>
          <w:shd w:val="clear" w:color="auto" w:fill="FFFFFF"/>
        </w:rPr>
        <w:t>.7.4.1 控制柜要求：</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rPr>
        <w:t>a要求采用全金属封闭式控制柜，其安装、设计采用可靠、防震的支承构架，能够承受机械、振动、电和热应力以及防潮的需要，其防护等级为IP54。</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rPr>
        <w:t>b控制柜要求配备保护性装置设备以防止控制电路中短路带来的不良后果。</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rPr>
        <w:t>c电气线路保护接地：要求采用大小适当的接地导线（软铜线编织带）以保证非带电部分金属的可靠接地。</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rPr>
        <w:t>d柜内的仪器和测量器械及其配线应以避免因移动门或盖子造成的机械损坏。</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rPr>
        <w:t>e柜内电气产品必须通过CCC认证。</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rPr>
        <w:t>F预留有足够的空间与接线端子方便输出电缆或密集式母线的安装（上出线）</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lang w:eastAsia="zh-CN"/>
        </w:rPr>
        <w:t>4</w:t>
      </w:r>
      <w:r>
        <w:rPr>
          <w:rFonts w:hint="eastAsia" w:ascii="宋体" w:hAnsi="宋体" w:cs="宋体"/>
          <w:color w:val="0000FF"/>
          <w:szCs w:val="21"/>
          <w:u w:val="single"/>
          <w:shd w:val="clear" w:color="auto" w:fill="FFFFFF"/>
        </w:rPr>
        <w:t>.6.4.2 控制功能要求：</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rPr>
        <w:t>柴油发电机控制系统要求为智能化控制，须具有以下功能：</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rPr>
        <w:t>a智能化控制系统的操作界面及图标说明要求为简体中文版本。</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rPr>
        <w:t>b具有自动/停止/手动功能的选择。</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rPr>
        <w:t>c设有试车、复位、消音、紧急停机按钮。</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rPr>
        <w:t>d带RS232或RS485接口，具有远程遥控、遥测的功能。</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rPr>
        <w:t>e具有根据机组电压、频率等控制输出电流主断路器装置的功能。</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rPr>
        <w:t>f能实现机组对设计参数的自动调节能力；</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rPr>
        <w:t>j精确、超前的自动监测，安全保护性能优越；能实现机组对各子系统的保护功能及系统的自检功能；</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rPr>
        <w:t>h具有发动机调速与发电机调电压集成控制的功能；</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rPr>
        <w:t>i能监测发动机和发电机的运行状态；实时显示发动机和发电机的运行步骤、状态（市电/发电机组工作状态指示等）、故障及各项参数（油温、油压、水温、运行时间、蓄电池电压、转速；输出功率、电压、电流、频率及功率因素等）。</w:t>
      </w:r>
    </w:p>
    <w:p>
      <w:pPr>
        <w:pStyle w:val="59"/>
        <w:numPr>
          <w:ilvl w:val="-1"/>
          <w:numId w:val="0"/>
        </w:numPr>
        <w:ind w:left="0" w:firstLineChars="200"/>
        <w:rPr>
          <w:rFonts w:hint="eastAsia" w:ascii="宋体" w:hAnsi="宋体" w:cs="宋体"/>
          <w:color w:val="0000FF"/>
          <w:szCs w:val="21"/>
          <w:u w:val="single"/>
          <w:shd w:val="clear" w:color="auto" w:fill="FFFFFF"/>
        </w:rPr>
      </w:pPr>
      <w:r>
        <w:rPr>
          <w:rFonts w:hint="eastAsia" w:ascii="宋体" w:hAnsi="宋体" w:cs="宋体"/>
          <w:color w:val="0000FF"/>
          <w:szCs w:val="21"/>
          <w:u w:val="single"/>
          <w:shd w:val="clear" w:color="auto" w:fill="FFFFFF"/>
        </w:rPr>
        <w:t>j在系统非正常运行时能实时声光报警：低润滑油压力、高冷却液温度、发动机超速、启动失败、低频率、过电流等。</w:t>
      </w:r>
    </w:p>
    <w:p>
      <w:pPr>
        <w:pStyle w:val="59"/>
        <w:numPr>
          <w:ilvl w:val="-1"/>
          <w:numId w:val="0"/>
        </w:numPr>
        <w:ind w:left="0" w:firstLineChars="200"/>
        <w:rPr>
          <w:rFonts w:hint="eastAsia" w:ascii="宋体" w:hAnsi="宋体" w:cs="宋体"/>
          <w:color w:val="0000FF"/>
          <w:sz w:val="21"/>
          <w:szCs w:val="21"/>
          <w:u w:val="single"/>
          <w:shd w:val="clear" w:color="auto" w:fill="FFFFFF"/>
        </w:rPr>
      </w:pPr>
      <w:r>
        <w:rPr>
          <w:rFonts w:hint="eastAsia" w:ascii="宋体" w:hAnsi="宋体" w:cs="宋体"/>
          <w:color w:val="0000FF"/>
          <w:szCs w:val="21"/>
          <w:u w:val="single"/>
          <w:shd w:val="clear" w:color="auto" w:fill="FFFFFF"/>
        </w:rPr>
        <w:t>k具有对机组运行全智能的保护装置：（过流、欠压、短路保护；三次自起动功能；来电后自动停机功能，停机保护；蓄电池全自动充电装置；超速停机等）。</w:t>
      </w:r>
    </w:p>
    <w:p>
      <w:pPr>
        <w:jc w:val="left"/>
        <w:rPr>
          <w:rFonts w:hint="eastAsia" w:hAnsi="宋体" w:cs="黑体"/>
          <w:color w:val="auto"/>
          <w:sz w:val="21"/>
          <w:szCs w:val="21"/>
          <w:highlight w:val="none"/>
          <w:u w:val="single"/>
          <w:lang w:val="en-US" w:eastAsia="zh-CN"/>
        </w:rPr>
      </w:pPr>
      <w:r>
        <w:rPr>
          <w:rFonts w:hint="eastAsia" w:ascii="宋体" w:hAnsi="宋体" w:cs="宋体"/>
          <w:color w:val="0000FF"/>
          <w:sz w:val="21"/>
          <w:szCs w:val="21"/>
          <w:u w:val="single"/>
          <w:shd w:val="clear" w:color="auto" w:fill="FFFFFF"/>
        </w:rPr>
        <w:br w:type="page"/>
      </w:r>
      <w:bookmarkStart w:id="1844" w:name="_Toc1951"/>
      <w:bookmarkEnd w:id="1844"/>
      <w:bookmarkStart w:id="1845" w:name="_Toc7262"/>
      <w:bookmarkEnd w:id="1845"/>
      <w:bookmarkStart w:id="1846" w:name="_Toc8704"/>
      <w:bookmarkEnd w:id="1846"/>
      <w:bookmarkStart w:id="1847" w:name="_Toc28665"/>
      <w:bookmarkEnd w:id="1847"/>
      <w:bookmarkStart w:id="1848" w:name="_Toc7052"/>
      <w:bookmarkEnd w:id="1848"/>
      <w:bookmarkStart w:id="1849" w:name="_Toc10256"/>
      <w:bookmarkEnd w:id="1849"/>
      <w:bookmarkStart w:id="1850" w:name="_Toc52113009"/>
      <w:r>
        <w:rPr>
          <w:rFonts w:hint="eastAsia" w:hAnsi="宋体" w:cs="黑体"/>
          <w:color w:val="auto"/>
          <w:sz w:val="21"/>
          <w:szCs w:val="21"/>
          <w:highlight w:val="none"/>
          <w:u w:val="single"/>
          <w:lang w:val="en-US" w:eastAsia="zh-CN"/>
        </w:rPr>
        <w:t>附件19：</w:t>
      </w:r>
    </w:p>
    <w:p>
      <w:pPr>
        <w:jc w:val="center"/>
        <w:rPr>
          <w:rFonts w:hint="eastAsia" w:ascii="宋体" w:hAnsi="宋体" w:eastAsia="宋体" w:cs="宋体"/>
          <w:b/>
          <w:bCs/>
          <w:color w:val="auto"/>
          <w:sz w:val="21"/>
          <w:szCs w:val="21"/>
          <w:u w:val="single"/>
          <w:lang w:val="en-US" w:eastAsia="zh-CN"/>
        </w:rPr>
      </w:pPr>
      <w:r>
        <w:rPr>
          <w:rFonts w:hint="eastAsia" w:ascii="宋体" w:hAnsi="宋体" w:eastAsia="宋体" w:cs="宋体"/>
          <w:b/>
          <w:bCs/>
          <w:color w:val="auto"/>
          <w:sz w:val="21"/>
          <w:szCs w:val="21"/>
          <w:u w:val="single"/>
          <w:lang w:val="en-US" w:eastAsia="zh-CN"/>
        </w:rPr>
        <w:t>智慧工地实施指引</w:t>
      </w:r>
    </w:p>
    <w:p>
      <w:pPr>
        <w:keepNext w:val="0"/>
        <w:keepLines w:val="0"/>
        <w:pageBreakBefore w:val="0"/>
        <w:widowControl w:val="0"/>
        <w:numPr>
          <w:ilvl w:val="-1"/>
          <w:numId w:val="0"/>
        </w:numPr>
        <w:kinsoku/>
        <w:wordWrap/>
        <w:overflowPunct/>
        <w:topLinePunct w:val="0"/>
        <w:autoSpaceDE/>
        <w:autoSpaceDN/>
        <w:bidi w:val="0"/>
        <w:adjustRightInd/>
        <w:snapToGrid/>
        <w:spacing w:line="500" w:lineRule="exact"/>
        <w:ind w:firstLine="420" w:firstLineChars="20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auto"/>
          <w:sz w:val="21"/>
          <w:szCs w:val="21"/>
          <w:lang w:val="en-US" w:eastAsia="zh-CN"/>
        </w:rPr>
        <w:t>（一）</w:t>
      </w:r>
      <w:r>
        <w:rPr>
          <w:rFonts w:hint="eastAsia" w:ascii="宋体" w:hAnsi="宋体" w:eastAsia="宋体" w:cs="宋体"/>
          <w:b w:val="0"/>
          <w:bCs w:val="0"/>
          <w:color w:val="000000" w:themeColor="text1"/>
          <w:sz w:val="21"/>
          <w:szCs w:val="21"/>
          <w:lang w:val="en-US" w:eastAsia="zh-CN"/>
          <w14:textFill>
            <w14:solidFill>
              <w14:schemeClr w14:val="tx1"/>
            </w14:solidFill>
          </w14:textFill>
        </w:rPr>
        <w:t>项目部应将项目智慧工地安装方案纳入工程管理策划，方案经工程运营部审核通过方可执行。</w:t>
      </w:r>
    </w:p>
    <w:p>
      <w:pPr>
        <w:keepNext w:val="0"/>
        <w:keepLines w:val="0"/>
        <w:pageBreakBefore w:val="0"/>
        <w:widowControl w:val="0"/>
        <w:numPr>
          <w:ilvl w:val="-1"/>
          <w:numId w:val="0"/>
        </w:numPr>
        <w:kinsoku/>
        <w:wordWrap/>
        <w:overflowPunct/>
        <w:topLinePunct w:val="0"/>
        <w:autoSpaceDE/>
        <w:autoSpaceDN/>
        <w:bidi w:val="0"/>
        <w:adjustRightInd/>
        <w:snapToGrid/>
        <w:spacing w:line="500" w:lineRule="exact"/>
        <w:ind w:firstLine="210" w:firstLineChars="10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（二）使用总包线上监控系统接入国贸地产“智能物联综合管理平台”的项目要求如下：</w:t>
      </w:r>
    </w:p>
    <w:p>
      <w:pPr>
        <w:keepNext w:val="0"/>
        <w:keepLines w:val="0"/>
        <w:pageBreakBefore w:val="0"/>
        <w:widowControl w:val="0"/>
        <w:numPr>
          <w:ilvl w:val="-1"/>
          <w:numId w:val="0"/>
        </w:numPr>
        <w:kinsoku/>
        <w:wordWrap/>
        <w:overflowPunct/>
        <w:topLinePunct w:val="0"/>
        <w:autoSpaceDE/>
        <w:autoSpaceDN/>
        <w:bidi w:val="0"/>
        <w:adjustRightInd/>
        <w:snapToGrid/>
        <w:spacing w:line="500" w:lineRule="exact"/>
        <w:ind w:leftChars="0" w:firstLine="420" w:firstLineChars="20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1.项目部与总包单位合同中应增加相关条款，要求安装智慧工地或将线上监控系统接入国贸地产“智能物联综合管理平台”进行统一管理。</w:t>
      </w:r>
    </w:p>
    <w:p>
      <w:pPr>
        <w:keepNext w:val="0"/>
        <w:keepLines w:val="0"/>
        <w:pageBreakBefore w:val="0"/>
        <w:widowControl w:val="0"/>
        <w:numPr>
          <w:ilvl w:val="-1"/>
          <w:numId w:val="0"/>
        </w:numPr>
        <w:kinsoku/>
        <w:wordWrap/>
        <w:overflowPunct/>
        <w:topLinePunct w:val="0"/>
        <w:autoSpaceDE/>
        <w:autoSpaceDN/>
        <w:bidi w:val="0"/>
        <w:adjustRightInd/>
        <w:snapToGrid/>
        <w:spacing w:line="500" w:lineRule="exact"/>
        <w:ind w:leftChars="0" w:firstLine="420" w:firstLineChars="20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sz w:val="21"/>
          <w:szCs w:val="21"/>
          <w:lang w:val="en-US" w:eastAsia="zh-CN"/>
        </w:rPr>
        <w:t>2.应在总包合同中要求总包负责设备日常维护、维修，出现设备出现掉线、损坏时3天内完成修护。</w:t>
      </w:r>
    </w:p>
    <w:p>
      <w:pPr>
        <w:keepNext w:val="0"/>
        <w:keepLines w:val="0"/>
        <w:pageBreakBefore w:val="0"/>
        <w:widowControl w:val="0"/>
        <w:numPr>
          <w:ilvl w:val="-1"/>
          <w:numId w:val="0"/>
        </w:numPr>
        <w:kinsoku/>
        <w:wordWrap/>
        <w:overflowPunct/>
        <w:topLinePunct w:val="0"/>
        <w:autoSpaceDE/>
        <w:autoSpaceDN/>
        <w:bidi w:val="0"/>
        <w:adjustRightInd/>
        <w:snapToGrid/>
        <w:spacing w:line="500" w:lineRule="exact"/>
        <w:ind w:leftChars="0" w:firstLine="420" w:firstLineChars="20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3.需保证塔吊安装前所有需要的设备到场，首台塔吊安装完成后</w:t>
      </w:r>
      <w:r>
        <w:rPr>
          <w:rFonts w:hint="eastAsia" w:ascii="宋体" w:hAnsi="宋体" w:eastAsia="宋体" w:cs="宋体"/>
          <w:b w:val="0"/>
          <w:bCs w:val="0"/>
          <w:sz w:val="21"/>
          <w:szCs w:val="21"/>
          <w:lang w:val="en-US" w:eastAsia="zh-CN"/>
        </w:rPr>
        <w:t>15天内完成</w:t>
      </w:r>
      <w:r>
        <w:rPr>
          <w:rFonts w:hint="eastAsia" w:ascii="宋体" w:hAnsi="宋体" w:eastAsia="宋体" w:cs="宋体"/>
          <w:b w:val="0"/>
          <w:bCs w:val="0"/>
          <w:color w:val="000000" w:themeColor="text1"/>
          <w:sz w:val="21"/>
          <w:szCs w:val="21"/>
          <w:lang w:val="en-US" w:eastAsia="zh-CN"/>
          <w14:textFill>
            <w14:solidFill>
              <w14:schemeClr w14:val="tx1"/>
            </w14:solidFill>
          </w14:textFill>
        </w:rPr>
        <w:t>设备上线。</w:t>
      </w:r>
    </w:p>
    <w:p>
      <w:pPr>
        <w:keepNext w:val="0"/>
        <w:keepLines w:val="0"/>
        <w:pageBreakBefore w:val="0"/>
        <w:widowControl w:val="0"/>
        <w:numPr>
          <w:ilvl w:val="-1"/>
          <w:numId w:val="0"/>
        </w:numPr>
        <w:kinsoku/>
        <w:wordWrap/>
        <w:overflowPunct/>
        <w:topLinePunct w:val="0"/>
        <w:autoSpaceDE/>
        <w:autoSpaceDN/>
        <w:bidi w:val="0"/>
        <w:adjustRightInd/>
        <w:snapToGrid/>
        <w:spacing w:line="500" w:lineRule="exact"/>
        <w:ind w:firstLine="210" w:firstLineChars="10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（三）安装智慧工地的项目要求如下：</w:t>
      </w:r>
    </w:p>
    <w:p>
      <w:pPr>
        <w:keepNext w:val="0"/>
        <w:keepLines w:val="0"/>
        <w:pageBreakBefore w:val="0"/>
        <w:widowControl w:val="0"/>
        <w:numPr>
          <w:ilvl w:val="-1"/>
          <w:numId w:val="0"/>
        </w:numPr>
        <w:kinsoku/>
        <w:wordWrap/>
        <w:overflowPunct/>
        <w:topLinePunct w:val="0"/>
        <w:autoSpaceDE/>
        <w:autoSpaceDN/>
        <w:bidi w:val="0"/>
        <w:adjustRightInd/>
        <w:snapToGrid/>
        <w:spacing w:line="500" w:lineRule="exact"/>
        <w:ind w:firstLine="420" w:firstLineChars="20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1.需在首台塔吊进场前7天内与国贸智慧签订智慧工地服务合同，合同应明确国贸智慧维修、上线等相关工作时限要求及相关处罚条款，依据合同对国贸智慧进行管理和考核。</w:t>
      </w:r>
    </w:p>
    <w:p>
      <w:pPr>
        <w:keepNext w:val="0"/>
        <w:keepLines w:val="0"/>
        <w:pageBreakBefore w:val="0"/>
        <w:widowControl w:val="0"/>
        <w:numPr>
          <w:ilvl w:val="-1"/>
          <w:numId w:val="0"/>
        </w:numPr>
        <w:kinsoku/>
        <w:wordWrap/>
        <w:overflowPunct/>
        <w:topLinePunct w:val="0"/>
        <w:autoSpaceDE/>
        <w:autoSpaceDN/>
        <w:bidi w:val="0"/>
        <w:adjustRightInd/>
        <w:snapToGrid/>
        <w:spacing w:line="500" w:lineRule="exact"/>
        <w:ind w:leftChars="0" w:firstLine="420" w:firstLineChars="20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2.保证首台塔吊安装前智慧工地设备到场，首台塔吊安装完成后</w:t>
      </w:r>
      <w:r>
        <w:rPr>
          <w:rFonts w:hint="eastAsia" w:ascii="宋体" w:hAnsi="宋体" w:eastAsia="宋体" w:cs="宋体"/>
          <w:b w:val="0"/>
          <w:bCs w:val="0"/>
          <w:sz w:val="21"/>
          <w:szCs w:val="21"/>
          <w:lang w:val="en-US" w:eastAsia="zh-CN"/>
        </w:rPr>
        <w:t>15天内完成</w:t>
      </w:r>
      <w:r>
        <w:rPr>
          <w:rFonts w:hint="eastAsia" w:ascii="宋体" w:hAnsi="宋体" w:eastAsia="宋体" w:cs="宋体"/>
          <w:b w:val="0"/>
          <w:bCs w:val="0"/>
          <w:color w:val="000000" w:themeColor="text1"/>
          <w:sz w:val="21"/>
          <w:szCs w:val="21"/>
          <w:lang w:val="en-US" w:eastAsia="zh-CN"/>
          <w14:textFill>
            <w14:solidFill>
              <w14:schemeClr w14:val="tx1"/>
            </w14:solidFill>
          </w14:textFill>
        </w:rPr>
        <w:t>设备上线。</w:t>
      </w:r>
    </w:p>
    <w:p>
      <w:pPr>
        <w:keepNext w:val="0"/>
        <w:keepLines w:val="0"/>
        <w:pageBreakBefore w:val="0"/>
        <w:widowControl w:val="0"/>
        <w:numPr>
          <w:ilvl w:val="-1"/>
          <w:numId w:val="0"/>
        </w:numPr>
        <w:kinsoku/>
        <w:wordWrap/>
        <w:overflowPunct/>
        <w:topLinePunct w:val="0"/>
        <w:autoSpaceDE/>
        <w:autoSpaceDN/>
        <w:bidi w:val="0"/>
        <w:adjustRightInd/>
        <w:snapToGrid/>
        <w:spacing w:line="500" w:lineRule="exact"/>
        <w:ind w:leftChars="0" w:firstLine="420" w:firstLineChars="200"/>
        <w:jc w:val="both"/>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3.</w:t>
      </w:r>
      <w:r>
        <w:rPr>
          <w:rFonts w:hint="eastAsia" w:ascii="宋体" w:hAnsi="宋体" w:eastAsia="宋体" w:cs="宋体"/>
          <w:b w:val="0"/>
          <w:bCs w:val="0"/>
          <w:sz w:val="21"/>
          <w:szCs w:val="21"/>
          <w:lang w:val="en-US" w:eastAsia="zh-CN"/>
        </w:rPr>
        <w:t>首批由公司出具费用安装智慧工地的项目竣备后设备流转使用。</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210" w:firstLineChars="100"/>
        <w:jc w:val="both"/>
        <w:textAlignment w:val="auto"/>
        <w:rPr>
          <w:rFonts w:hint="eastAsia" w:ascii="宋体" w:hAnsi="宋体" w:eastAsia="宋体" w:cs="宋体"/>
          <w:b/>
          <w:bCs/>
          <w:sz w:val="21"/>
          <w:szCs w:val="21"/>
          <w:lang w:val="en-US" w:eastAsia="zh-CN"/>
        </w:rPr>
      </w:pPr>
      <w:r>
        <w:rPr>
          <w:rFonts w:hint="eastAsia" w:ascii="宋体" w:hAnsi="宋体" w:eastAsia="宋体" w:cs="宋体"/>
          <w:b w:val="0"/>
          <w:bCs w:val="0"/>
          <w:sz w:val="21"/>
          <w:szCs w:val="21"/>
          <w:lang w:val="en-US" w:eastAsia="zh-CN"/>
        </w:rPr>
        <w:t>（四）</w:t>
      </w:r>
      <w:r>
        <w:rPr>
          <w:rFonts w:hint="eastAsia" w:ascii="宋体" w:hAnsi="宋体" w:eastAsia="宋体" w:cs="宋体"/>
          <w:b w:val="0"/>
          <w:bCs w:val="0"/>
          <w:color w:val="000000" w:themeColor="text1"/>
          <w:sz w:val="21"/>
          <w:szCs w:val="21"/>
          <w:lang w:val="en-US" w:eastAsia="zh-CN"/>
          <w14:textFill>
            <w14:solidFill>
              <w14:schemeClr w14:val="tx1"/>
            </w14:solidFill>
          </w14:textFill>
        </w:rPr>
        <w:t>合同清单内工作内容全部完成后2个月内，项目部牵头完成合同结算工作，完成结算后10日内，按合同约定支付结算款。</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210" w:firstLineChars="100"/>
        <w:jc w:val="both"/>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（五）代建项目智慧工地所有费用包含在总包合同内。</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210" w:firstLineChars="100"/>
        <w:jc w:val="both"/>
        <w:textAlignment w:val="auto"/>
        <w:rPr>
          <w:rFonts w:hint="eastAsia" w:ascii="宋体" w:hAnsi="宋体" w:eastAsia="宋体" w:cs="宋体"/>
          <w:b/>
          <w:bCs/>
          <w:sz w:val="21"/>
          <w:szCs w:val="21"/>
          <w:lang w:val="en-US" w:eastAsia="zh-CN"/>
        </w:rPr>
      </w:pPr>
      <w:r>
        <w:rPr>
          <w:rFonts w:hint="eastAsia" w:ascii="宋体" w:hAnsi="宋体" w:eastAsia="宋体" w:cs="宋体"/>
          <w:b w:val="0"/>
          <w:bCs w:val="0"/>
          <w:sz w:val="21"/>
          <w:szCs w:val="21"/>
          <w:lang w:val="en-US" w:eastAsia="zh-CN"/>
        </w:rPr>
        <w:t>（六）智慧工地设备底线配置要求：</w:t>
      </w:r>
    </w:p>
    <w:tbl>
      <w:tblPr>
        <w:tblStyle w:val="60"/>
        <w:tblW w:w="4937" w:type="pct"/>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81"/>
        <w:gridCol w:w="2413"/>
        <w:gridCol w:w="5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right"/>
        </w:trPr>
        <w:tc>
          <w:tcPr>
            <w:tcW w:w="1105" w:type="pct"/>
            <w:shd w:val="clear" w:color="auto" w:fill="F1F1F1"/>
            <w:vAlign w:val="center"/>
          </w:tcPr>
          <w:p>
            <w:pPr>
              <w:kinsoku w:val="0"/>
              <w:spacing w:after="0" w:afterLines="0" w:line="500" w:lineRule="exact"/>
              <w:ind w:left="0" w:leftChars="0" w:firstLine="0" w:firstLineChars="0"/>
              <w:jc w:val="center"/>
              <w:rPr>
                <w:rFonts w:hint="eastAsia" w:ascii="宋体" w:hAnsi="宋体" w:eastAsia="宋体" w:cs="宋体"/>
                <w:b/>
                <w:kern w:val="0"/>
                <w:sz w:val="21"/>
                <w:szCs w:val="21"/>
              </w:rPr>
            </w:pPr>
            <w:r>
              <w:rPr>
                <w:rFonts w:hint="eastAsia" w:ascii="宋体" w:hAnsi="宋体" w:eastAsia="宋体" w:cs="宋体"/>
                <w:b/>
                <w:kern w:val="0"/>
                <w:sz w:val="21"/>
                <w:szCs w:val="21"/>
              </w:rPr>
              <w:t>场景</w:t>
            </w:r>
          </w:p>
        </w:tc>
        <w:tc>
          <w:tcPr>
            <w:tcW w:w="1222" w:type="pct"/>
            <w:shd w:val="clear" w:color="auto" w:fill="F1F1F1"/>
            <w:vAlign w:val="center"/>
          </w:tcPr>
          <w:p>
            <w:pPr>
              <w:kinsoku w:val="0"/>
              <w:spacing w:after="0" w:afterLines="0" w:line="500" w:lineRule="exact"/>
              <w:ind w:left="0" w:leftChars="0" w:firstLine="0" w:firstLineChars="0"/>
              <w:jc w:val="center"/>
              <w:rPr>
                <w:rFonts w:hint="eastAsia" w:ascii="宋体" w:hAnsi="宋体" w:eastAsia="宋体" w:cs="宋体"/>
                <w:b/>
                <w:kern w:val="0"/>
                <w:sz w:val="21"/>
                <w:szCs w:val="21"/>
              </w:rPr>
            </w:pPr>
            <w:r>
              <w:rPr>
                <w:rFonts w:hint="eastAsia" w:ascii="宋体" w:hAnsi="宋体" w:eastAsia="宋体" w:cs="宋体"/>
                <w:b/>
                <w:kern w:val="0"/>
                <w:sz w:val="21"/>
                <w:szCs w:val="21"/>
              </w:rPr>
              <w:t>设备</w:t>
            </w:r>
          </w:p>
        </w:tc>
        <w:tc>
          <w:tcPr>
            <w:tcW w:w="2672" w:type="pct"/>
            <w:shd w:val="clear" w:color="auto" w:fill="F1F1F1"/>
            <w:vAlign w:val="center"/>
          </w:tcPr>
          <w:p>
            <w:pPr>
              <w:kinsoku w:val="0"/>
              <w:spacing w:after="0" w:afterLines="0" w:line="500" w:lineRule="exact"/>
              <w:ind w:left="0" w:leftChars="0" w:firstLine="0" w:firstLineChars="0"/>
              <w:jc w:val="center"/>
              <w:rPr>
                <w:rFonts w:hint="eastAsia" w:ascii="宋体" w:hAnsi="宋体" w:eastAsia="宋体" w:cs="宋体"/>
                <w:b/>
                <w:kern w:val="0"/>
                <w:sz w:val="21"/>
                <w:szCs w:val="21"/>
              </w:rPr>
            </w:pPr>
            <w:r>
              <w:rPr>
                <w:rFonts w:hint="eastAsia" w:ascii="宋体" w:hAnsi="宋体" w:eastAsia="宋体" w:cs="宋体"/>
                <w:b/>
                <w:kern w:val="0"/>
                <w:sz w:val="21"/>
                <w:szCs w:val="21"/>
              </w:rPr>
              <w:t>底线配置要求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right"/>
        </w:trPr>
        <w:tc>
          <w:tcPr>
            <w:tcW w:w="1105" w:type="pct"/>
            <w:shd w:val="clear" w:color="auto" w:fill="F1F1F1"/>
            <w:vAlign w:val="center"/>
          </w:tcPr>
          <w:p>
            <w:pPr>
              <w:kinsoku w:val="0"/>
              <w:spacing w:after="0" w:afterLines="0" w:line="500" w:lineRule="exact"/>
              <w:ind w:left="0" w:leftChars="0" w:firstLine="0" w:firstLineChars="0"/>
              <w:jc w:val="center"/>
              <w:rPr>
                <w:rFonts w:hint="eastAsia" w:ascii="宋体" w:hAnsi="宋体" w:eastAsia="宋体" w:cs="宋体"/>
                <w:kern w:val="0"/>
                <w:sz w:val="21"/>
                <w:szCs w:val="21"/>
              </w:rPr>
            </w:pPr>
            <w:r>
              <w:rPr>
                <w:rFonts w:hint="eastAsia" w:ascii="宋体" w:hAnsi="宋体" w:eastAsia="宋体" w:cs="宋体"/>
                <w:kern w:val="0"/>
                <w:sz w:val="21"/>
                <w:szCs w:val="21"/>
              </w:rPr>
              <w:t>监控</w:t>
            </w:r>
          </w:p>
        </w:tc>
        <w:tc>
          <w:tcPr>
            <w:tcW w:w="1222" w:type="pct"/>
            <w:shd w:val="clear" w:color="auto" w:fill="auto"/>
            <w:vAlign w:val="center"/>
          </w:tcPr>
          <w:p>
            <w:pPr>
              <w:kinsoku w:val="0"/>
              <w:spacing w:after="0" w:afterLines="0" w:line="500" w:lineRule="exact"/>
              <w:ind w:left="0" w:leftChars="0" w:firstLine="0" w:firstLineChars="0"/>
              <w:jc w:val="center"/>
              <w:rPr>
                <w:rFonts w:hint="eastAsia" w:ascii="宋体" w:hAnsi="宋体" w:eastAsia="宋体" w:cs="宋体"/>
                <w:kern w:val="0"/>
                <w:sz w:val="21"/>
                <w:szCs w:val="21"/>
              </w:rPr>
            </w:pPr>
            <w:r>
              <w:rPr>
                <w:rFonts w:hint="eastAsia" w:ascii="宋体" w:hAnsi="宋体" w:eastAsia="宋体" w:cs="宋体"/>
                <w:kern w:val="0"/>
                <w:sz w:val="21"/>
                <w:szCs w:val="21"/>
              </w:rPr>
              <w:t>塔吊球机</w:t>
            </w:r>
          </w:p>
        </w:tc>
        <w:tc>
          <w:tcPr>
            <w:tcW w:w="2672" w:type="pct"/>
            <w:shd w:val="clear" w:color="auto" w:fill="auto"/>
            <w:vAlign w:val="center"/>
          </w:tcPr>
          <w:p>
            <w:pPr>
              <w:kinsoku w:val="0"/>
              <w:spacing w:after="0" w:afterLines="0" w:line="500" w:lineRule="exact"/>
              <w:ind w:left="0" w:leftChars="0" w:firstLine="0" w:firstLineChars="0"/>
              <w:rPr>
                <w:rFonts w:hint="eastAsia" w:ascii="宋体" w:hAnsi="宋体" w:eastAsia="宋体" w:cs="宋体"/>
                <w:kern w:val="0"/>
                <w:sz w:val="21"/>
                <w:szCs w:val="21"/>
                <w:lang w:eastAsia="zh-CN"/>
              </w:rPr>
            </w:pPr>
            <w:r>
              <w:rPr>
                <w:rFonts w:hint="eastAsia" w:ascii="宋体" w:hAnsi="宋体" w:eastAsia="宋体" w:cs="宋体"/>
                <w:kern w:val="0"/>
                <w:sz w:val="21"/>
                <w:szCs w:val="21"/>
              </w:rPr>
              <w:t>根据平面布置图布置，球机数量不应低于塔吊数量1/3，</w:t>
            </w:r>
            <w:r>
              <w:rPr>
                <w:rFonts w:hint="eastAsia" w:ascii="宋体" w:hAnsi="宋体" w:eastAsia="宋体" w:cs="宋体"/>
                <w:color w:val="auto"/>
                <w:kern w:val="0"/>
                <w:sz w:val="21"/>
                <w:szCs w:val="21"/>
              </w:rPr>
              <w:t>首台安装的塔吊必须安装球机，</w:t>
            </w:r>
            <w:r>
              <w:rPr>
                <w:rFonts w:hint="eastAsia" w:ascii="宋体" w:hAnsi="宋体" w:eastAsia="宋体" w:cs="宋体"/>
                <w:kern w:val="0"/>
                <w:sz w:val="21"/>
                <w:szCs w:val="21"/>
              </w:rPr>
              <w:t>且要能覆盖所有楼栋</w:t>
            </w:r>
            <w:r>
              <w:rPr>
                <w:rFonts w:hint="eastAsia" w:ascii="宋体" w:hAnsi="宋体" w:eastAsia="宋体" w:cs="宋体"/>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right"/>
        </w:trPr>
        <w:tc>
          <w:tcPr>
            <w:tcW w:w="1105" w:type="pct"/>
            <w:vMerge w:val="restart"/>
            <w:shd w:val="clear" w:color="auto" w:fill="F1F1F1"/>
            <w:vAlign w:val="center"/>
          </w:tcPr>
          <w:p>
            <w:pPr>
              <w:kinsoku w:val="0"/>
              <w:spacing w:after="0" w:afterLines="0" w:line="500" w:lineRule="exact"/>
              <w:ind w:left="0" w:leftChars="0" w:firstLine="0" w:firstLineChars="0"/>
              <w:jc w:val="center"/>
              <w:rPr>
                <w:rFonts w:hint="eastAsia" w:ascii="宋体" w:hAnsi="宋体" w:eastAsia="宋体" w:cs="宋体"/>
                <w:kern w:val="44"/>
                <w:sz w:val="21"/>
                <w:szCs w:val="21"/>
              </w:rPr>
            </w:pPr>
            <w:r>
              <w:rPr>
                <w:rFonts w:hint="eastAsia" w:ascii="宋体" w:hAnsi="宋体" w:eastAsia="宋体" w:cs="宋体"/>
                <w:kern w:val="0"/>
                <w:sz w:val="21"/>
                <w:szCs w:val="21"/>
              </w:rPr>
              <w:t>控制中心及传输系统</w:t>
            </w:r>
          </w:p>
        </w:tc>
        <w:tc>
          <w:tcPr>
            <w:tcW w:w="1222" w:type="pct"/>
            <w:shd w:val="clear" w:color="auto" w:fill="auto"/>
            <w:vAlign w:val="center"/>
          </w:tcPr>
          <w:p>
            <w:pPr>
              <w:kinsoku w:val="0"/>
              <w:spacing w:after="0" w:afterLines="0" w:line="500" w:lineRule="exact"/>
              <w:ind w:left="0" w:leftChars="0" w:firstLine="0" w:firstLineChars="0"/>
              <w:jc w:val="center"/>
              <w:rPr>
                <w:rFonts w:hint="eastAsia" w:ascii="宋体" w:hAnsi="宋体" w:eastAsia="宋体" w:cs="宋体"/>
                <w:kern w:val="0"/>
                <w:sz w:val="21"/>
                <w:szCs w:val="21"/>
              </w:rPr>
            </w:pPr>
            <w:r>
              <w:rPr>
                <w:rFonts w:hint="eastAsia" w:ascii="宋体" w:hAnsi="宋体" w:eastAsia="宋体" w:cs="宋体"/>
                <w:kern w:val="0"/>
                <w:sz w:val="21"/>
                <w:szCs w:val="21"/>
              </w:rPr>
              <w:t>硬盘录像机</w:t>
            </w:r>
          </w:p>
        </w:tc>
        <w:tc>
          <w:tcPr>
            <w:tcW w:w="2672" w:type="pct"/>
            <w:shd w:val="clear" w:color="auto" w:fill="auto"/>
            <w:vAlign w:val="center"/>
          </w:tcPr>
          <w:p>
            <w:pPr>
              <w:kinsoku w:val="0"/>
              <w:spacing w:after="0" w:afterLines="0" w:line="500" w:lineRule="exact"/>
              <w:ind w:left="0" w:leftChars="0" w:firstLine="0" w:firstLineChars="0"/>
              <w:rPr>
                <w:rFonts w:hint="eastAsia" w:ascii="宋体" w:hAnsi="宋体" w:eastAsia="宋体" w:cs="宋体"/>
                <w:bCs/>
                <w:kern w:val="44"/>
                <w:sz w:val="21"/>
                <w:szCs w:val="21"/>
              </w:rPr>
            </w:pPr>
            <w:r>
              <w:rPr>
                <w:rFonts w:hint="eastAsia" w:ascii="宋体" w:hAnsi="宋体" w:eastAsia="宋体" w:cs="宋体"/>
                <w:kern w:val="0"/>
                <w:sz w:val="21"/>
                <w:szCs w:val="21"/>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right"/>
        </w:trPr>
        <w:tc>
          <w:tcPr>
            <w:tcW w:w="1105" w:type="pct"/>
            <w:vMerge w:val="continue"/>
            <w:shd w:val="clear" w:color="auto" w:fill="F1F1F1"/>
            <w:vAlign w:val="center"/>
          </w:tcPr>
          <w:p>
            <w:pPr>
              <w:kinsoku w:val="0"/>
              <w:spacing w:after="0" w:afterLines="0" w:line="500" w:lineRule="exact"/>
              <w:ind w:left="220" w:firstLine="420"/>
              <w:rPr>
                <w:rFonts w:hint="eastAsia" w:ascii="宋体" w:hAnsi="宋体" w:eastAsia="宋体" w:cs="宋体"/>
                <w:kern w:val="0"/>
                <w:sz w:val="21"/>
                <w:szCs w:val="21"/>
              </w:rPr>
            </w:pPr>
          </w:p>
        </w:tc>
        <w:tc>
          <w:tcPr>
            <w:tcW w:w="1222" w:type="pct"/>
            <w:shd w:val="clear" w:color="auto" w:fill="auto"/>
            <w:vAlign w:val="center"/>
          </w:tcPr>
          <w:p>
            <w:pPr>
              <w:kinsoku w:val="0"/>
              <w:spacing w:after="0" w:afterLines="0" w:line="500" w:lineRule="exact"/>
              <w:ind w:left="0" w:leftChars="0" w:firstLine="0" w:firstLineChars="0"/>
              <w:jc w:val="center"/>
              <w:rPr>
                <w:rFonts w:hint="eastAsia" w:ascii="宋体" w:hAnsi="宋体" w:eastAsia="宋体" w:cs="宋体"/>
                <w:kern w:val="0"/>
                <w:sz w:val="21"/>
                <w:szCs w:val="21"/>
              </w:rPr>
            </w:pPr>
            <w:r>
              <w:rPr>
                <w:rFonts w:hint="eastAsia" w:ascii="宋体" w:hAnsi="宋体" w:eastAsia="宋体" w:cs="宋体"/>
                <w:kern w:val="0"/>
                <w:sz w:val="21"/>
                <w:szCs w:val="21"/>
              </w:rPr>
              <w:t>监控级硬盘</w:t>
            </w:r>
          </w:p>
        </w:tc>
        <w:tc>
          <w:tcPr>
            <w:tcW w:w="2672" w:type="pct"/>
            <w:shd w:val="clear" w:color="auto" w:fill="auto"/>
            <w:vAlign w:val="center"/>
          </w:tcPr>
          <w:p>
            <w:pPr>
              <w:kinsoku w:val="0"/>
              <w:spacing w:after="0" w:afterLines="0" w:line="500" w:lineRule="exact"/>
              <w:ind w:left="0" w:leftChars="0" w:firstLine="0" w:firstLineChars="0"/>
              <w:rPr>
                <w:rFonts w:hint="eastAsia" w:ascii="宋体" w:hAnsi="宋体" w:eastAsia="宋体" w:cs="宋体"/>
                <w:kern w:val="0"/>
                <w:sz w:val="21"/>
                <w:szCs w:val="21"/>
              </w:rPr>
            </w:pPr>
            <w:r>
              <w:rPr>
                <w:rFonts w:hint="eastAsia" w:ascii="宋体" w:hAnsi="宋体" w:eastAsia="宋体" w:cs="宋体"/>
                <w:kern w:val="0"/>
                <w:sz w:val="21"/>
                <w:szCs w:val="21"/>
              </w:rPr>
              <w:t>满足30天视频文件存储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right"/>
        </w:trPr>
        <w:tc>
          <w:tcPr>
            <w:tcW w:w="1105" w:type="pct"/>
            <w:vMerge w:val="continue"/>
            <w:shd w:val="clear" w:color="auto" w:fill="F1F1F1"/>
            <w:vAlign w:val="center"/>
          </w:tcPr>
          <w:p>
            <w:pPr>
              <w:kinsoku w:val="0"/>
              <w:spacing w:after="0" w:afterLines="0" w:line="500" w:lineRule="exact"/>
              <w:ind w:left="220" w:firstLine="420"/>
              <w:rPr>
                <w:rFonts w:hint="eastAsia" w:ascii="宋体" w:hAnsi="宋体" w:eastAsia="宋体" w:cs="宋体"/>
                <w:kern w:val="0"/>
                <w:sz w:val="21"/>
                <w:szCs w:val="21"/>
              </w:rPr>
            </w:pPr>
          </w:p>
        </w:tc>
        <w:tc>
          <w:tcPr>
            <w:tcW w:w="1222" w:type="pct"/>
            <w:shd w:val="clear" w:color="auto" w:fill="auto"/>
            <w:vAlign w:val="center"/>
          </w:tcPr>
          <w:p>
            <w:pPr>
              <w:kinsoku w:val="0"/>
              <w:spacing w:after="0" w:afterLines="0" w:line="500" w:lineRule="exact"/>
              <w:ind w:left="0" w:leftChars="0" w:firstLine="0" w:firstLineChars="0"/>
              <w:jc w:val="center"/>
              <w:rPr>
                <w:rFonts w:hint="eastAsia" w:ascii="宋体" w:hAnsi="宋体" w:eastAsia="宋体" w:cs="宋体"/>
                <w:bCs/>
                <w:kern w:val="44"/>
                <w:sz w:val="21"/>
                <w:szCs w:val="21"/>
              </w:rPr>
            </w:pPr>
            <w:r>
              <w:rPr>
                <w:rFonts w:hint="eastAsia" w:ascii="宋体" w:hAnsi="宋体" w:eastAsia="宋体" w:cs="宋体"/>
                <w:kern w:val="0"/>
                <w:sz w:val="21"/>
                <w:szCs w:val="21"/>
              </w:rPr>
              <w:t>交换机</w:t>
            </w:r>
          </w:p>
        </w:tc>
        <w:tc>
          <w:tcPr>
            <w:tcW w:w="2672" w:type="pct"/>
            <w:shd w:val="clear" w:color="auto" w:fill="auto"/>
            <w:vAlign w:val="center"/>
          </w:tcPr>
          <w:p>
            <w:pPr>
              <w:kinsoku w:val="0"/>
              <w:spacing w:after="0" w:afterLines="0" w:line="500" w:lineRule="exact"/>
              <w:ind w:left="0" w:leftChars="0" w:firstLine="0" w:firstLineChars="0"/>
              <w:rPr>
                <w:rFonts w:hint="eastAsia" w:ascii="宋体" w:hAnsi="宋体" w:eastAsia="宋体" w:cs="宋体"/>
                <w:kern w:val="0"/>
                <w:sz w:val="21"/>
                <w:szCs w:val="21"/>
              </w:rPr>
            </w:pPr>
            <w:r>
              <w:rPr>
                <w:rFonts w:hint="eastAsia" w:ascii="宋体" w:hAnsi="宋体" w:eastAsia="宋体" w:cs="宋体"/>
                <w:kern w:val="0"/>
                <w:sz w:val="21"/>
                <w:szCs w:val="21"/>
              </w:rPr>
              <w:t>满足监控数量接口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right"/>
        </w:trPr>
        <w:tc>
          <w:tcPr>
            <w:tcW w:w="1105" w:type="pct"/>
            <w:vMerge w:val="continue"/>
            <w:shd w:val="clear" w:color="auto" w:fill="F1F1F1"/>
            <w:vAlign w:val="center"/>
          </w:tcPr>
          <w:p>
            <w:pPr>
              <w:kinsoku w:val="0"/>
              <w:spacing w:after="0" w:afterLines="0" w:line="500" w:lineRule="exact"/>
              <w:ind w:left="220" w:firstLine="420"/>
              <w:rPr>
                <w:rFonts w:hint="eastAsia" w:ascii="宋体" w:hAnsi="宋体" w:eastAsia="宋体" w:cs="宋体"/>
                <w:kern w:val="0"/>
                <w:sz w:val="21"/>
                <w:szCs w:val="21"/>
              </w:rPr>
            </w:pPr>
          </w:p>
        </w:tc>
        <w:tc>
          <w:tcPr>
            <w:tcW w:w="1222" w:type="pct"/>
            <w:shd w:val="clear" w:color="auto" w:fill="auto"/>
            <w:vAlign w:val="center"/>
          </w:tcPr>
          <w:p>
            <w:pPr>
              <w:kinsoku w:val="0"/>
              <w:spacing w:after="0" w:afterLines="0" w:line="500" w:lineRule="exact"/>
              <w:ind w:left="0" w:leftChars="0" w:firstLine="0" w:firstLineChars="0"/>
              <w:jc w:val="center"/>
              <w:rPr>
                <w:rFonts w:hint="eastAsia" w:ascii="宋体" w:hAnsi="宋体" w:eastAsia="宋体" w:cs="宋体"/>
                <w:kern w:val="0"/>
                <w:sz w:val="21"/>
                <w:szCs w:val="21"/>
              </w:rPr>
            </w:pPr>
            <w:r>
              <w:rPr>
                <w:rFonts w:hint="eastAsia" w:ascii="宋体" w:hAnsi="宋体" w:eastAsia="宋体" w:cs="宋体"/>
                <w:kern w:val="0"/>
                <w:sz w:val="21"/>
                <w:szCs w:val="21"/>
              </w:rPr>
              <w:t>网络</w:t>
            </w:r>
          </w:p>
        </w:tc>
        <w:tc>
          <w:tcPr>
            <w:tcW w:w="2672" w:type="pct"/>
            <w:shd w:val="clear" w:color="auto" w:fill="auto"/>
            <w:vAlign w:val="center"/>
          </w:tcPr>
          <w:p>
            <w:pPr>
              <w:kinsoku w:val="0"/>
              <w:spacing w:after="0" w:afterLines="0" w:line="500" w:lineRule="exact"/>
              <w:ind w:left="0" w:leftChars="0" w:firstLine="0" w:firstLineChars="0"/>
              <w:rPr>
                <w:rFonts w:hint="eastAsia" w:ascii="宋体" w:hAnsi="宋体" w:eastAsia="宋体" w:cs="宋体"/>
                <w:kern w:val="0"/>
                <w:sz w:val="21"/>
                <w:szCs w:val="21"/>
              </w:rPr>
            </w:pPr>
            <w:r>
              <w:rPr>
                <w:rFonts w:hint="eastAsia" w:ascii="宋体" w:hAnsi="宋体" w:eastAsia="宋体" w:cs="宋体"/>
                <w:kern w:val="0"/>
                <w:sz w:val="21"/>
                <w:szCs w:val="21"/>
              </w:rPr>
              <w:t>满足监控数据流畅传送</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210" w:firstLineChars="100"/>
        <w:jc w:val="both"/>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（七）智慧工地合约界面</w:t>
      </w:r>
    </w:p>
    <w:tbl>
      <w:tblPr>
        <w:tblStyle w:val="60"/>
        <w:tblpPr w:leftFromText="180" w:rightFromText="180" w:vertAnchor="text" w:horzAnchor="page" w:tblpX="1243" w:tblpY="56"/>
        <w:tblOverlap w:val="never"/>
        <w:tblW w:w="493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4"/>
        <w:gridCol w:w="70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6" w:hRule="atLeast"/>
        </w:trPr>
        <w:tc>
          <w:tcPr>
            <w:tcW w:w="1442" w:type="pct"/>
            <w:tcBorders>
              <w:top w:val="single" w:color="auto" w:sz="4" w:space="0"/>
              <w:left w:val="single" w:color="auto" w:sz="4" w:space="0"/>
              <w:bottom w:val="single" w:color="auto" w:sz="4" w:space="0"/>
              <w:right w:val="single" w:color="auto" w:sz="4" w:space="0"/>
            </w:tcBorders>
            <w:shd w:val="clear" w:color="auto" w:fill="F1F1F1"/>
            <w:vAlign w:val="center"/>
          </w:tcPr>
          <w:p>
            <w:pPr>
              <w:spacing w:after="0" w:afterLines="0" w:line="500" w:lineRule="exact"/>
              <w:ind w:left="0" w:leftChars="0" w:firstLine="0" w:firstLineChars="0"/>
              <w:jc w:val="center"/>
              <w:rPr>
                <w:rFonts w:hint="eastAsia" w:ascii="宋体" w:hAnsi="宋体" w:eastAsia="宋体" w:cs="宋体"/>
                <w:bCs/>
                <w:kern w:val="44"/>
                <w:sz w:val="21"/>
                <w:szCs w:val="21"/>
              </w:rPr>
            </w:pPr>
            <w:r>
              <w:rPr>
                <w:rFonts w:hint="eastAsia" w:ascii="宋体" w:hAnsi="宋体" w:eastAsia="宋体" w:cs="宋体"/>
                <w:bCs/>
                <w:kern w:val="44"/>
                <w:sz w:val="21"/>
                <w:szCs w:val="21"/>
              </w:rPr>
              <w:t>总包实施范围</w:t>
            </w:r>
          </w:p>
        </w:tc>
        <w:tc>
          <w:tcPr>
            <w:tcW w:w="3557" w:type="pct"/>
            <w:tcBorders>
              <w:top w:val="single" w:color="auto" w:sz="4" w:space="0"/>
              <w:left w:val="single" w:color="auto" w:sz="4" w:space="0"/>
              <w:bottom w:val="single" w:color="auto" w:sz="4" w:space="0"/>
              <w:right w:val="single" w:color="auto" w:sz="4" w:space="0"/>
            </w:tcBorders>
            <w:shd w:val="clear" w:color="auto" w:fill="auto"/>
          </w:tcPr>
          <w:p>
            <w:pPr>
              <w:pStyle w:val="174"/>
              <w:spacing w:after="0" w:afterLines="0" w:line="500" w:lineRule="exact"/>
              <w:ind w:left="0" w:leftChars="0" w:firstLine="210" w:firstLineChars="100"/>
              <w:rPr>
                <w:rFonts w:hint="eastAsia" w:ascii="宋体" w:hAnsi="宋体" w:eastAsia="宋体" w:cs="宋体"/>
                <w:bCs/>
                <w:kern w:val="44"/>
                <w:sz w:val="21"/>
                <w:szCs w:val="21"/>
                <w:lang w:eastAsia="zh-CN"/>
              </w:rPr>
            </w:pPr>
            <w:r>
              <w:rPr>
                <w:rFonts w:hint="eastAsia" w:ascii="宋体" w:hAnsi="宋体" w:eastAsia="宋体" w:cs="宋体"/>
                <w:bCs/>
                <w:kern w:val="44"/>
                <w:sz w:val="21"/>
                <w:szCs w:val="21"/>
              </w:rPr>
              <w:t>负责塔吊球机的安装和拆卸、使用过程塔吊球机维护以及损坏设备的安拆、智慧工地设备安装的现场配合工作，相关措施费用包含在总包合同内</w:t>
            </w:r>
            <w:r>
              <w:rPr>
                <w:rFonts w:hint="eastAsia" w:ascii="宋体" w:hAnsi="宋体" w:eastAsia="宋体" w:cs="宋体"/>
                <w:bCs/>
                <w:kern w:val="44"/>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2" w:hRule="atLeast"/>
        </w:trPr>
        <w:tc>
          <w:tcPr>
            <w:tcW w:w="1442" w:type="pct"/>
            <w:tcBorders>
              <w:top w:val="single" w:color="auto" w:sz="4" w:space="0"/>
              <w:left w:val="single" w:color="auto" w:sz="4" w:space="0"/>
              <w:bottom w:val="single" w:color="auto" w:sz="4" w:space="0"/>
              <w:right w:val="single" w:color="auto" w:sz="4" w:space="0"/>
            </w:tcBorders>
            <w:shd w:val="clear" w:color="auto" w:fill="F1F1F1"/>
            <w:vAlign w:val="center"/>
          </w:tcPr>
          <w:p>
            <w:pPr>
              <w:spacing w:after="0" w:afterLines="0" w:line="500" w:lineRule="exact"/>
              <w:ind w:left="0" w:leftChars="0" w:firstLine="0" w:firstLineChars="0"/>
              <w:jc w:val="center"/>
              <w:rPr>
                <w:rFonts w:hint="eastAsia" w:ascii="宋体" w:hAnsi="宋体" w:eastAsia="宋体" w:cs="宋体"/>
                <w:kern w:val="0"/>
                <w:sz w:val="21"/>
                <w:szCs w:val="21"/>
              </w:rPr>
            </w:pPr>
            <w:r>
              <w:rPr>
                <w:rFonts w:hint="eastAsia" w:ascii="宋体" w:hAnsi="宋体" w:eastAsia="宋体" w:cs="宋体"/>
                <w:kern w:val="0"/>
                <w:sz w:val="21"/>
                <w:szCs w:val="21"/>
              </w:rPr>
              <w:t>国贸智慧实施范围</w:t>
            </w:r>
          </w:p>
        </w:tc>
        <w:tc>
          <w:tcPr>
            <w:tcW w:w="3557" w:type="pct"/>
            <w:tcBorders>
              <w:top w:val="single" w:color="auto" w:sz="4" w:space="0"/>
              <w:left w:val="single" w:color="auto" w:sz="4" w:space="0"/>
              <w:bottom w:val="single" w:color="auto" w:sz="4" w:space="0"/>
              <w:right w:val="single" w:color="auto" w:sz="4" w:space="0"/>
            </w:tcBorders>
            <w:shd w:val="clear" w:color="auto" w:fill="auto"/>
          </w:tcPr>
          <w:p>
            <w:pPr>
              <w:pStyle w:val="174"/>
              <w:numPr>
                <w:ilvl w:val="-1"/>
                <w:numId w:val="0"/>
              </w:numPr>
              <w:spacing w:after="0" w:afterLines="0" w:line="500" w:lineRule="exact"/>
              <w:ind w:left="0" w:leftChars="0" w:firstLine="0" w:firstLineChars="0"/>
              <w:rPr>
                <w:rFonts w:hint="eastAsia" w:ascii="宋体" w:hAnsi="宋体" w:eastAsia="宋体" w:cs="宋体"/>
                <w:kern w:val="0"/>
                <w:sz w:val="21"/>
                <w:szCs w:val="21"/>
              </w:rPr>
            </w:pPr>
            <w:bookmarkStart w:id="1851" w:name="_Hlk79396506"/>
            <w:r>
              <w:rPr>
                <w:rFonts w:hint="eastAsia" w:ascii="宋体" w:hAnsi="宋体" w:eastAsia="宋体" w:cs="宋体"/>
                <w:bCs/>
                <w:kern w:val="44"/>
                <w:sz w:val="21"/>
                <w:szCs w:val="21"/>
                <w:lang w:val="en-US" w:eastAsia="zh-CN"/>
              </w:rPr>
              <w:t>(1)</w:t>
            </w:r>
            <w:r>
              <w:rPr>
                <w:rFonts w:hint="eastAsia" w:ascii="宋体" w:hAnsi="宋体" w:eastAsia="宋体" w:cs="宋体"/>
                <w:bCs/>
                <w:kern w:val="44"/>
                <w:sz w:val="21"/>
                <w:szCs w:val="21"/>
              </w:rPr>
              <w:t>现场勘察及方案确定；</w:t>
            </w:r>
          </w:p>
          <w:p>
            <w:pPr>
              <w:pStyle w:val="174"/>
              <w:numPr>
                <w:ilvl w:val="-1"/>
                <w:numId w:val="0"/>
              </w:numPr>
              <w:spacing w:after="0" w:afterLines="0" w:line="500" w:lineRule="exact"/>
              <w:ind w:left="0" w:leftChars="0" w:firstLine="0" w:firstLineChars="0"/>
              <w:rPr>
                <w:rFonts w:hint="eastAsia" w:ascii="宋体" w:hAnsi="宋体" w:eastAsia="宋体" w:cs="宋体"/>
                <w:bCs/>
                <w:kern w:val="44"/>
                <w:sz w:val="21"/>
                <w:szCs w:val="21"/>
              </w:rPr>
            </w:pPr>
            <w:r>
              <w:rPr>
                <w:rFonts w:hint="eastAsia" w:ascii="宋体" w:hAnsi="宋体" w:eastAsia="宋体" w:cs="宋体"/>
                <w:bCs/>
                <w:kern w:val="44"/>
                <w:sz w:val="21"/>
                <w:szCs w:val="21"/>
                <w:lang w:val="en-US" w:eastAsia="zh-CN"/>
              </w:rPr>
              <w:t>(2)</w:t>
            </w:r>
            <w:r>
              <w:rPr>
                <w:rFonts w:hint="eastAsia" w:ascii="宋体" w:hAnsi="宋体" w:eastAsia="宋体" w:cs="宋体"/>
                <w:bCs/>
                <w:kern w:val="44"/>
                <w:sz w:val="21"/>
                <w:szCs w:val="21"/>
              </w:rPr>
              <w:t>监控系统</w:t>
            </w:r>
            <w:r>
              <w:rPr>
                <w:rFonts w:hint="eastAsia" w:ascii="宋体" w:hAnsi="宋体" w:eastAsia="宋体" w:cs="宋体"/>
                <w:kern w:val="0"/>
                <w:sz w:val="21"/>
                <w:szCs w:val="21"/>
              </w:rPr>
              <w:t>的</w:t>
            </w:r>
            <w:r>
              <w:rPr>
                <w:rFonts w:hint="eastAsia" w:ascii="宋体" w:hAnsi="宋体" w:eastAsia="宋体" w:cs="宋体"/>
                <w:bCs/>
                <w:kern w:val="44"/>
                <w:sz w:val="21"/>
                <w:szCs w:val="21"/>
              </w:rPr>
              <w:t>采购和安装，提供技术指导并复核设备安装的可靠性；</w:t>
            </w:r>
          </w:p>
          <w:p>
            <w:pPr>
              <w:pStyle w:val="174"/>
              <w:numPr>
                <w:ilvl w:val="-1"/>
                <w:numId w:val="0"/>
              </w:numPr>
              <w:spacing w:after="0" w:afterLines="0" w:line="500" w:lineRule="exact"/>
              <w:ind w:left="0" w:leftChars="0" w:firstLine="0" w:firstLineChars="0"/>
              <w:rPr>
                <w:rFonts w:hint="eastAsia" w:ascii="宋体" w:hAnsi="宋体" w:eastAsia="宋体" w:cs="宋体"/>
                <w:kern w:val="0"/>
                <w:sz w:val="21"/>
                <w:szCs w:val="21"/>
              </w:rPr>
            </w:pPr>
            <w:r>
              <w:rPr>
                <w:rFonts w:hint="eastAsia" w:ascii="宋体" w:hAnsi="宋体" w:eastAsia="宋体" w:cs="宋体"/>
                <w:bCs/>
                <w:kern w:val="44"/>
                <w:sz w:val="21"/>
                <w:szCs w:val="21"/>
                <w:lang w:val="en-US" w:eastAsia="zh-CN"/>
              </w:rPr>
              <w:t>(3)</w:t>
            </w:r>
            <w:r>
              <w:rPr>
                <w:rFonts w:hint="eastAsia" w:ascii="宋体" w:hAnsi="宋体" w:eastAsia="宋体" w:cs="宋体"/>
                <w:bCs/>
                <w:kern w:val="44"/>
                <w:sz w:val="21"/>
                <w:szCs w:val="21"/>
              </w:rPr>
              <w:t>使用过程中的故障修复、数据等系统日常维护及塔吊球机外设备的拆除</w:t>
            </w:r>
            <w:r>
              <w:rPr>
                <w:rFonts w:hint="eastAsia" w:ascii="宋体" w:hAnsi="宋体" w:eastAsia="宋体" w:cs="宋体"/>
                <w:kern w:val="0"/>
                <w:sz w:val="21"/>
                <w:szCs w:val="21"/>
              </w:rPr>
              <w:t>；</w:t>
            </w:r>
          </w:p>
          <w:p>
            <w:pPr>
              <w:pStyle w:val="174"/>
              <w:numPr>
                <w:ilvl w:val="-1"/>
                <w:numId w:val="0"/>
              </w:numPr>
              <w:spacing w:after="0" w:afterLines="0" w:line="500" w:lineRule="exact"/>
              <w:ind w:left="0" w:leftChars="0" w:firstLine="0" w:firstLineChars="0"/>
              <w:rPr>
                <w:rFonts w:hint="eastAsia" w:ascii="宋体" w:hAnsi="宋体" w:eastAsia="宋体" w:cs="宋体"/>
                <w:kern w:val="0"/>
                <w:sz w:val="21"/>
                <w:szCs w:val="21"/>
              </w:rPr>
            </w:pPr>
            <w:r>
              <w:rPr>
                <w:rFonts w:hint="eastAsia" w:ascii="宋体" w:hAnsi="宋体" w:eastAsia="宋体" w:cs="宋体"/>
                <w:bCs/>
                <w:kern w:val="44"/>
                <w:sz w:val="21"/>
                <w:szCs w:val="21"/>
                <w:lang w:val="en-US" w:eastAsia="zh-CN"/>
              </w:rPr>
              <w:t>(4)</w:t>
            </w:r>
            <w:r>
              <w:rPr>
                <w:rFonts w:hint="eastAsia" w:ascii="宋体" w:hAnsi="宋体" w:eastAsia="宋体" w:cs="宋体"/>
                <w:bCs/>
                <w:kern w:val="44"/>
                <w:sz w:val="21"/>
                <w:szCs w:val="21"/>
              </w:rPr>
              <w:t>项目结束后，对智慧工地设备进行保管并流转至新开项目重复利用。</w:t>
            </w:r>
            <w:bookmarkEnd w:id="1851"/>
          </w:p>
        </w:tc>
      </w:tr>
    </w:tbl>
    <w:p>
      <w:pPr>
        <w:pStyle w:val="5"/>
        <w:widowControl/>
        <w:numPr>
          <w:ilvl w:val="0"/>
          <w:numId w:val="34"/>
        </w:numPr>
        <w:spacing w:beforeLines="0" w:after="120"/>
        <w:rPr>
          <w:rFonts w:hint="eastAsia" w:hAnsi="宋体" w:cs="黑体"/>
          <w:color w:val="auto"/>
          <w:sz w:val="21"/>
          <w:szCs w:val="21"/>
          <w:highlight w:val="none"/>
        </w:rPr>
      </w:pPr>
      <w:r>
        <w:rPr>
          <w:rFonts w:hint="eastAsia" w:hAnsi="宋体" w:cs="黑体"/>
          <w:color w:val="auto"/>
          <w:sz w:val="21"/>
          <w:szCs w:val="21"/>
          <w:highlight w:val="none"/>
        </w:rPr>
        <w:br w:type="page"/>
      </w:r>
      <w:bookmarkEnd w:id="1850"/>
      <w:bookmarkStart w:id="1852" w:name="_Toc1583"/>
      <w:bookmarkStart w:id="1853" w:name="_Toc17307"/>
      <w:bookmarkStart w:id="1854" w:name="_Toc106703339"/>
      <w:bookmarkStart w:id="1855" w:name="_Toc61877351"/>
      <w:bookmarkStart w:id="1856" w:name="_Toc30471"/>
      <w:bookmarkStart w:id="1857" w:name="_Toc901"/>
      <w:bookmarkStart w:id="1858" w:name="_Toc32490"/>
      <w:bookmarkStart w:id="1859" w:name="_Toc29646"/>
      <w:r>
        <w:rPr>
          <w:rFonts w:hint="eastAsia" w:hAnsi="宋体" w:cs="黑体"/>
          <w:color w:val="auto"/>
          <w:sz w:val="21"/>
          <w:szCs w:val="21"/>
          <w:highlight w:val="none"/>
        </w:rPr>
        <w:t>参</w:t>
      </w:r>
      <w:bookmarkStart w:id="1860" w:name="_Toc13309431"/>
      <w:bookmarkEnd w:id="1860"/>
      <w:bookmarkStart w:id="1861" w:name="_Toc215480860"/>
      <w:bookmarkEnd w:id="1861"/>
      <w:bookmarkStart w:id="1862" w:name="_Toc49663161"/>
      <w:bookmarkEnd w:id="1862"/>
      <w:bookmarkStart w:id="1863" w:name="_Toc63471530"/>
      <w:r>
        <w:rPr>
          <w:rFonts w:hint="eastAsia" w:hAnsi="宋体" w:cs="黑体"/>
          <w:color w:val="auto"/>
          <w:sz w:val="21"/>
          <w:szCs w:val="21"/>
          <w:highlight w:val="none"/>
        </w:rPr>
        <w:t>考品牌</w:t>
      </w:r>
      <w:bookmarkEnd w:id="1852"/>
      <w:bookmarkEnd w:id="1853"/>
      <w:bookmarkEnd w:id="1854"/>
      <w:bookmarkEnd w:id="1855"/>
      <w:bookmarkEnd w:id="1856"/>
      <w:bookmarkEnd w:id="1857"/>
      <w:bookmarkEnd w:id="1858"/>
      <w:bookmarkEnd w:id="1859"/>
      <w:bookmarkEnd w:id="1863"/>
    </w:p>
    <w:p>
      <w:pPr>
        <w:pStyle w:val="5"/>
        <w:widowControl/>
        <w:numPr>
          <w:ilvl w:val="-1"/>
          <w:numId w:val="0"/>
        </w:numPr>
        <w:spacing w:beforeLines="0" w:after="120"/>
        <w:ind w:firstLine="0"/>
        <w:jc w:val="center"/>
        <w:rPr>
          <w:rFonts w:hAnsi="宋体" w:cs="黑体"/>
          <w:color w:val="auto"/>
          <w:sz w:val="24"/>
          <w:szCs w:val="24"/>
          <w:highlight w:val="none"/>
        </w:rPr>
      </w:pPr>
      <w:bookmarkStart w:id="1864" w:name="_Toc5691"/>
      <w:bookmarkStart w:id="1865" w:name="_Toc9689"/>
      <w:r>
        <w:rPr>
          <w:rFonts w:hint="eastAsia" w:ascii="黑体" w:eastAsia="黑体"/>
          <w:b/>
          <w:sz w:val="24"/>
          <w:szCs w:val="24"/>
        </w:rPr>
        <w:t>主要材料设备参考品牌明细表</w:t>
      </w:r>
      <w:bookmarkEnd w:id="1864"/>
      <w:bookmarkEnd w:id="1865"/>
    </w:p>
    <w:tbl>
      <w:tblPr>
        <w:tblStyle w:val="6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0"/>
        <w:gridCol w:w="2231"/>
        <w:gridCol w:w="1140"/>
        <w:gridCol w:w="1035"/>
        <w:gridCol w:w="1020"/>
        <w:gridCol w:w="945"/>
        <w:gridCol w:w="825"/>
        <w:gridCol w:w="735"/>
        <w:gridCol w:w="764"/>
        <w:gridCol w:w="711"/>
        <w:tblGridChange w:id="0">
          <w:tblGrid>
            <w:gridCol w:w="590"/>
            <w:gridCol w:w="2231"/>
            <w:gridCol w:w="1140"/>
            <w:gridCol w:w="1035"/>
            <w:gridCol w:w="1020"/>
            <w:gridCol w:w="945"/>
            <w:gridCol w:w="825"/>
            <w:gridCol w:w="735"/>
            <w:gridCol w:w="764"/>
            <w:gridCol w:w="711"/>
          </w:tblGrid>
        </w:tblGridChange>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blHeader/>
          <w:jc w:val="center"/>
        </w:trPr>
        <w:tc>
          <w:tcPr>
            <w:tcW w:w="590" w:type="dxa"/>
            <w:noWrap w:val="0"/>
            <w:vAlign w:val="center"/>
          </w:tcPr>
          <w:p>
            <w:pPr>
              <w:widowControl/>
              <w:jc w:val="center"/>
              <w:rPr>
                <w:rFonts w:hint="eastAsia" w:hAnsi="宋体" w:eastAsia="宋体" w:cs="宋体"/>
                <w:b/>
                <w:color w:val="auto"/>
                <w:kern w:val="0"/>
                <w:sz w:val="21"/>
                <w:szCs w:val="21"/>
                <w:highlight w:val="none"/>
              </w:rPr>
            </w:pPr>
            <w:bookmarkStart w:id="1866" w:name="_Toc17922"/>
            <w:bookmarkEnd w:id="1866"/>
            <w:bookmarkStart w:id="1867" w:name="_Toc5991"/>
            <w:bookmarkEnd w:id="1867"/>
            <w:bookmarkStart w:id="1868" w:name="_Toc5485"/>
            <w:bookmarkEnd w:id="1868"/>
            <w:bookmarkStart w:id="1869" w:name="_Toc52113010"/>
            <w:bookmarkEnd w:id="1869"/>
            <w:r>
              <w:rPr>
                <w:rFonts w:hint="eastAsia" w:hAnsi="宋体" w:eastAsia="宋体" w:cs="宋体"/>
                <w:b/>
                <w:color w:val="auto"/>
                <w:kern w:val="0"/>
                <w:sz w:val="21"/>
                <w:szCs w:val="21"/>
                <w:highlight w:val="none"/>
              </w:rPr>
              <w:t>序号</w:t>
            </w:r>
          </w:p>
        </w:tc>
        <w:tc>
          <w:tcPr>
            <w:tcW w:w="2231" w:type="dxa"/>
            <w:noWrap w:val="0"/>
            <w:vAlign w:val="center"/>
          </w:tcPr>
          <w:p>
            <w:pPr>
              <w:widowControl/>
              <w:jc w:val="center"/>
              <w:rPr>
                <w:rFonts w:hint="eastAsia" w:hAnsi="宋体" w:eastAsia="宋体" w:cs="宋体"/>
                <w:b/>
                <w:color w:val="auto"/>
                <w:kern w:val="0"/>
                <w:sz w:val="21"/>
                <w:szCs w:val="21"/>
                <w:highlight w:val="none"/>
              </w:rPr>
            </w:pPr>
            <w:r>
              <w:rPr>
                <w:rFonts w:hint="eastAsia" w:hAnsi="宋体" w:eastAsia="宋体" w:cs="宋体"/>
                <w:b/>
                <w:color w:val="auto"/>
                <w:kern w:val="0"/>
                <w:sz w:val="21"/>
                <w:szCs w:val="21"/>
                <w:highlight w:val="none"/>
              </w:rPr>
              <w:t>材料名称</w:t>
            </w:r>
          </w:p>
        </w:tc>
        <w:tc>
          <w:tcPr>
            <w:tcW w:w="1140" w:type="dxa"/>
            <w:noWrap w:val="0"/>
            <w:vAlign w:val="center"/>
          </w:tcPr>
          <w:p>
            <w:pPr>
              <w:widowControl/>
              <w:jc w:val="center"/>
              <w:rPr>
                <w:rFonts w:hint="eastAsia" w:hAnsi="宋体" w:eastAsia="宋体" w:cs="宋体"/>
                <w:b/>
                <w:color w:val="auto"/>
                <w:kern w:val="0"/>
                <w:sz w:val="21"/>
                <w:szCs w:val="21"/>
                <w:highlight w:val="none"/>
                <w:lang w:eastAsia="zh-CN"/>
              </w:rPr>
            </w:pPr>
            <w:r>
              <w:rPr>
                <w:rFonts w:hint="eastAsia" w:hAnsi="宋体" w:eastAsia="宋体" w:cs="宋体"/>
                <w:b/>
                <w:color w:val="auto"/>
                <w:kern w:val="0"/>
                <w:sz w:val="21"/>
                <w:szCs w:val="21"/>
                <w:highlight w:val="none"/>
              </w:rPr>
              <w:t>推荐</w:t>
            </w:r>
          </w:p>
          <w:p>
            <w:pPr>
              <w:widowControl/>
              <w:jc w:val="center"/>
              <w:rPr>
                <w:rFonts w:hint="eastAsia" w:hAnsi="宋体" w:eastAsia="宋体" w:cs="宋体"/>
                <w:b/>
                <w:color w:val="auto"/>
                <w:kern w:val="0"/>
                <w:sz w:val="21"/>
                <w:szCs w:val="21"/>
                <w:highlight w:val="none"/>
              </w:rPr>
            </w:pPr>
            <w:r>
              <w:rPr>
                <w:rFonts w:hint="eastAsia" w:hAnsi="宋体" w:eastAsia="宋体" w:cs="宋体"/>
                <w:b/>
                <w:color w:val="auto"/>
                <w:kern w:val="0"/>
                <w:sz w:val="21"/>
                <w:szCs w:val="21"/>
                <w:highlight w:val="none"/>
              </w:rPr>
              <w:t>品牌一</w:t>
            </w:r>
          </w:p>
        </w:tc>
        <w:tc>
          <w:tcPr>
            <w:tcW w:w="1035" w:type="dxa"/>
            <w:noWrap w:val="0"/>
            <w:vAlign w:val="center"/>
          </w:tcPr>
          <w:p>
            <w:pPr>
              <w:widowControl/>
              <w:jc w:val="center"/>
              <w:rPr>
                <w:rFonts w:hint="eastAsia" w:hAnsi="宋体" w:eastAsia="宋体" w:cs="宋体"/>
                <w:b/>
                <w:color w:val="auto"/>
                <w:kern w:val="0"/>
                <w:sz w:val="21"/>
                <w:szCs w:val="21"/>
                <w:highlight w:val="none"/>
                <w:lang w:eastAsia="zh-CN"/>
              </w:rPr>
            </w:pPr>
            <w:r>
              <w:rPr>
                <w:rFonts w:hint="eastAsia" w:hAnsi="宋体" w:eastAsia="宋体" w:cs="宋体"/>
                <w:b/>
                <w:color w:val="auto"/>
                <w:kern w:val="0"/>
                <w:sz w:val="21"/>
                <w:szCs w:val="21"/>
                <w:highlight w:val="none"/>
              </w:rPr>
              <w:t>推荐</w:t>
            </w:r>
          </w:p>
          <w:p>
            <w:pPr>
              <w:widowControl/>
              <w:jc w:val="center"/>
              <w:rPr>
                <w:rFonts w:hint="eastAsia" w:hAnsi="宋体" w:eastAsia="宋体" w:cs="宋体"/>
                <w:b/>
                <w:color w:val="auto"/>
                <w:kern w:val="0"/>
                <w:sz w:val="21"/>
                <w:szCs w:val="21"/>
                <w:highlight w:val="none"/>
              </w:rPr>
            </w:pPr>
            <w:r>
              <w:rPr>
                <w:rFonts w:hint="eastAsia" w:hAnsi="宋体" w:eastAsia="宋体" w:cs="宋体"/>
                <w:b/>
                <w:color w:val="auto"/>
                <w:kern w:val="0"/>
                <w:sz w:val="21"/>
                <w:szCs w:val="21"/>
                <w:highlight w:val="none"/>
              </w:rPr>
              <w:t>品牌二</w:t>
            </w:r>
          </w:p>
        </w:tc>
        <w:tc>
          <w:tcPr>
            <w:tcW w:w="1020" w:type="dxa"/>
            <w:noWrap w:val="0"/>
            <w:vAlign w:val="center"/>
          </w:tcPr>
          <w:p>
            <w:pPr>
              <w:widowControl/>
              <w:jc w:val="center"/>
              <w:rPr>
                <w:rFonts w:hint="eastAsia" w:hAnsi="宋体" w:eastAsia="宋体" w:cs="宋体"/>
                <w:b/>
                <w:color w:val="auto"/>
                <w:kern w:val="0"/>
                <w:sz w:val="21"/>
                <w:szCs w:val="21"/>
                <w:highlight w:val="none"/>
                <w:lang w:eastAsia="zh-CN"/>
              </w:rPr>
            </w:pPr>
            <w:r>
              <w:rPr>
                <w:rFonts w:hint="eastAsia" w:hAnsi="宋体" w:eastAsia="宋体" w:cs="宋体"/>
                <w:b/>
                <w:color w:val="auto"/>
                <w:kern w:val="0"/>
                <w:sz w:val="21"/>
                <w:szCs w:val="21"/>
                <w:highlight w:val="none"/>
              </w:rPr>
              <w:t>推荐</w:t>
            </w:r>
          </w:p>
          <w:p>
            <w:pPr>
              <w:widowControl/>
              <w:jc w:val="center"/>
              <w:rPr>
                <w:rFonts w:hint="eastAsia" w:hAnsi="宋体" w:eastAsia="宋体" w:cs="宋体"/>
                <w:b/>
                <w:color w:val="auto"/>
                <w:kern w:val="0"/>
                <w:sz w:val="21"/>
                <w:szCs w:val="21"/>
                <w:highlight w:val="none"/>
              </w:rPr>
            </w:pPr>
            <w:r>
              <w:rPr>
                <w:rFonts w:hint="eastAsia" w:hAnsi="宋体" w:eastAsia="宋体" w:cs="宋体"/>
                <w:b/>
                <w:color w:val="auto"/>
                <w:kern w:val="0"/>
                <w:sz w:val="21"/>
                <w:szCs w:val="21"/>
                <w:highlight w:val="none"/>
              </w:rPr>
              <w:t>品牌三</w:t>
            </w:r>
          </w:p>
        </w:tc>
        <w:tc>
          <w:tcPr>
            <w:tcW w:w="945" w:type="dxa"/>
            <w:noWrap w:val="0"/>
            <w:vAlign w:val="center"/>
          </w:tcPr>
          <w:p>
            <w:pPr>
              <w:widowControl/>
              <w:jc w:val="center"/>
              <w:rPr>
                <w:rFonts w:hint="eastAsia" w:hAnsi="宋体" w:eastAsia="宋体" w:cs="宋体"/>
                <w:b/>
                <w:color w:val="auto"/>
                <w:kern w:val="0"/>
                <w:sz w:val="21"/>
                <w:szCs w:val="21"/>
                <w:highlight w:val="none"/>
                <w:lang w:eastAsia="zh-CN"/>
              </w:rPr>
            </w:pPr>
            <w:r>
              <w:rPr>
                <w:rFonts w:hint="eastAsia" w:hAnsi="宋体" w:eastAsia="宋体" w:cs="宋体"/>
                <w:b/>
                <w:color w:val="auto"/>
                <w:kern w:val="0"/>
                <w:sz w:val="21"/>
                <w:szCs w:val="21"/>
                <w:highlight w:val="none"/>
              </w:rPr>
              <w:t>推荐</w:t>
            </w:r>
          </w:p>
          <w:p>
            <w:pPr>
              <w:widowControl/>
              <w:jc w:val="center"/>
              <w:rPr>
                <w:rFonts w:hint="eastAsia" w:hAnsi="宋体" w:eastAsia="宋体" w:cs="宋体"/>
                <w:b/>
                <w:color w:val="auto"/>
                <w:kern w:val="0"/>
                <w:sz w:val="21"/>
                <w:szCs w:val="21"/>
                <w:highlight w:val="none"/>
              </w:rPr>
            </w:pPr>
            <w:r>
              <w:rPr>
                <w:rFonts w:hint="eastAsia" w:hAnsi="宋体" w:eastAsia="宋体" w:cs="宋体"/>
                <w:b/>
                <w:color w:val="auto"/>
                <w:kern w:val="0"/>
                <w:sz w:val="21"/>
                <w:szCs w:val="21"/>
                <w:highlight w:val="none"/>
              </w:rPr>
              <w:t>品牌四</w:t>
            </w:r>
          </w:p>
        </w:tc>
        <w:tc>
          <w:tcPr>
            <w:tcW w:w="825" w:type="dxa"/>
            <w:noWrap w:val="0"/>
            <w:vAlign w:val="center"/>
          </w:tcPr>
          <w:p>
            <w:pPr>
              <w:widowControl/>
              <w:jc w:val="center"/>
              <w:rPr>
                <w:rFonts w:hint="eastAsia" w:hAnsi="宋体" w:eastAsia="宋体" w:cs="宋体"/>
                <w:b/>
                <w:color w:val="auto"/>
                <w:kern w:val="0"/>
                <w:sz w:val="21"/>
                <w:szCs w:val="21"/>
                <w:highlight w:val="none"/>
                <w:lang w:eastAsia="zh-CN"/>
              </w:rPr>
            </w:pPr>
            <w:r>
              <w:rPr>
                <w:rFonts w:hint="eastAsia" w:hAnsi="宋体" w:eastAsia="宋体" w:cs="宋体"/>
                <w:b/>
                <w:color w:val="auto"/>
                <w:kern w:val="0"/>
                <w:sz w:val="21"/>
                <w:szCs w:val="21"/>
                <w:highlight w:val="none"/>
              </w:rPr>
              <w:t>推荐</w:t>
            </w:r>
          </w:p>
          <w:p>
            <w:pPr>
              <w:widowControl/>
              <w:jc w:val="center"/>
              <w:rPr>
                <w:rFonts w:hint="eastAsia" w:hAnsi="宋体" w:eastAsia="宋体" w:cs="宋体"/>
                <w:b/>
                <w:color w:val="auto"/>
                <w:kern w:val="0"/>
                <w:sz w:val="21"/>
                <w:szCs w:val="21"/>
                <w:highlight w:val="none"/>
              </w:rPr>
            </w:pPr>
            <w:r>
              <w:rPr>
                <w:rFonts w:hint="eastAsia" w:hAnsi="宋体" w:eastAsia="宋体" w:cs="宋体"/>
                <w:b/>
                <w:color w:val="auto"/>
                <w:kern w:val="0"/>
                <w:sz w:val="21"/>
                <w:szCs w:val="21"/>
                <w:highlight w:val="none"/>
              </w:rPr>
              <w:t>品牌五</w:t>
            </w:r>
          </w:p>
        </w:tc>
        <w:tc>
          <w:tcPr>
            <w:tcW w:w="735" w:type="dxa"/>
            <w:noWrap w:val="0"/>
            <w:vAlign w:val="center"/>
          </w:tcPr>
          <w:p>
            <w:pPr>
              <w:widowControl/>
              <w:jc w:val="center"/>
              <w:rPr>
                <w:rFonts w:hint="eastAsia" w:hAnsi="宋体" w:eastAsia="宋体" w:cs="宋体"/>
                <w:b/>
                <w:color w:val="auto"/>
                <w:kern w:val="0"/>
                <w:sz w:val="21"/>
                <w:szCs w:val="21"/>
                <w:highlight w:val="none"/>
                <w:lang w:eastAsia="zh-CN"/>
              </w:rPr>
            </w:pPr>
            <w:r>
              <w:rPr>
                <w:rFonts w:hint="eastAsia" w:hAnsi="宋体" w:eastAsia="宋体" w:cs="宋体"/>
                <w:b/>
                <w:color w:val="auto"/>
                <w:kern w:val="0"/>
                <w:sz w:val="21"/>
                <w:szCs w:val="21"/>
                <w:highlight w:val="none"/>
              </w:rPr>
              <w:t>推荐</w:t>
            </w:r>
          </w:p>
          <w:p>
            <w:pPr>
              <w:widowControl/>
              <w:jc w:val="center"/>
              <w:rPr>
                <w:rFonts w:hint="eastAsia" w:hAnsi="宋体" w:eastAsia="宋体" w:cs="宋体"/>
                <w:b/>
                <w:color w:val="auto"/>
                <w:kern w:val="0"/>
                <w:sz w:val="21"/>
                <w:szCs w:val="21"/>
                <w:highlight w:val="none"/>
              </w:rPr>
            </w:pPr>
            <w:r>
              <w:rPr>
                <w:rFonts w:hint="eastAsia" w:hAnsi="宋体" w:eastAsia="宋体" w:cs="宋体"/>
                <w:b/>
                <w:color w:val="auto"/>
                <w:kern w:val="0"/>
                <w:sz w:val="21"/>
                <w:szCs w:val="21"/>
                <w:highlight w:val="none"/>
              </w:rPr>
              <w:t>品牌六</w:t>
            </w:r>
          </w:p>
        </w:tc>
        <w:tc>
          <w:tcPr>
            <w:tcW w:w="764" w:type="dxa"/>
            <w:noWrap w:val="0"/>
            <w:vAlign w:val="center"/>
          </w:tcPr>
          <w:p>
            <w:pPr>
              <w:widowControl/>
              <w:jc w:val="center"/>
              <w:rPr>
                <w:rFonts w:hint="eastAsia" w:hAnsi="宋体" w:eastAsia="宋体" w:cs="宋体"/>
                <w:b/>
                <w:color w:val="auto"/>
                <w:kern w:val="0"/>
                <w:sz w:val="21"/>
                <w:szCs w:val="21"/>
                <w:highlight w:val="none"/>
                <w:lang w:eastAsia="zh-CN"/>
              </w:rPr>
            </w:pPr>
            <w:r>
              <w:rPr>
                <w:rFonts w:hint="eastAsia" w:hAnsi="宋体" w:eastAsia="宋体" w:cs="宋体"/>
                <w:b/>
                <w:color w:val="auto"/>
                <w:kern w:val="0"/>
                <w:sz w:val="21"/>
                <w:szCs w:val="21"/>
                <w:highlight w:val="none"/>
              </w:rPr>
              <w:t>推荐</w:t>
            </w:r>
          </w:p>
          <w:p>
            <w:pPr>
              <w:widowControl/>
              <w:jc w:val="center"/>
              <w:rPr>
                <w:rFonts w:hint="eastAsia" w:hAnsi="宋体" w:eastAsia="宋体" w:cs="宋体"/>
                <w:b/>
                <w:color w:val="auto"/>
                <w:kern w:val="0"/>
                <w:sz w:val="21"/>
                <w:szCs w:val="21"/>
                <w:highlight w:val="none"/>
              </w:rPr>
            </w:pPr>
            <w:r>
              <w:rPr>
                <w:rFonts w:hint="eastAsia" w:hAnsi="宋体" w:eastAsia="宋体" w:cs="宋体"/>
                <w:b/>
                <w:color w:val="auto"/>
                <w:kern w:val="0"/>
                <w:sz w:val="21"/>
                <w:szCs w:val="21"/>
                <w:highlight w:val="none"/>
              </w:rPr>
              <w:t>品牌七</w:t>
            </w:r>
          </w:p>
        </w:tc>
        <w:tc>
          <w:tcPr>
            <w:tcW w:w="711" w:type="dxa"/>
            <w:noWrap w:val="0"/>
            <w:vAlign w:val="center"/>
          </w:tcPr>
          <w:p>
            <w:pPr>
              <w:widowControl/>
              <w:jc w:val="center"/>
              <w:rPr>
                <w:rFonts w:hint="eastAsia" w:hAnsi="宋体" w:eastAsia="宋体" w:cs="宋体"/>
                <w:b/>
                <w:color w:val="auto"/>
                <w:kern w:val="0"/>
                <w:sz w:val="21"/>
                <w:szCs w:val="21"/>
                <w:highlight w:val="none"/>
              </w:rPr>
            </w:pPr>
            <w:r>
              <w:rPr>
                <w:rFonts w:hint="eastAsia" w:hAnsi="宋体" w:eastAsia="宋体" w:cs="宋体"/>
                <w:b/>
                <w:color w:val="auto"/>
                <w:kern w:val="0"/>
                <w:sz w:val="2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9996" w:type="dxa"/>
            <w:gridSpan w:val="10"/>
            <w:noWrap/>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
                <w:color w:val="auto"/>
                <w:kern w:val="0"/>
                <w:sz w:val="21"/>
                <w:szCs w:val="21"/>
                <w:highlight w:val="none"/>
              </w:rPr>
              <w:t>土建装修工程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90" w:type="dxa"/>
            <w:noWrap/>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1</w:t>
            </w:r>
          </w:p>
        </w:tc>
        <w:tc>
          <w:tcPr>
            <w:tcW w:w="2231"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钢筋、钢材</w:t>
            </w:r>
          </w:p>
        </w:tc>
        <w:tc>
          <w:tcPr>
            <w:tcW w:w="114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三钢</w:t>
            </w:r>
          </w:p>
        </w:tc>
        <w:tc>
          <w:tcPr>
            <w:tcW w:w="103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首钢</w:t>
            </w:r>
          </w:p>
        </w:tc>
        <w:tc>
          <w:tcPr>
            <w:tcW w:w="102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宝</w:t>
            </w:r>
            <w:r>
              <w:rPr>
                <w:rFonts w:hint="eastAsia" w:hAnsi="宋体" w:eastAsia="宋体" w:cs="宋体"/>
                <w:bCs w:val="0"/>
                <w:color w:val="auto"/>
                <w:kern w:val="0"/>
                <w:sz w:val="21"/>
                <w:szCs w:val="21"/>
                <w:highlight w:val="none"/>
                <w:lang w:val="en-US" w:eastAsia="zh-CN"/>
              </w:rPr>
              <w:t>武</w:t>
            </w:r>
          </w:p>
        </w:tc>
        <w:tc>
          <w:tcPr>
            <w:tcW w:w="945" w:type="dxa"/>
            <w:noWrap w:val="0"/>
            <w:vAlign w:val="center"/>
          </w:tcPr>
          <w:p>
            <w:pPr>
              <w:widowControl/>
              <w:jc w:val="center"/>
              <w:rPr>
                <w:rFonts w:hint="eastAsia" w:hAnsi="宋体" w:eastAsia="宋体" w:cs="宋体"/>
                <w:bCs w:val="0"/>
                <w:color w:val="auto"/>
                <w:kern w:val="0"/>
                <w:sz w:val="21"/>
                <w:szCs w:val="21"/>
                <w:highlight w:val="none"/>
              </w:rPr>
            </w:pPr>
          </w:p>
        </w:tc>
        <w:tc>
          <w:tcPr>
            <w:tcW w:w="825" w:type="dxa"/>
            <w:noWrap w:val="0"/>
            <w:vAlign w:val="center"/>
          </w:tcPr>
          <w:p>
            <w:pPr>
              <w:widowControl/>
              <w:jc w:val="center"/>
              <w:rPr>
                <w:rFonts w:hint="eastAsia" w:hAnsi="宋体" w:eastAsia="宋体" w:cs="宋体"/>
                <w:bCs w:val="0"/>
                <w:color w:val="auto"/>
                <w:kern w:val="0"/>
                <w:sz w:val="21"/>
                <w:szCs w:val="21"/>
                <w:highlight w:val="none"/>
              </w:rPr>
            </w:pP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590" w:type="dxa"/>
            <w:noWrap/>
            <w:vAlign w:val="center"/>
          </w:tcPr>
          <w:p>
            <w:pPr>
              <w:widowControl/>
              <w:jc w:val="center"/>
              <w:rPr>
                <w:rFonts w:hint="eastAsia" w:hAnsi="宋体" w:eastAsia="宋体" w:cs="宋体"/>
                <w:bCs w:val="0"/>
                <w:color w:val="auto"/>
                <w:kern w:val="0"/>
                <w:sz w:val="21"/>
                <w:szCs w:val="21"/>
                <w:highlight w:val="none"/>
                <w:lang w:eastAsia="zh-CN"/>
              </w:rPr>
            </w:pPr>
            <w:r>
              <w:rPr>
                <w:rFonts w:hint="eastAsia" w:hAnsi="宋体" w:eastAsia="宋体" w:cs="宋体"/>
                <w:bCs w:val="0"/>
                <w:color w:val="auto"/>
                <w:kern w:val="0"/>
                <w:sz w:val="21"/>
                <w:szCs w:val="21"/>
                <w:highlight w:val="none"/>
                <w:lang w:val="en-US" w:eastAsia="zh-CN"/>
              </w:rPr>
              <w:t>2</w:t>
            </w:r>
          </w:p>
        </w:tc>
        <w:tc>
          <w:tcPr>
            <w:tcW w:w="2231"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水泥</w:t>
            </w:r>
          </w:p>
        </w:tc>
        <w:tc>
          <w:tcPr>
            <w:tcW w:w="114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建福</w:t>
            </w:r>
          </w:p>
        </w:tc>
        <w:tc>
          <w:tcPr>
            <w:tcW w:w="103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华润</w:t>
            </w:r>
          </w:p>
        </w:tc>
        <w:tc>
          <w:tcPr>
            <w:tcW w:w="102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海螺</w:t>
            </w:r>
          </w:p>
        </w:tc>
        <w:tc>
          <w:tcPr>
            <w:tcW w:w="94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　</w:t>
            </w:r>
          </w:p>
        </w:tc>
        <w:tc>
          <w:tcPr>
            <w:tcW w:w="82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　</w:t>
            </w: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590" w:type="dxa"/>
            <w:noWrap/>
            <w:vAlign w:val="center"/>
          </w:tcPr>
          <w:p>
            <w:pPr>
              <w:widowControl/>
              <w:jc w:val="center"/>
              <w:rPr>
                <w:rFonts w:hint="eastAsia"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lang w:val="en-US" w:eastAsia="zh-CN"/>
              </w:rPr>
              <w:t>3</w:t>
            </w:r>
          </w:p>
        </w:tc>
        <w:tc>
          <w:tcPr>
            <w:tcW w:w="2231"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lang w:val="en-US" w:eastAsia="zh-CN"/>
              </w:rPr>
              <w:t>U</w:t>
            </w:r>
            <w:r>
              <w:rPr>
                <w:rFonts w:hint="eastAsia" w:hAnsi="宋体" w:eastAsia="宋体" w:cs="宋体"/>
                <w:bCs w:val="0"/>
                <w:color w:val="auto"/>
                <w:kern w:val="0"/>
                <w:sz w:val="21"/>
                <w:szCs w:val="21"/>
                <w:highlight w:val="none"/>
              </w:rPr>
              <w:t>HC</w:t>
            </w:r>
            <w:r>
              <w:rPr>
                <w:rFonts w:hint="eastAsia" w:hAnsi="宋体" w:eastAsia="宋体" w:cs="宋体"/>
                <w:bCs w:val="0"/>
                <w:color w:val="auto"/>
                <w:kern w:val="0"/>
                <w:sz w:val="21"/>
                <w:szCs w:val="21"/>
                <w:highlight w:val="none"/>
                <w:lang w:eastAsia="zh-CN"/>
              </w:rPr>
              <w:t>、</w:t>
            </w:r>
            <w:r>
              <w:rPr>
                <w:rFonts w:hint="eastAsia" w:hAnsi="宋体" w:eastAsia="宋体" w:cs="宋体"/>
                <w:bCs w:val="0"/>
                <w:color w:val="auto"/>
                <w:kern w:val="0"/>
                <w:sz w:val="21"/>
                <w:szCs w:val="21"/>
                <w:highlight w:val="none"/>
                <w:lang w:val="en-US" w:eastAsia="zh-CN"/>
              </w:rPr>
              <w:t>PHC</w:t>
            </w:r>
            <w:r>
              <w:rPr>
                <w:rFonts w:hint="eastAsia" w:hAnsi="宋体" w:eastAsia="宋体" w:cs="宋体"/>
                <w:bCs w:val="0"/>
                <w:color w:val="auto"/>
                <w:kern w:val="0"/>
                <w:sz w:val="21"/>
                <w:szCs w:val="21"/>
                <w:highlight w:val="none"/>
              </w:rPr>
              <w:t>管桩</w:t>
            </w:r>
          </w:p>
        </w:tc>
        <w:tc>
          <w:tcPr>
            <w:tcW w:w="114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三和</w:t>
            </w:r>
          </w:p>
        </w:tc>
        <w:tc>
          <w:tcPr>
            <w:tcW w:w="1035" w:type="dxa"/>
            <w:noWrap w:val="0"/>
            <w:vAlign w:val="center"/>
          </w:tcPr>
          <w:p>
            <w:pPr>
              <w:widowControl/>
              <w:jc w:val="center"/>
              <w:rPr>
                <w:rFonts w:hint="default"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lang w:val="en-US" w:eastAsia="zh-CN"/>
              </w:rPr>
              <w:t>大地</w:t>
            </w:r>
          </w:p>
        </w:tc>
        <w:tc>
          <w:tcPr>
            <w:tcW w:w="102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建华</w:t>
            </w:r>
          </w:p>
        </w:tc>
        <w:tc>
          <w:tcPr>
            <w:tcW w:w="94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lang w:val="en-US" w:eastAsia="zh-CN"/>
              </w:rPr>
              <w:t>坚实</w:t>
            </w:r>
            <w:r>
              <w:rPr>
                <w:rFonts w:hint="eastAsia" w:hAnsi="宋体" w:eastAsia="宋体" w:cs="宋体"/>
                <w:bCs w:val="0"/>
                <w:color w:val="auto"/>
                <w:kern w:val="0"/>
                <w:sz w:val="21"/>
                <w:szCs w:val="21"/>
                <w:highlight w:val="none"/>
              </w:rPr>
              <w:t>　</w:t>
            </w:r>
          </w:p>
        </w:tc>
        <w:tc>
          <w:tcPr>
            <w:tcW w:w="82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　</w:t>
            </w: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590" w:type="dxa"/>
            <w:noWrap/>
            <w:vAlign w:val="center"/>
          </w:tcPr>
          <w:p>
            <w:pPr>
              <w:widowControl/>
              <w:jc w:val="center"/>
              <w:rPr>
                <w:rFonts w:hint="default"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lang w:val="en-US" w:eastAsia="zh-CN"/>
              </w:rPr>
              <w:t>4.1</w:t>
            </w:r>
          </w:p>
        </w:tc>
        <w:tc>
          <w:tcPr>
            <w:tcW w:w="2231"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墙地砖</w:t>
            </w:r>
          </w:p>
        </w:tc>
        <w:tc>
          <w:tcPr>
            <w:tcW w:w="114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lang w:val="en-US" w:eastAsia="zh-CN"/>
              </w:rPr>
              <w:t>冠军</w:t>
            </w:r>
          </w:p>
        </w:tc>
        <w:tc>
          <w:tcPr>
            <w:tcW w:w="103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lang w:val="en-US" w:eastAsia="zh-CN"/>
              </w:rPr>
              <w:t>鹰牌</w:t>
            </w:r>
          </w:p>
        </w:tc>
        <w:tc>
          <w:tcPr>
            <w:tcW w:w="102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lang w:val="en-US" w:eastAsia="zh-CN"/>
              </w:rPr>
              <w:t>东鹏</w:t>
            </w:r>
          </w:p>
        </w:tc>
        <w:tc>
          <w:tcPr>
            <w:tcW w:w="945" w:type="dxa"/>
            <w:noWrap w:val="0"/>
            <w:vAlign w:val="center"/>
          </w:tcPr>
          <w:p>
            <w:pPr>
              <w:widowControl/>
              <w:jc w:val="center"/>
              <w:rPr>
                <w:rFonts w:hint="eastAsia" w:hAnsi="宋体" w:eastAsia="宋体" w:cs="宋体"/>
                <w:bCs w:val="0"/>
                <w:color w:val="auto"/>
                <w:kern w:val="0"/>
                <w:sz w:val="21"/>
                <w:szCs w:val="21"/>
                <w:highlight w:val="none"/>
              </w:rPr>
            </w:pPr>
          </w:p>
        </w:tc>
        <w:tc>
          <w:tcPr>
            <w:tcW w:w="825" w:type="dxa"/>
            <w:noWrap w:val="0"/>
            <w:vAlign w:val="center"/>
          </w:tcPr>
          <w:p>
            <w:pPr>
              <w:widowControl/>
              <w:jc w:val="center"/>
              <w:rPr>
                <w:rFonts w:hint="eastAsia" w:ascii="宋体" w:hAnsi="宋体" w:eastAsia="宋体" w:cs="宋体"/>
                <w:bCs w:val="0"/>
                <w:color w:val="auto"/>
                <w:kern w:val="0"/>
                <w:sz w:val="21"/>
                <w:szCs w:val="21"/>
                <w:highlight w:val="none"/>
              </w:rPr>
            </w:pPr>
          </w:p>
        </w:tc>
        <w:tc>
          <w:tcPr>
            <w:tcW w:w="735" w:type="dxa"/>
            <w:noWrap w:val="0"/>
            <w:vAlign w:val="center"/>
          </w:tcPr>
          <w:p>
            <w:pPr>
              <w:widowControl/>
              <w:jc w:val="center"/>
              <w:rPr>
                <w:rFonts w:hint="eastAsia" w:ascii="宋体" w:hAnsi="宋体" w:eastAsia="宋体" w:cs="宋体"/>
                <w:bCs w:val="0"/>
                <w:color w:val="auto"/>
                <w:kern w:val="0"/>
                <w:sz w:val="21"/>
                <w:szCs w:val="21"/>
                <w:highlight w:val="none"/>
              </w:rPr>
            </w:pPr>
          </w:p>
        </w:tc>
        <w:tc>
          <w:tcPr>
            <w:tcW w:w="764" w:type="dxa"/>
            <w:noWrap w:val="0"/>
            <w:vAlign w:val="center"/>
          </w:tcPr>
          <w:p>
            <w:pPr>
              <w:widowControl/>
              <w:jc w:val="center"/>
              <w:rPr>
                <w:rFonts w:hint="eastAsia" w:ascii="宋体" w:hAnsi="宋体" w:eastAsia="宋体" w:cs="宋体"/>
                <w:bCs w:val="0"/>
                <w:color w:val="auto"/>
                <w:kern w:val="0"/>
                <w:sz w:val="21"/>
                <w:szCs w:val="21"/>
                <w:highlight w:val="none"/>
              </w:rPr>
            </w:pPr>
          </w:p>
        </w:tc>
        <w:tc>
          <w:tcPr>
            <w:tcW w:w="711" w:type="dxa"/>
            <w:noWrap w:val="0"/>
            <w:vAlign w:val="center"/>
          </w:tcPr>
          <w:p>
            <w:pPr>
              <w:widowControl/>
              <w:jc w:val="center"/>
              <w:rPr>
                <w:rFonts w:hint="eastAsia" w:ascii="宋体" w:hAnsi="宋体" w:eastAsia="宋体" w:cs="宋体"/>
                <w:bCs w:val="0"/>
                <w:color w:val="auto"/>
                <w:kern w:val="0"/>
                <w:sz w:val="21"/>
                <w:szCs w:val="21"/>
                <w:highlight w:val="none"/>
                <w:lang w:val="en-US" w:eastAsia="zh-CN"/>
              </w:rPr>
            </w:pPr>
            <w:r>
              <w:rPr>
                <w:rFonts w:hint="eastAsia" w:ascii="宋体" w:hAnsi="宋体" w:eastAsia="宋体" w:cs="宋体"/>
                <w:bCs w:val="0"/>
                <w:color w:val="auto"/>
                <w:kern w:val="0"/>
                <w:sz w:val="21"/>
                <w:szCs w:val="21"/>
                <w:highlight w:val="none"/>
                <w:lang w:val="en-US" w:eastAsia="zh-CN"/>
              </w:rPr>
              <w:t>除电梯厅、门厅外的其他区域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590" w:type="dxa"/>
            <w:noWrap/>
            <w:vAlign w:val="center"/>
          </w:tcPr>
          <w:p>
            <w:pPr>
              <w:widowControl/>
              <w:jc w:val="center"/>
              <w:rPr>
                <w:rFonts w:hint="eastAsia"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lang w:val="en-US" w:eastAsia="zh-CN"/>
              </w:rPr>
              <w:t>4.2</w:t>
            </w:r>
          </w:p>
        </w:tc>
        <w:tc>
          <w:tcPr>
            <w:tcW w:w="2231" w:type="dxa"/>
            <w:noWrap w:val="0"/>
            <w:vAlign w:val="center"/>
          </w:tcPr>
          <w:p>
            <w:pPr>
              <w:widowControl/>
              <w:jc w:val="center"/>
              <w:rPr>
                <w:rFonts w:hint="default"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rPr>
              <w:t>墙地砖</w:t>
            </w:r>
          </w:p>
        </w:tc>
        <w:tc>
          <w:tcPr>
            <w:tcW w:w="1140" w:type="dxa"/>
            <w:noWrap w:val="0"/>
            <w:vAlign w:val="center"/>
          </w:tcPr>
          <w:p>
            <w:pPr>
              <w:widowControl/>
              <w:jc w:val="center"/>
              <w:rPr>
                <w:rFonts w:hint="eastAsia" w:ascii="宋体" w:hAnsi="宋体" w:eastAsia="宋体" w:cs="宋体"/>
                <w:bCs w:val="0"/>
                <w:color w:val="auto"/>
                <w:kern w:val="0"/>
                <w:sz w:val="21"/>
                <w:szCs w:val="21"/>
                <w:highlight w:val="none"/>
                <w:lang w:val="en-US" w:eastAsia="zh-CN" w:bidi="ar-SA"/>
              </w:rPr>
            </w:pPr>
            <w:r>
              <w:rPr>
                <w:rFonts w:hint="eastAsia" w:hAnsi="宋体" w:eastAsia="宋体" w:cs="宋体"/>
                <w:bCs w:val="0"/>
                <w:color w:val="auto"/>
                <w:kern w:val="0"/>
                <w:sz w:val="21"/>
                <w:szCs w:val="21"/>
                <w:highlight w:val="none"/>
              </w:rPr>
              <w:t>诺贝尔</w:t>
            </w:r>
          </w:p>
        </w:tc>
        <w:tc>
          <w:tcPr>
            <w:tcW w:w="1035" w:type="dxa"/>
            <w:noWrap w:val="0"/>
            <w:vAlign w:val="center"/>
          </w:tcPr>
          <w:p>
            <w:pPr>
              <w:widowControl/>
              <w:jc w:val="center"/>
              <w:rPr>
                <w:rFonts w:hint="eastAsia" w:ascii="宋体" w:hAnsi="宋体" w:eastAsia="宋体" w:cs="宋体"/>
                <w:bCs w:val="0"/>
                <w:color w:val="auto"/>
                <w:kern w:val="0"/>
                <w:sz w:val="21"/>
                <w:szCs w:val="21"/>
                <w:highlight w:val="none"/>
                <w:lang w:val="en-US" w:eastAsia="zh-CN" w:bidi="ar-SA"/>
              </w:rPr>
            </w:pPr>
            <w:r>
              <w:rPr>
                <w:rFonts w:hint="eastAsia" w:hAnsi="宋体" w:eastAsia="宋体" w:cs="宋体"/>
                <w:bCs w:val="0"/>
                <w:color w:val="auto"/>
                <w:kern w:val="0"/>
                <w:sz w:val="21"/>
                <w:szCs w:val="21"/>
                <w:highlight w:val="none"/>
              </w:rPr>
              <w:t>蒙娜丽莎</w:t>
            </w:r>
          </w:p>
        </w:tc>
        <w:tc>
          <w:tcPr>
            <w:tcW w:w="1020" w:type="dxa"/>
            <w:noWrap w:val="0"/>
            <w:vAlign w:val="center"/>
          </w:tcPr>
          <w:p>
            <w:pPr>
              <w:widowControl/>
              <w:jc w:val="center"/>
              <w:rPr>
                <w:rFonts w:hint="eastAsia" w:ascii="宋体" w:hAnsi="宋体" w:eastAsia="宋体" w:cs="宋体"/>
                <w:bCs w:val="0"/>
                <w:color w:val="auto"/>
                <w:kern w:val="0"/>
                <w:sz w:val="21"/>
                <w:szCs w:val="21"/>
                <w:highlight w:val="none"/>
                <w:lang w:val="en-US" w:eastAsia="zh-CN" w:bidi="ar-SA"/>
              </w:rPr>
            </w:pPr>
            <w:r>
              <w:rPr>
                <w:rFonts w:hint="eastAsia" w:hAnsi="宋体" w:eastAsia="宋体" w:cs="宋体"/>
                <w:bCs w:val="0"/>
                <w:color w:val="auto"/>
                <w:kern w:val="0"/>
                <w:sz w:val="21"/>
                <w:szCs w:val="21"/>
                <w:highlight w:val="none"/>
              </w:rPr>
              <w:t>马可波罗</w:t>
            </w:r>
          </w:p>
        </w:tc>
        <w:tc>
          <w:tcPr>
            <w:tcW w:w="945" w:type="dxa"/>
            <w:noWrap w:val="0"/>
            <w:vAlign w:val="center"/>
          </w:tcPr>
          <w:p>
            <w:pPr>
              <w:widowControl/>
              <w:jc w:val="center"/>
              <w:rPr>
                <w:rFonts w:hint="eastAsia" w:ascii="宋体" w:hAnsi="宋体" w:eastAsia="宋体" w:cs="宋体"/>
                <w:bCs w:val="0"/>
                <w:color w:val="auto"/>
                <w:kern w:val="0"/>
                <w:sz w:val="21"/>
                <w:szCs w:val="21"/>
                <w:highlight w:val="none"/>
                <w:lang w:val="en-US" w:eastAsia="zh-CN" w:bidi="ar-SA"/>
              </w:rPr>
            </w:pPr>
          </w:p>
        </w:tc>
        <w:tc>
          <w:tcPr>
            <w:tcW w:w="825" w:type="dxa"/>
            <w:noWrap w:val="0"/>
            <w:vAlign w:val="center"/>
          </w:tcPr>
          <w:p>
            <w:pPr>
              <w:widowControl/>
              <w:jc w:val="center"/>
              <w:rPr>
                <w:rFonts w:hint="eastAsia" w:ascii="宋体" w:hAnsi="宋体" w:eastAsia="宋体" w:cs="宋体"/>
                <w:bCs w:val="0"/>
                <w:color w:val="auto"/>
                <w:kern w:val="0"/>
                <w:sz w:val="21"/>
                <w:szCs w:val="21"/>
                <w:highlight w:val="none"/>
              </w:rPr>
            </w:pPr>
          </w:p>
        </w:tc>
        <w:tc>
          <w:tcPr>
            <w:tcW w:w="735" w:type="dxa"/>
            <w:noWrap w:val="0"/>
            <w:vAlign w:val="center"/>
          </w:tcPr>
          <w:p>
            <w:pPr>
              <w:widowControl/>
              <w:jc w:val="center"/>
              <w:rPr>
                <w:rFonts w:hint="eastAsia" w:ascii="宋体" w:hAnsi="宋体" w:eastAsia="宋体" w:cs="宋体"/>
                <w:bCs w:val="0"/>
                <w:color w:val="auto"/>
                <w:kern w:val="0"/>
                <w:sz w:val="21"/>
                <w:szCs w:val="21"/>
                <w:highlight w:val="none"/>
              </w:rPr>
            </w:pPr>
          </w:p>
        </w:tc>
        <w:tc>
          <w:tcPr>
            <w:tcW w:w="764" w:type="dxa"/>
            <w:noWrap w:val="0"/>
            <w:vAlign w:val="center"/>
          </w:tcPr>
          <w:p>
            <w:pPr>
              <w:widowControl/>
              <w:jc w:val="center"/>
              <w:rPr>
                <w:rFonts w:hint="eastAsia" w:ascii="宋体" w:hAnsi="宋体" w:eastAsia="宋体" w:cs="宋体"/>
                <w:bCs w:val="0"/>
                <w:color w:val="auto"/>
                <w:kern w:val="0"/>
                <w:sz w:val="21"/>
                <w:szCs w:val="21"/>
                <w:highlight w:val="none"/>
              </w:rPr>
            </w:pPr>
          </w:p>
        </w:tc>
        <w:tc>
          <w:tcPr>
            <w:tcW w:w="711" w:type="dxa"/>
            <w:noWrap w:val="0"/>
            <w:vAlign w:val="center"/>
          </w:tcPr>
          <w:p>
            <w:pPr>
              <w:widowControl/>
              <w:jc w:val="center"/>
              <w:rPr>
                <w:rFonts w:hint="eastAsia" w:ascii="宋体" w:hAnsi="宋体" w:eastAsia="宋体" w:cs="宋体"/>
                <w:bCs w:val="0"/>
                <w:color w:val="auto"/>
                <w:kern w:val="0"/>
                <w:sz w:val="21"/>
                <w:szCs w:val="21"/>
                <w:highlight w:val="none"/>
                <w:lang w:val="en-US" w:eastAsia="zh-CN"/>
              </w:rPr>
            </w:pPr>
            <w:r>
              <w:rPr>
                <w:rFonts w:hint="eastAsia" w:ascii="宋体" w:hAnsi="宋体" w:eastAsia="宋体" w:cs="宋体"/>
                <w:bCs w:val="0"/>
                <w:color w:val="auto"/>
                <w:kern w:val="0"/>
                <w:sz w:val="21"/>
                <w:szCs w:val="21"/>
                <w:highlight w:val="none"/>
                <w:lang w:val="en-US" w:eastAsia="zh-CN"/>
              </w:rPr>
              <w:t>电梯厅、门厅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590" w:type="dxa"/>
            <w:noWrap/>
            <w:vAlign w:val="center"/>
          </w:tcPr>
          <w:p>
            <w:pPr>
              <w:widowControl/>
              <w:jc w:val="center"/>
              <w:rPr>
                <w:rFonts w:hint="eastAsia" w:hAnsi="宋体" w:eastAsia="宋体" w:cs="宋体"/>
                <w:bCs w:val="0"/>
                <w:color w:val="auto"/>
                <w:kern w:val="0"/>
                <w:sz w:val="21"/>
                <w:szCs w:val="21"/>
                <w:highlight w:val="none"/>
                <w:lang w:eastAsia="zh-CN"/>
              </w:rPr>
            </w:pPr>
            <w:r>
              <w:rPr>
                <w:rFonts w:hint="eastAsia" w:hAnsi="宋体" w:eastAsia="宋体" w:cs="宋体"/>
                <w:bCs w:val="0"/>
                <w:color w:val="auto"/>
                <w:kern w:val="0"/>
                <w:sz w:val="21"/>
                <w:szCs w:val="21"/>
                <w:highlight w:val="none"/>
                <w:lang w:val="en-US" w:eastAsia="zh-CN"/>
              </w:rPr>
              <w:t>5</w:t>
            </w:r>
          </w:p>
        </w:tc>
        <w:tc>
          <w:tcPr>
            <w:tcW w:w="2231"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乳胶漆（含腻子粉）</w:t>
            </w:r>
          </w:p>
        </w:tc>
        <w:tc>
          <w:tcPr>
            <w:tcW w:w="114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多乐士</w:t>
            </w:r>
          </w:p>
        </w:tc>
        <w:tc>
          <w:tcPr>
            <w:tcW w:w="103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立邦</w:t>
            </w:r>
          </w:p>
        </w:tc>
        <w:tc>
          <w:tcPr>
            <w:tcW w:w="102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华润</w:t>
            </w:r>
          </w:p>
        </w:tc>
        <w:tc>
          <w:tcPr>
            <w:tcW w:w="94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嘉宝莉　</w:t>
            </w:r>
          </w:p>
        </w:tc>
        <w:tc>
          <w:tcPr>
            <w:tcW w:w="82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　</w:t>
            </w: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ign w:val="center"/>
          </w:tcPr>
          <w:p>
            <w:pPr>
              <w:widowControl/>
              <w:jc w:val="center"/>
              <w:rPr>
                <w:rFonts w:hint="eastAsia" w:hAnsi="宋体" w:eastAsia="宋体" w:cs="宋体"/>
                <w:bCs w:val="0"/>
                <w:color w:val="auto"/>
                <w:kern w:val="0"/>
                <w:sz w:val="21"/>
                <w:szCs w:val="21"/>
                <w:highlight w:val="none"/>
                <w:lang w:eastAsia="zh-CN"/>
              </w:rPr>
            </w:pPr>
            <w:r>
              <w:rPr>
                <w:rFonts w:hint="eastAsia" w:hAnsi="宋体" w:eastAsia="宋体" w:cs="宋体"/>
                <w:bCs w:val="0"/>
                <w:color w:val="auto"/>
                <w:kern w:val="0"/>
                <w:sz w:val="21"/>
                <w:szCs w:val="21"/>
                <w:highlight w:val="none"/>
                <w:lang w:val="en-US" w:eastAsia="zh-CN"/>
              </w:rPr>
              <w:t>6</w:t>
            </w:r>
          </w:p>
        </w:tc>
        <w:tc>
          <w:tcPr>
            <w:tcW w:w="2231"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外墙真石漆（仿石涂料）、外墙涂料(含腻子及各涂层)、氟碳漆涂料（含腻子及各涂层）</w:t>
            </w:r>
          </w:p>
        </w:tc>
        <w:tc>
          <w:tcPr>
            <w:tcW w:w="114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lang w:val="en-US" w:eastAsia="zh-CN"/>
              </w:rPr>
              <w:t>固驰</w:t>
            </w:r>
          </w:p>
        </w:tc>
        <w:tc>
          <w:tcPr>
            <w:tcW w:w="103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固克　</w:t>
            </w:r>
          </w:p>
        </w:tc>
        <w:tc>
          <w:tcPr>
            <w:tcW w:w="102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富思特</w:t>
            </w:r>
          </w:p>
        </w:tc>
        <w:tc>
          <w:tcPr>
            <w:tcW w:w="94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嘉宝莉</w:t>
            </w:r>
          </w:p>
        </w:tc>
        <w:tc>
          <w:tcPr>
            <w:tcW w:w="82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　</w:t>
            </w: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590" w:type="dxa"/>
            <w:noWrap/>
            <w:vAlign w:val="center"/>
          </w:tcPr>
          <w:p>
            <w:pPr>
              <w:widowControl/>
              <w:jc w:val="center"/>
              <w:rPr>
                <w:rFonts w:hint="eastAsia" w:hAnsi="宋体" w:eastAsia="宋体" w:cs="宋体"/>
                <w:bCs w:val="0"/>
                <w:color w:val="auto"/>
                <w:kern w:val="0"/>
                <w:sz w:val="21"/>
                <w:szCs w:val="21"/>
                <w:highlight w:val="none"/>
                <w:lang w:eastAsia="zh-CN"/>
              </w:rPr>
            </w:pPr>
            <w:r>
              <w:rPr>
                <w:rFonts w:hint="eastAsia" w:hAnsi="宋体" w:eastAsia="宋体" w:cs="宋体"/>
                <w:bCs w:val="0"/>
                <w:color w:val="auto"/>
                <w:kern w:val="0"/>
                <w:sz w:val="21"/>
                <w:szCs w:val="21"/>
                <w:highlight w:val="none"/>
                <w:lang w:val="en-US" w:eastAsia="zh-CN"/>
              </w:rPr>
              <w:t>7</w:t>
            </w:r>
          </w:p>
        </w:tc>
        <w:tc>
          <w:tcPr>
            <w:tcW w:w="2231"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防静电活动地板</w:t>
            </w:r>
          </w:p>
        </w:tc>
        <w:tc>
          <w:tcPr>
            <w:tcW w:w="114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天京</w:t>
            </w:r>
          </w:p>
        </w:tc>
        <w:tc>
          <w:tcPr>
            <w:tcW w:w="103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良峰</w:t>
            </w:r>
          </w:p>
        </w:tc>
        <w:tc>
          <w:tcPr>
            <w:tcW w:w="102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京通</w:t>
            </w:r>
          </w:p>
        </w:tc>
        <w:tc>
          <w:tcPr>
            <w:tcW w:w="94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　</w:t>
            </w:r>
          </w:p>
        </w:tc>
        <w:tc>
          <w:tcPr>
            <w:tcW w:w="82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　</w:t>
            </w: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ign w:val="center"/>
          </w:tcPr>
          <w:p>
            <w:pPr>
              <w:widowControl/>
              <w:jc w:val="center"/>
              <w:rPr>
                <w:rFonts w:hint="eastAsia" w:hAnsi="宋体" w:eastAsia="宋体" w:cs="宋体"/>
                <w:bCs w:val="0"/>
                <w:color w:val="auto"/>
                <w:kern w:val="0"/>
                <w:sz w:val="21"/>
                <w:szCs w:val="21"/>
                <w:highlight w:val="none"/>
                <w:lang w:eastAsia="zh-CN"/>
              </w:rPr>
            </w:pPr>
            <w:r>
              <w:rPr>
                <w:rFonts w:hint="eastAsia" w:hAnsi="宋体" w:eastAsia="宋体" w:cs="宋体"/>
                <w:bCs w:val="0"/>
                <w:color w:val="auto"/>
                <w:kern w:val="0"/>
                <w:sz w:val="21"/>
                <w:szCs w:val="21"/>
                <w:highlight w:val="none"/>
                <w:lang w:val="en-US" w:eastAsia="zh-CN"/>
              </w:rPr>
              <w:t>8</w:t>
            </w:r>
          </w:p>
        </w:tc>
        <w:tc>
          <w:tcPr>
            <w:tcW w:w="2231"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铝单板</w:t>
            </w:r>
          </w:p>
        </w:tc>
        <w:tc>
          <w:tcPr>
            <w:tcW w:w="114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深圳方大</w:t>
            </w:r>
          </w:p>
        </w:tc>
        <w:tc>
          <w:tcPr>
            <w:tcW w:w="1035" w:type="dxa"/>
            <w:noWrap w:val="0"/>
            <w:vAlign w:val="center"/>
          </w:tcPr>
          <w:p>
            <w:pPr>
              <w:widowControl/>
              <w:jc w:val="center"/>
              <w:rPr>
                <w:rFonts w:hint="eastAsia" w:ascii="宋体" w:hAnsi="宋体" w:eastAsia="宋体" w:cs="宋体"/>
                <w:bCs w:val="0"/>
                <w:color w:val="auto"/>
                <w:kern w:val="0"/>
                <w:sz w:val="21"/>
                <w:szCs w:val="21"/>
                <w:highlight w:val="none"/>
                <w:lang w:val="en-US" w:eastAsia="zh-CN" w:bidi="ar-SA"/>
              </w:rPr>
            </w:pPr>
            <w:r>
              <w:rPr>
                <w:rFonts w:hint="eastAsia" w:hAnsi="宋体" w:eastAsia="宋体" w:cs="宋体"/>
                <w:bCs w:val="0"/>
                <w:color w:val="auto"/>
                <w:kern w:val="0"/>
                <w:sz w:val="21"/>
                <w:szCs w:val="21"/>
                <w:highlight w:val="none"/>
              </w:rPr>
              <w:t xml:space="preserve"> 广州金霸</w:t>
            </w:r>
          </w:p>
        </w:tc>
        <w:tc>
          <w:tcPr>
            <w:tcW w:w="1020" w:type="dxa"/>
            <w:noWrap w:val="0"/>
            <w:vAlign w:val="center"/>
          </w:tcPr>
          <w:p>
            <w:pPr>
              <w:widowControl/>
              <w:jc w:val="center"/>
              <w:rPr>
                <w:rFonts w:hint="eastAsia" w:ascii="宋体" w:hAnsi="宋体" w:eastAsia="宋体" w:cs="宋体"/>
                <w:bCs w:val="0"/>
                <w:color w:val="auto"/>
                <w:kern w:val="0"/>
                <w:sz w:val="21"/>
                <w:szCs w:val="21"/>
                <w:highlight w:val="none"/>
                <w:lang w:val="en-US" w:eastAsia="zh-CN" w:bidi="ar-SA"/>
              </w:rPr>
            </w:pPr>
            <w:r>
              <w:rPr>
                <w:rFonts w:hint="eastAsia" w:hAnsi="宋体" w:eastAsia="宋体" w:cs="宋体"/>
                <w:bCs w:val="0"/>
                <w:color w:val="auto"/>
                <w:kern w:val="0"/>
                <w:sz w:val="21"/>
                <w:szCs w:val="21"/>
                <w:highlight w:val="none"/>
                <w:lang w:val="en-US" w:eastAsia="zh-CN"/>
              </w:rPr>
              <w:t>美乐镁</w:t>
            </w:r>
            <w:r>
              <w:rPr>
                <w:rFonts w:hint="eastAsia" w:hAnsi="宋体" w:eastAsia="宋体" w:cs="宋体"/>
                <w:bCs w:val="0"/>
                <w:color w:val="auto"/>
                <w:kern w:val="0"/>
                <w:sz w:val="21"/>
                <w:szCs w:val="21"/>
                <w:highlight w:val="none"/>
              </w:rPr>
              <w:t xml:space="preserve"> </w:t>
            </w:r>
          </w:p>
        </w:tc>
        <w:tc>
          <w:tcPr>
            <w:tcW w:w="945" w:type="dxa"/>
            <w:noWrap w:val="0"/>
            <w:vAlign w:val="center"/>
          </w:tcPr>
          <w:p>
            <w:pPr>
              <w:widowControl/>
              <w:jc w:val="center"/>
              <w:rPr>
                <w:rFonts w:hint="eastAsia" w:hAnsi="宋体" w:eastAsia="宋体" w:cs="宋体"/>
                <w:bCs w:val="0"/>
                <w:color w:val="auto"/>
                <w:kern w:val="0"/>
                <w:sz w:val="21"/>
                <w:szCs w:val="21"/>
                <w:highlight w:val="none"/>
              </w:rPr>
            </w:pPr>
          </w:p>
        </w:tc>
        <w:tc>
          <w:tcPr>
            <w:tcW w:w="825" w:type="dxa"/>
            <w:noWrap w:val="0"/>
            <w:vAlign w:val="center"/>
          </w:tcPr>
          <w:p>
            <w:pPr>
              <w:widowControl/>
              <w:jc w:val="center"/>
              <w:rPr>
                <w:rFonts w:hint="eastAsia" w:hAnsi="宋体" w:eastAsia="宋体" w:cs="宋体"/>
                <w:bCs w:val="0"/>
                <w:color w:val="auto"/>
                <w:kern w:val="0"/>
                <w:sz w:val="21"/>
                <w:szCs w:val="21"/>
                <w:highlight w:val="none"/>
              </w:rPr>
            </w:pP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590" w:type="dxa"/>
            <w:noWrap/>
            <w:vAlign w:val="center"/>
          </w:tcPr>
          <w:p>
            <w:pPr>
              <w:widowControl/>
              <w:jc w:val="center"/>
              <w:rPr>
                <w:rFonts w:hint="eastAsia" w:hAnsi="宋体" w:eastAsia="宋体" w:cs="宋体"/>
                <w:bCs w:val="0"/>
                <w:color w:val="auto"/>
                <w:kern w:val="0"/>
                <w:sz w:val="21"/>
                <w:szCs w:val="21"/>
                <w:highlight w:val="none"/>
                <w:lang w:eastAsia="zh-CN"/>
              </w:rPr>
            </w:pPr>
            <w:r>
              <w:rPr>
                <w:rFonts w:hint="eastAsia" w:hAnsi="宋体" w:eastAsia="宋体" w:cs="宋体"/>
                <w:bCs w:val="0"/>
                <w:color w:val="auto"/>
                <w:kern w:val="0"/>
                <w:sz w:val="21"/>
                <w:szCs w:val="21"/>
                <w:highlight w:val="none"/>
                <w:lang w:val="en-US" w:eastAsia="zh-CN"/>
              </w:rPr>
              <w:t>9</w:t>
            </w:r>
          </w:p>
        </w:tc>
        <w:tc>
          <w:tcPr>
            <w:tcW w:w="2231" w:type="dxa"/>
            <w:noWrap w:val="0"/>
            <w:vAlign w:val="center"/>
          </w:tcPr>
          <w:p>
            <w:pPr>
              <w:widowControl/>
              <w:jc w:val="center"/>
              <w:rPr>
                <w:rFonts w:hint="default"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rPr>
              <w:t>铝合金型材</w:t>
            </w:r>
          </w:p>
        </w:tc>
        <w:tc>
          <w:tcPr>
            <w:tcW w:w="114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兴发</w:t>
            </w:r>
          </w:p>
        </w:tc>
        <w:tc>
          <w:tcPr>
            <w:tcW w:w="103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坚美</w:t>
            </w:r>
          </w:p>
        </w:tc>
        <w:tc>
          <w:tcPr>
            <w:tcW w:w="102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闽铝</w:t>
            </w:r>
          </w:p>
        </w:tc>
        <w:tc>
          <w:tcPr>
            <w:tcW w:w="94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lang w:val="en-US" w:eastAsia="zh-CN"/>
              </w:rPr>
              <w:t>凤铝</w:t>
            </w:r>
            <w:r>
              <w:rPr>
                <w:rFonts w:hint="eastAsia" w:hAnsi="宋体" w:eastAsia="宋体" w:cs="宋体"/>
                <w:bCs w:val="0"/>
                <w:color w:val="auto"/>
                <w:kern w:val="0"/>
                <w:sz w:val="21"/>
                <w:szCs w:val="21"/>
                <w:highlight w:val="none"/>
              </w:rPr>
              <w:t>　</w:t>
            </w:r>
          </w:p>
        </w:tc>
        <w:tc>
          <w:tcPr>
            <w:tcW w:w="825" w:type="dxa"/>
            <w:noWrap w:val="0"/>
            <w:vAlign w:val="center"/>
          </w:tcPr>
          <w:p>
            <w:pPr>
              <w:widowControl/>
              <w:jc w:val="center"/>
              <w:rPr>
                <w:rFonts w:hint="eastAsia" w:hAnsi="宋体" w:eastAsia="宋体" w:cs="宋体"/>
                <w:bCs w:val="0"/>
                <w:color w:val="auto"/>
                <w:kern w:val="0"/>
                <w:sz w:val="21"/>
                <w:szCs w:val="21"/>
                <w:highlight w:val="none"/>
              </w:rPr>
            </w:pPr>
          </w:p>
        </w:tc>
        <w:tc>
          <w:tcPr>
            <w:tcW w:w="735" w:type="dxa"/>
            <w:noWrap w:val="0"/>
            <w:vAlign w:val="center"/>
          </w:tcPr>
          <w:p>
            <w:pPr>
              <w:widowControl/>
              <w:jc w:val="center"/>
              <w:rPr>
                <w:rFonts w:hint="default" w:hAnsi="宋体" w:eastAsia="宋体" w:cs="宋体"/>
                <w:bCs w:val="0"/>
                <w:color w:val="auto"/>
                <w:kern w:val="0"/>
                <w:sz w:val="21"/>
                <w:szCs w:val="21"/>
                <w:highlight w:val="none"/>
                <w:lang w:val="en-US" w:eastAsia="zh-CN"/>
              </w:rPr>
            </w:pPr>
          </w:p>
        </w:tc>
        <w:tc>
          <w:tcPr>
            <w:tcW w:w="764" w:type="dxa"/>
            <w:noWrap w:val="0"/>
            <w:vAlign w:val="center"/>
          </w:tcPr>
          <w:p>
            <w:pPr>
              <w:widowControl/>
              <w:jc w:val="center"/>
              <w:rPr>
                <w:rFonts w:hint="eastAsia" w:hAnsi="宋体" w:eastAsia="宋体" w:cs="宋体"/>
                <w:bCs w:val="0"/>
                <w:color w:val="auto"/>
                <w:kern w:val="0"/>
                <w:sz w:val="21"/>
                <w:szCs w:val="21"/>
                <w:highlight w:val="none"/>
                <w:lang w:val="en-US" w:eastAsia="zh-CN"/>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ign w:val="center"/>
          </w:tcPr>
          <w:p>
            <w:pPr>
              <w:widowControl/>
              <w:jc w:val="center"/>
              <w:rPr>
                <w:rFonts w:hint="default"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lang w:val="en-US" w:eastAsia="zh-CN"/>
              </w:rPr>
              <w:t>10</w:t>
            </w:r>
          </w:p>
        </w:tc>
        <w:tc>
          <w:tcPr>
            <w:tcW w:w="2231"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铝合金加工</w:t>
            </w:r>
          </w:p>
        </w:tc>
        <w:tc>
          <w:tcPr>
            <w:tcW w:w="114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福建成梁</w:t>
            </w:r>
          </w:p>
        </w:tc>
        <w:tc>
          <w:tcPr>
            <w:tcW w:w="103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厦门百思得</w:t>
            </w:r>
          </w:p>
        </w:tc>
        <w:tc>
          <w:tcPr>
            <w:tcW w:w="102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得高</w:t>
            </w:r>
          </w:p>
        </w:tc>
        <w:tc>
          <w:tcPr>
            <w:tcW w:w="94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lang w:val="en-US" w:eastAsia="zh-CN"/>
              </w:rPr>
              <w:t>夏锐</w:t>
            </w:r>
            <w:r>
              <w:rPr>
                <w:rFonts w:hint="eastAsia" w:hAnsi="宋体" w:eastAsia="宋体" w:cs="宋体"/>
                <w:bCs w:val="0"/>
                <w:color w:val="auto"/>
                <w:kern w:val="0"/>
                <w:sz w:val="21"/>
                <w:szCs w:val="21"/>
                <w:highlight w:val="none"/>
              </w:rPr>
              <w:t>　</w:t>
            </w:r>
          </w:p>
        </w:tc>
        <w:tc>
          <w:tcPr>
            <w:tcW w:w="82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lang w:val="en-US" w:eastAsia="zh-CN"/>
              </w:rPr>
              <w:t>安徽新视野</w:t>
            </w:r>
            <w:r>
              <w:rPr>
                <w:rFonts w:hint="eastAsia" w:hAnsi="宋体" w:eastAsia="宋体" w:cs="宋体"/>
                <w:bCs w:val="0"/>
                <w:color w:val="auto"/>
                <w:kern w:val="0"/>
                <w:sz w:val="21"/>
                <w:szCs w:val="21"/>
                <w:highlight w:val="none"/>
              </w:rPr>
              <w:t>　</w:t>
            </w:r>
          </w:p>
        </w:tc>
        <w:tc>
          <w:tcPr>
            <w:tcW w:w="735" w:type="dxa"/>
            <w:noWrap w:val="0"/>
            <w:vAlign w:val="center"/>
          </w:tcPr>
          <w:p>
            <w:pPr>
              <w:widowControl/>
              <w:jc w:val="center"/>
              <w:rPr>
                <w:rFonts w:hint="default"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lang w:val="en-US" w:eastAsia="zh-CN"/>
              </w:rPr>
              <w:t>景誉</w:t>
            </w: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ign w:val="center"/>
          </w:tcPr>
          <w:p>
            <w:pPr>
              <w:widowControl/>
              <w:jc w:val="center"/>
              <w:rPr>
                <w:rFonts w:hint="default"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lang w:val="en-US" w:eastAsia="zh-CN"/>
              </w:rPr>
              <w:t>11</w:t>
            </w:r>
          </w:p>
        </w:tc>
        <w:tc>
          <w:tcPr>
            <w:tcW w:w="2231" w:type="dxa"/>
            <w:noWrap w:val="0"/>
            <w:vAlign w:val="center"/>
          </w:tcPr>
          <w:p>
            <w:pPr>
              <w:widowControl/>
              <w:jc w:val="center"/>
              <w:rPr>
                <w:rFonts w:hint="eastAsia" w:hAnsi="宋体" w:eastAsia="宋体" w:cs="宋体"/>
                <w:bCs w:val="0"/>
                <w:color w:val="auto"/>
                <w:kern w:val="0"/>
                <w:sz w:val="21"/>
                <w:szCs w:val="21"/>
                <w:highlight w:val="none"/>
                <w:lang w:eastAsia="zh-CN"/>
              </w:rPr>
            </w:pPr>
            <w:r>
              <w:rPr>
                <w:rFonts w:hint="eastAsia" w:hAnsi="宋体" w:eastAsia="宋体" w:cs="宋体"/>
                <w:bCs w:val="0"/>
                <w:color w:val="auto"/>
                <w:kern w:val="0"/>
                <w:sz w:val="21"/>
                <w:szCs w:val="21"/>
                <w:highlight w:val="none"/>
              </w:rPr>
              <w:t>铝合金门窗五金件（锁具、铰链、滑轮等）</w:t>
            </w:r>
          </w:p>
        </w:tc>
        <w:tc>
          <w:tcPr>
            <w:tcW w:w="114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坚朗</w:t>
            </w:r>
          </w:p>
        </w:tc>
        <w:tc>
          <w:tcPr>
            <w:tcW w:w="103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杨氏立兴</w:t>
            </w:r>
          </w:p>
        </w:tc>
        <w:tc>
          <w:tcPr>
            <w:tcW w:w="1020" w:type="dxa"/>
            <w:noWrap w:val="0"/>
            <w:vAlign w:val="center"/>
          </w:tcPr>
          <w:p>
            <w:pPr>
              <w:widowControl/>
              <w:jc w:val="center"/>
              <w:rPr>
                <w:rFonts w:hint="eastAsia" w:hAnsi="宋体" w:eastAsia="宋体" w:cs="宋体"/>
                <w:bCs/>
                <w:color w:val="auto"/>
                <w:kern w:val="0"/>
                <w:sz w:val="21"/>
                <w:szCs w:val="21"/>
                <w:highlight w:val="none"/>
                <w:lang w:eastAsia="zh-CN"/>
              </w:rPr>
            </w:pPr>
            <w:r>
              <w:rPr>
                <w:rFonts w:hint="eastAsia" w:hAnsi="宋体" w:eastAsia="宋体" w:cs="宋体"/>
                <w:bCs/>
                <w:color w:val="auto"/>
                <w:kern w:val="0"/>
                <w:sz w:val="21"/>
                <w:szCs w:val="21"/>
                <w:highlight w:val="none"/>
                <w:lang w:val="en-US" w:eastAsia="zh-CN"/>
              </w:rPr>
              <w:t>国强</w:t>
            </w:r>
          </w:p>
        </w:tc>
        <w:tc>
          <w:tcPr>
            <w:tcW w:w="94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lang w:val="en-US" w:eastAsia="zh-CN"/>
              </w:rPr>
              <w:t>合和</w:t>
            </w:r>
          </w:p>
        </w:tc>
        <w:tc>
          <w:tcPr>
            <w:tcW w:w="82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　</w:t>
            </w: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590" w:type="dxa"/>
            <w:noWrap/>
            <w:vAlign w:val="center"/>
          </w:tcPr>
          <w:p>
            <w:pPr>
              <w:widowControl/>
              <w:jc w:val="center"/>
              <w:rPr>
                <w:rFonts w:hint="default"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lang w:val="en-US" w:eastAsia="zh-CN"/>
              </w:rPr>
              <w:t>12</w:t>
            </w:r>
          </w:p>
        </w:tc>
        <w:tc>
          <w:tcPr>
            <w:tcW w:w="2231"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玻璃</w:t>
            </w:r>
          </w:p>
        </w:tc>
        <w:tc>
          <w:tcPr>
            <w:tcW w:w="114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上海耀皮</w:t>
            </w:r>
          </w:p>
        </w:tc>
        <w:tc>
          <w:tcPr>
            <w:tcW w:w="1035" w:type="dxa"/>
            <w:noWrap w:val="0"/>
            <w:vAlign w:val="center"/>
          </w:tcPr>
          <w:p>
            <w:pPr>
              <w:widowControl/>
              <w:jc w:val="center"/>
              <w:rPr>
                <w:rFonts w:hint="default"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lang w:val="en-US" w:eastAsia="zh-CN"/>
              </w:rPr>
              <w:t>台玻</w:t>
            </w:r>
          </w:p>
        </w:tc>
        <w:tc>
          <w:tcPr>
            <w:tcW w:w="102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南玻</w:t>
            </w:r>
          </w:p>
        </w:tc>
        <w:tc>
          <w:tcPr>
            <w:tcW w:w="945" w:type="dxa"/>
            <w:noWrap w:val="0"/>
            <w:vAlign w:val="center"/>
          </w:tcPr>
          <w:p>
            <w:pPr>
              <w:widowControl/>
              <w:rPr>
                <w:rFonts w:hint="eastAsia" w:hAnsi="宋体" w:eastAsia="宋体" w:cs="宋体"/>
                <w:bCs w:val="0"/>
                <w:color w:val="auto"/>
                <w:kern w:val="0"/>
                <w:sz w:val="21"/>
                <w:szCs w:val="21"/>
                <w:highlight w:val="none"/>
              </w:rPr>
            </w:pPr>
          </w:p>
        </w:tc>
        <w:tc>
          <w:tcPr>
            <w:tcW w:w="82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　</w:t>
            </w: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default" w:hAnsi="宋体" w:eastAsia="宋体" w:cs="宋体"/>
                <w:bCs w:val="0"/>
                <w:color w:val="auto"/>
                <w:kern w:val="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590" w:type="dxa"/>
            <w:noWrap/>
            <w:vAlign w:val="center"/>
          </w:tcPr>
          <w:p>
            <w:pPr>
              <w:widowControl/>
              <w:jc w:val="center"/>
              <w:rPr>
                <w:rFonts w:hint="default"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lang w:val="en-US" w:eastAsia="zh-CN"/>
              </w:rPr>
              <w:t>13</w:t>
            </w:r>
          </w:p>
        </w:tc>
        <w:tc>
          <w:tcPr>
            <w:tcW w:w="2231"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玻璃深加工</w:t>
            </w:r>
          </w:p>
        </w:tc>
        <w:tc>
          <w:tcPr>
            <w:tcW w:w="114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港达</w:t>
            </w:r>
          </w:p>
        </w:tc>
        <w:tc>
          <w:tcPr>
            <w:tcW w:w="103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新福兴</w:t>
            </w:r>
          </w:p>
        </w:tc>
        <w:tc>
          <w:tcPr>
            <w:tcW w:w="102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新亨通</w:t>
            </w:r>
          </w:p>
        </w:tc>
        <w:tc>
          <w:tcPr>
            <w:tcW w:w="94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color w:val="auto"/>
                <w:sz w:val="21"/>
                <w:szCs w:val="21"/>
                <w:highlight w:val="none"/>
                <w:lang w:bidi="ar"/>
              </w:rPr>
              <w:t>新景图</w:t>
            </w:r>
            <w:r>
              <w:rPr>
                <w:rFonts w:hint="eastAsia" w:hAnsi="宋体" w:eastAsia="宋体" w:cs="宋体"/>
                <w:bCs w:val="0"/>
                <w:color w:val="auto"/>
                <w:kern w:val="0"/>
                <w:sz w:val="21"/>
                <w:szCs w:val="21"/>
                <w:highlight w:val="none"/>
              </w:rPr>
              <w:t>　</w:t>
            </w:r>
          </w:p>
        </w:tc>
        <w:tc>
          <w:tcPr>
            <w:tcW w:w="82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　</w:t>
            </w: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590" w:type="dxa"/>
            <w:noWrap/>
            <w:vAlign w:val="center"/>
          </w:tcPr>
          <w:p>
            <w:pPr>
              <w:widowControl/>
              <w:jc w:val="center"/>
              <w:rPr>
                <w:rFonts w:hint="default"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lang w:val="en-US" w:eastAsia="zh-CN"/>
              </w:rPr>
              <w:t>14</w:t>
            </w:r>
          </w:p>
        </w:tc>
        <w:tc>
          <w:tcPr>
            <w:tcW w:w="2231" w:type="dxa"/>
            <w:noWrap w:val="0"/>
            <w:vAlign w:val="center"/>
          </w:tcPr>
          <w:p>
            <w:pPr>
              <w:widowControl/>
              <w:jc w:val="center"/>
              <w:rPr>
                <w:rFonts w:hint="default"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rPr>
              <w:t>密封胶、结构胶</w:t>
            </w:r>
          </w:p>
        </w:tc>
        <w:tc>
          <w:tcPr>
            <w:tcW w:w="114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硅宝</w:t>
            </w:r>
          </w:p>
        </w:tc>
        <w:tc>
          <w:tcPr>
            <w:tcW w:w="103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白云</w:t>
            </w:r>
          </w:p>
        </w:tc>
        <w:tc>
          <w:tcPr>
            <w:tcW w:w="1020" w:type="dxa"/>
            <w:noWrap w:val="0"/>
            <w:vAlign w:val="center"/>
          </w:tcPr>
          <w:p>
            <w:pPr>
              <w:widowControl/>
              <w:jc w:val="center"/>
              <w:rPr>
                <w:rFonts w:hint="default"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lang w:val="en-US" w:eastAsia="zh-CN"/>
              </w:rPr>
              <w:t>金鼠</w:t>
            </w:r>
          </w:p>
        </w:tc>
        <w:tc>
          <w:tcPr>
            <w:tcW w:w="94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lang w:val="en-US" w:eastAsia="zh-CN"/>
              </w:rPr>
              <w:t>思蓝德</w:t>
            </w:r>
            <w:r>
              <w:rPr>
                <w:rFonts w:hint="eastAsia" w:hAnsi="宋体" w:eastAsia="宋体" w:cs="宋体"/>
                <w:bCs w:val="0"/>
                <w:color w:val="auto"/>
                <w:kern w:val="0"/>
                <w:sz w:val="21"/>
                <w:szCs w:val="21"/>
                <w:highlight w:val="none"/>
              </w:rPr>
              <w:t xml:space="preserve"> </w:t>
            </w:r>
          </w:p>
        </w:tc>
        <w:tc>
          <w:tcPr>
            <w:tcW w:w="82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lang w:val="en-US" w:eastAsia="zh-CN"/>
              </w:rPr>
              <w:t>安泰</w:t>
            </w:r>
            <w:r>
              <w:rPr>
                <w:rFonts w:hint="eastAsia" w:hAnsi="宋体" w:eastAsia="宋体" w:cs="宋体"/>
                <w:bCs w:val="0"/>
                <w:color w:val="auto"/>
                <w:kern w:val="0"/>
                <w:sz w:val="21"/>
                <w:szCs w:val="21"/>
                <w:highlight w:val="none"/>
              </w:rPr>
              <w:t>　</w:t>
            </w: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ign w:val="center"/>
          </w:tcPr>
          <w:p>
            <w:pPr>
              <w:widowControl/>
              <w:jc w:val="center"/>
              <w:rPr>
                <w:rFonts w:hint="default"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lang w:val="en-US" w:eastAsia="zh-CN"/>
              </w:rPr>
              <w:t>15</w:t>
            </w:r>
          </w:p>
        </w:tc>
        <w:tc>
          <w:tcPr>
            <w:tcW w:w="2231"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橡胶防水卷材、防水涂料</w:t>
            </w:r>
          </w:p>
        </w:tc>
        <w:tc>
          <w:tcPr>
            <w:tcW w:w="114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东方雨虹</w:t>
            </w:r>
          </w:p>
        </w:tc>
        <w:tc>
          <w:tcPr>
            <w:tcW w:w="103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广州科顺</w:t>
            </w:r>
          </w:p>
        </w:tc>
        <w:tc>
          <w:tcPr>
            <w:tcW w:w="102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color w:val="auto"/>
                <w:sz w:val="21"/>
                <w:szCs w:val="21"/>
                <w:highlight w:val="none"/>
              </w:rPr>
              <w:t>西牛皮</w:t>
            </w:r>
          </w:p>
        </w:tc>
        <w:tc>
          <w:tcPr>
            <w:tcW w:w="945" w:type="dxa"/>
            <w:noWrap w:val="0"/>
            <w:vAlign w:val="center"/>
          </w:tcPr>
          <w:p>
            <w:pPr>
              <w:widowControl/>
              <w:jc w:val="center"/>
              <w:rPr>
                <w:rFonts w:hint="eastAsia" w:hAnsi="宋体" w:eastAsia="宋体" w:cs="宋体"/>
                <w:bCs w:val="0"/>
                <w:color w:val="auto"/>
                <w:kern w:val="0"/>
                <w:sz w:val="21"/>
                <w:szCs w:val="21"/>
                <w:highlight w:val="none"/>
              </w:rPr>
            </w:pPr>
          </w:p>
        </w:tc>
        <w:tc>
          <w:tcPr>
            <w:tcW w:w="825" w:type="dxa"/>
            <w:noWrap w:val="0"/>
            <w:vAlign w:val="center"/>
          </w:tcPr>
          <w:p>
            <w:pPr>
              <w:widowControl/>
              <w:jc w:val="center"/>
              <w:rPr>
                <w:rFonts w:hint="eastAsia" w:hAnsi="宋体" w:eastAsia="宋体" w:cs="宋体"/>
                <w:bCs w:val="0"/>
                <w:color w:val="auto"/>
                <w:kern w:val="0"/>
                <w:sz w:val="21"/>
                <w:szCs w:val="21"/>
                <w:highlight w:val="none"/>
              </w:rPr>
            </w:pP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90" w:type="dxa"/>
            <w:noWrap/>
            <w:vAlign w:val="center"/>
          </w:tcPr>
          <w:p>
            <w:pPr>
              <w:widowControl/>
              <w:jc w:val="center"/>
              <w:rPr>
                <w:rFonts w:hint="default"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lang w:val="en-US" w:eastAsia="zh-CN"/>
              </w:rPr>
              <w:t>16</w:t>
            </w:r>
          </w:p>
        </w:tc>
        <w:tc>
          <w:tcPr>
            <w:tcW w:w="2231"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挤塑聚苯保温板</w:t>
            </w:r>
          </w:p>
        </w:tc>
        <w:tc>
          <w:tcPr>
            <w:tcW w:w="1140" w:type="dxa"/>
            <w:noWrap w:val="0"/>
            <w:vAlign w:val="center"/>
          </w:tcPr>
          <w:p>
            <w:pPr>
              <w:widowControl/>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欧文斯科宁</w:t>
            </w:r>
          </w:p>
        </w:tc>
        <w:tc>
          <w:tcPr>
            <w:tcW w:w="103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舒泰龙</w:t>
            </w:r>
          </w:p>
        </w:tc>
        <w:tc>
          <w:tcPr>
            <w:tcW w:w="102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巴斯夫</w:t>
            </w:r>
          </w:p>
        </w:tc>
        <w:tc>
          <w:tcPr>
            <w:tcW w:w="94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陶氏化学</w:t>
            </w:r>
          </w:p>
        </w:tc>
        <w:tc>
          <w:tcPr>
            <w:tcW w:w="82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　</w:t>
            </w: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90" w:type="dxa"/>
            <w:noWrap/>
            <w:vAlign w:val="center"/>
          </w:tcPr>
          <w:p>
            <w:pPr>
              <w:widowControl/>
              <w:jc w:val="center"/>
              <w:rPr>
                <w:rFonts w:hint="default"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lang w:val="en-US" w:eastAsia="zh-CN"/>
              </w:rPr>
              <w:t>17</w:t>
            </w:r>
          </w:p>
        </w:tc>
        <w:tc>
          <w:tcPr>
            <w:tcW w:w="2231" w:type="dxa"/>
            <w:noWrap w:val="0"/>
            <w:vAlign w:val="center"/>
          </w:tcPr>
          <w:p>
            <w:pPr>
              <w:widowControl/>
              <w:jc w:val="center"/>
              <w:rPr>
                <w:rFonts w:hint="default"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rPr>
              <w:t>钢质防火门</w:t>
            </w:r>
            <w:r>
              <w:rPr>
                <w:rFonts w:hint="eastAsia" w:hAnsi="宋体" w:eastAsia="宋体" w:cs="宋体"/>
                <w:bCs w:val="0"/>
                <w:color w:val="auto"/>
                <w:kern w:val="0"/>
                <w:sz w:val="21"/>
                <w:szCs w:val="21"/>
                <w:highlight w:val="none"/>
                <w:lang w:eastAsia="zh-CN"/>
              </w:rPr>
              <w:t>、</w:t>
            </w:r>
            <w:r>
              <w:rPr>
                <w:rFonts w:hint="eastAsia" w:hAnsi="宋体" w:eastAsia="宋体" w:cs="宋体"/>
                <w:bCs w:val="0"/>
                <w:color w:val="auto"/>
                <w:kern w:val="0"/>
                <w:sz w:val="21"/>
                <w:szCs w:val="21"/>
                <w:highlight w:val="none"/>
                <w:lang w:val="en-US" w:eastAsia="zh-CN"/>
              </w:rPr>
              <w:t>钢质门</w:t>
            </w:r>
          </w:p>
        </w:tc>
        <w:tc>
          <w:tcPr>
            <w:tcW w:w="1140" w:type="dxa"/>
            <w:noWrap w:val="0"/>
            <w:vAlign w:val="center"/>
          </w:tcPr>
          <w:p>
            <w:pPr>
              <w:widowControl/>
              <w:jc w:val="center"/>
              <w:rPr>
                <w:rFonts w:hint="eastAsia" w:ascii="宋体" w:hAnsi="宋体" w:eastAsia="宋体" w:cs="宋体"/>
                <w:bCs w:val="0"/>
                <w:color w:val="auto"/>
                <w:kern w:val="0"/>
                <w:sz w:val="21"/>
                <w:szCs w:val="21"/>
                <w:highlight w:val="none"/>
                <w:lang w:val="en-US" w:eastAsia="zh-CN" w:bidi="ar-SA"/>
              </w:rPr>
            </w:pPr>
            <w:r>
              <w:rPr>
                <w:rFonts w:hint="eastAsia" w:hAnsi="宋体" w:eastAsia="宋体" w:cs="宋体"/>
                <w:bCs w:val="0"/>
                <w:color w:val="auto"/>
                <w:kern w:val="0"/>
                <w:sz w:val="21"/>
                <w:szCs w:val="21"/>
                <w:highlight w:val="none"/>
              </w:rPr>
              <w:t>福建辉盛</w:t>
            </w:r>
          </w:p>
        </w:tc>
        <w:tc>
          <w:tcPr>
            <w:tcW w:w="1035" w:type="dxa"/>
            <w:noWrap w:val="0"/>
            <w:vAlign w:val="center"/>
          </w:tcPr>
          <w:p>
            <w:pPr>
              <w:widowControl/>
              <w:jc w:val="center"/>
              <w:rPr>
                <w:rFonts w:hint="eastAsia" w:ascii="宋体" w:hAnsi="宋体" w:eastAsia="宋体" w:cs="宋体"/>
                <w:bCs w:val="0"/>
                <w:color w:val="auto"/>
                <w:kern w:val="0"/>
                <w:sz w:val="21"/>
                <w:szCs w:val="21"/>
                <w:highlight w:val="none"/>
                <w:lang w:val="en-US" w:eastAsia="zh-CN" w:bidi="ar-SA"/>
              </w:rPr>
            </w:pPr>
            <w:r>
              <w:rPr>
                <w:rFonts w:hint="eastAsia" w:hAnsi="宋体" w:eastAsia="宋体" w:cs="宋体"/>
                <w:bCs w:val="0"/>
                <w:color w:val="auto"/>
                <w:kern w:val="0"/>
                <w:sz w:val="21"/>
                <w:szCs w:val="21"/>
                <w:highlight w:val="none"/>
              </w:rPr>
              <w:t>福建金盾</w:t>
            </w:r>
          </w:p>
        </w:tc>
        <w:tc>
          <w:tcPr>
            <w:tcW w:w="1020" w:type="dxa"/>
            <w:noWrap w:val="0"/>
            <w:vAlign w:val="center"/>
          </w:tcPr>
          <w:p>
            <w:pPr>
              <w:widowControl/>
              <w:jc w:val="center"/>
              <w:rPr>
                <w:rFonts w:hint="eastAsia" w:ascii="宋体" w:hAnsi="宋体" w:eastAsia="宋体" w:cs="宋体"/>
                <w:bCs w:val="0"/>
                <w:color w:val="auto"/>
                <w:kern w:val="0"/>
                <w:sz w:val="21"/>
                <w:szCs w:val="21"/>
                <w:highlight w:val="none"/>
                <w:lang w:val="en-US" w:eastAsia="zh-CN" w:bidi="ar-SA"/>
              </w:rPr>
            </w:pPr>
            <w:r>
              <w:rPr>
                <w:rFonts w:hint="eastAsia" w:hAnsi="宋体" w:eastAsia="宋体" w:cs="宋体"/>
                <w:color w:val="auto"/>
                <w:sz w:val="21"/>
                <w:szCs w:val="21"/>
                <w:highlight w:val="none"/>
                <w:lang w:bidi="ar"/>
              </w:rPr>
              <w:t>蓝盾</w:t>
            </w:r>
            <w:r>
              <w:rPr>
                <w:rFonts w:hint="eastAsia" w:hAnsi="宋体" w:eastAsia="宋体" w:cs="宋体"/>
                <w:bCs w:val="0"/>
                <w:color w:val="auto"/>
                <w:kern w:val="0"/>
                <w:sz w:val="21"/>
                <w:szCs w:val="21"/>
                <w:highlight w:val="none"/>
              </w:rPr>
              <w:t xml:space="preserve">  </w:t>
            </w:r>
          </w:p>
        </w:tc>
        <w:tc>
          <w:tcPr>
            <w:tcW w:w="945" w:type="dxa"/>
            <w:noWrap w:val="0"/>
            <w:vAlign w:val="center"/>
          </w:tcPr>
          <w:p>
            <w:pPr>
              <w:widowControl/>
              <w:jc w:val="center"/>
              <w:rPr>
                <w:rFonts w:hint="eastAsia" w:ascii="宋体" w:hAnsi="宋体" w:eastAsia="宋体" w:cs="宋体"/>
                <w:bCs w:val="0"/>
                <w:color w:val="auto"/>
                <w:kern w:val="0"/>
                <w:sz w:val="21"/>
                <w:szCs w:val="21"/>
                <w:highlight w:val="none"/>
                <w:lang w:val="en-US" w:eastAsia="zh-CN" w:bidi="ar-SA"/>
              </w:rPr>
            </w:pPr>
            <w:r>
              <w:rPr>
                <w:rFonts w:hint="eastAsia" w:hAnsi="宋体" w:eastAsia="宋体" w:cs="宋体"/>
                <w:bCs w:val="0"/>
                <w:color w:val="auto"/>
                <w:kern w:val="0"/>
                <w:sz w:val="21"/>
                <w:szCs w:val="21"/>
                <w:highlight w:val="none"/>
              </w:rPr>
              <w:t>　</w:t>
            </w:r>
          </w:p>
        </w:tc>
        <w:tc>
          <w:tcPr>
            <w:tcW w:w="82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　</w:t>
            </w: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ign w:val="center"/>
          </w:tcPr>
          <w:p>
            <w:pPr>
              <w:widowControl/>
              <w:jc w:val="center"/>
              <w:rPr>
                <w:rFonts w:hint="default"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lang w:val="en-US" w:eastAsia="zh-CN"/>
              </w:rPr>
              <w:t>18</w:t>
            </w:r>
          </w:p>
        </w:tc>
        <w:tc>
          <w:tcPr>
            <w:tcW w:w="2231" w:type="dxa"/>
            <w:noWrap w:val="0"/>
            <w:vAlign w:val="center"/>
          </w:tcPr>
          <w:p>
            <w:pPr>
              <w:widowControl/>
              <w:jc w:val="center"/>
              <w:rPr>
                <w:rFonts w:hint="default"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rPr>
              <w:t>防火卷帘门</w:t>
            </w:r>
            <w:r>
              <w:rPr>
                <w:rFonts w:hint="eastAsia" w:hAnsi="宋体" w:eastAsia="宋体" w:cs="宋体"/>
                <w:bCs w:val="0"/>
                <w:color w:val="auto"/>
                <w:kern w:val="0"/>
                <w:sz w:val="21"/>
                <w:szCs w:val="21"/>
                <w:highlight w:val="none"/>
                <w:lang w:eastAsia="zh-CN"/>
              </w:rPr>
              <w:t>、</w:t>
            </w:r>
            <w:r>
              <w:rPr>
                <w:rFonts w:hint="eastAsia" w:hAnsi="宋体" w:eastAsia="宋体" w:cs="宋体"/>
                <w:bCs w:val="0"/>
                <w:color w:val="auto"/>
                <w:kern w:val="0"/>
                <w:sz w:val="21"/>
                <w:szCs w:val="21"/>
                <w:highlight w:val="none"/>
                <w:lang w:val="en-US" w:eastAsia="zh-CN"/>
              </w:rPr>
              <w:t>卷帘门</w:t>
            </w:r>
          </w:p>
        </w:tc>
        <w:tc>
          <w:tcPr>
            <w:tcW w:w="114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color w:val="auto"/>
                <w:sz w:val="21"/>
                <w:szCs w:val="21"/>
                <w:highlight w:val="none"/>
              </w:rPr>
              <w:t>福州上华</w:t>
            </w:r>
          </w:p>
        </w:tc>
        <w:tc>
          <w:tcPr>
            <w:tcW w:w="103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color w:val="auto"/>
                <w:sz w:val="21"/>
                <w:szCs w:val="21"/>
                <w:highlight w:val="none"/>
              </w:rPr>
              <w:t>厦门盟达</w:t>
            </w:r>
          </w:p>
        </w:tc>
        <w:tc>
          <w:tcPr>
            <w:tcW w:w="102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福建金盾</w:t>
            </w:r>
          </w:p>
        </w:tc>
        <w:tc>
          <w:tcPr>
            <w:tcW w:w="945" w:type="dxa"/>
            <w:noWrap w:val="0"/>
            <w:vAlign w:val="center"/>
          </w:tcPr>
          <w:p>
            <w:pPr>
              <w:widowControl/>
              <w:jc w:val="center"/>
              <w:rPr>
                <w:rFonts w:hint="eastAsia" w:hAnsi="宋体" w:eastAsia="宋体" w:cs="宋体"/>
                <w:bCs w:val="0"/>
                <w:color w:val="auto"/>
                <w:kern w:val="0"/>
                <w:sz w:val="21"/>
                <w:szCs w:val="21"/>
                <w:highlight w:val="none"/>
              </w:rPr>
            </w:pPr>
          </w:p>
        </w:tc>
        <w:tc>
          <w:tcPr>
            <w:tcW w:w="825" w:type="dxa"/>
            <w:noWrap w:val="0"/>
            <w:vAlign w:val="center"/>
          </w:tcPr>
          <w:p>
            <w:pPr>
              <w:widowControl/>
              <w:jc w:val="center"/>
              <w:rPr>
                <w:rFonts w:hint="eastAsia" w:hAnsi="宋体" w:eastAsia="宋体" w:cs="宋体"/>
                <w:bCs w:val="0"/>
                <w:color w:val="auto"/>
                <w:kern w:val="0"/>
                <w:sz w:val="21"/>
                <w:szCs w:val="21"/>
                <w:highlight w:val="none"/>
              </w:rPr>
            </w:pP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ign w:val="center"/>
          </w:tcPr>
          <w:p>
            <w:pPr>
              <w:widowControl/>
              <w:jc w:val="center"/>
              <w:rPr>
                <w:rFonts w:hint="default"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lang w:val="en-US" w:eastAsia="zh-CN"/>
              </w:rPr>
              <w:t>19</w:t>
            </w:r>
          </w:p>
        </w:tc>
        <w:tc>
          <w:tcPr>
            <w:tcW w:w="2231"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成品木门</w:t>
            </w:r>
          </w:p>
        </w:tc>
        <w:tc>
          <w:tcPr>
            <w:tcW w:w="114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美心</w:t>
            </w:r>
          </w:p>
        </w:tc>
        <w:tc>
          <w:tcPr>
            <w:tcW w:w="103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步阳</w:t>
            </w:r>
          </w:p>
        </w:tc>
        <w:tc>
          <w:tcPr>
            <w:tcW w:w="102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color w:val="auto"/>
                <w:sz w:val="21"/>
                <w:szCs w:val="21"/>
                <w:highlight w:val="none"/>
                <w:lang w:bidi="ar"/>
              </w:rPr>
              <w:t>蓝盾</w:t>
            </w:r>
          </w:p>
        </w:tc>
        <w:tc>
          <w:tcPr>
            <w:tcW w:w="94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盼盼</w:t>
            </w:r>
          </w:p>
        </w:tc>
        <w:tc>
          <w:tcPr>
            <w:tcW w:w="825" w:type="dxa"/>
            <w:noWrap w:val="0"/>
            <w:vAlign w:val="center"/>
          </w:tcPr>
          <w:p>
            <w:pPr>
              <w:widowControl/>
              <w:jc w:val="center"/>
              <w:rPr>
                <w:rFonts w:hint="eastAsia" w:hAnsi="宋体" w:eastAsia="宋体" w:cs="宋体"/>
                <w:bCs w:val="0"/>
                <w:color w:val="auto"/>
                <w:kern w:val="0"/>
                <w:sz w:val="21"/>
                <w:szCs w:val="21"/>
                <w:highlight w:val="none"/>
              </w:rPr>
            </w:pP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ign w:val="center"/>
          </w:tcPr>
          <w:p>
            <w:pPr>
              <w:widowControl/>
              <w:jc w:val="center"/>
              <w:rPr>
                <w:rFonts w:hint="default"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lang w:val="en-US" w:eastAsia="zh-CN"/>
              </w:rPr>
              <w:t>20</w:t>
            </w:r>
          </w:p>
        </w:tc>
        <w:tc>
          <w:tcPr>
            <w:tcW w:w="2231"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门五金</w:t>
            </w:r>
          </w:p>
        </w:tc>
        <w:tc>
          <w:tcPr>
            <w:tcW w:w="114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坚朗</w:t>
            </w:r>
          </w:p>
        </w:tc>
        <w:tc>
          <w:tcPr>
            <w:tcW w:w="103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汇泰龙</w:t>
            </w:r>
          </w:p>
        </w:tc>
        <w:tc>
          <w:tcPr>
            <w:tcW w:w="102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顶固</w:t>
            </w:r>
          </w:p>
        </w:tc>
        <w:tc>
          <w:tcPr>
            <w:tcW w:w="94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　</w:t>
            </w:r>
          </w:p>
        </w:tc>
        <w:tc>
          <w:tcPr>
            <w:tcW w:w="82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　</w:t>
            </w: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ign w:val="center"/>
          </w:tcPr>
          <w:p>
            <w:pPr>
              <w:widowControl/>
              <w:jc w:val="center"/>
              <w:rPr>
                <w:rFonts w:hint="default"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lang w:val="en-US" w:eastAsia="zh-CN"/>
              </w:rPr>
              <w:t>21</w:t>
            </w:r>
          </w:p>
        </w:tc>
        <w:tc>
          <w:tcPr>
            <w:tcW w:w="2231"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不锈钢</w:t>
            </w:r>
          </w:p>
        </w:tc>
        <w:tc>
          <w:tcPr>
            <w:tcW w:w="114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长城</w:t>
            </w:r>
          </w:p>
        </w:tc>
        <w:tc>
          <w:tcPr>
            <w:tcW w:w="103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环球</w:t>
            </w:r>
          </w:p>
        </w:tc>
        <w:tc>
          <w:tcPr>
            <w:tcW w:w="102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万佳泓</w:t>
            </w:r>
          </w:p>
        </w:tc>
        <w:tc>
          <w:tcPr>
            <w:tcW w:w="94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　</w:t>
            </w:r>
          </w:p>
        </w:tc>
        <w:tc>
          <w:tcPr>
            <w:tcW w:w="82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　</w:t>
            </w: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ign w:val="center"/>
          </w:tcPr>
          <w:p>
            <w:pPr>
              <w:widowControl/>
              <w:jc w:val="center"/>
              <w:rPr>
                <w:rFonts w:hint="default"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lang w:val="en-US" w:eastAsia="zh-CN"/>
              </w:rPr>
              <w:t>22</w:t>
            </w:r>
          </w:p>
        </w:tc>
        <w:tc>
          <w:tcPr>
            <w:tcW w:w="2231"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穿孔吸音复合板</w:t>
            </w:r>
          </w:p>
        </w:tc>
        <w:tc>
          <w:tcPr>
            <w:tcW w:w="114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深圳方大</w:t>
            </w:r>
          </w:p>
        </w:tc>
        <w:tc>
          <w:tcPr>
            <w:tcW w:w="103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四川美索亚</w:t>
            </w:r>
          </w:p>
        </w:tc>
        <w:tc>
          <w:tcPr>
            <w:tcW w:w="102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 xml:space="preserve"> 广州金霸</w:t>
            </w:r>
          </w:p>
        </w:tc>
        <w:tc>
          <w:tcPr>
            <w:tcW w:w="945" w:type="dxa"/>
            <w:noWrap w:val="0"/>
            <w:vAlign w:val="center"/>
          </w:tcPr>
          <w:p>
            <w:pPr>
              <w:widowControl/>
              <w:jc w:val="center"/>
              <w:rPr>
                <w:rFonts w:hint="eastAsia" w:hAnsi="宋体" w:eastAsia="宋体" w:cs="宋体"/>
                <w:bCs w:val="0"/>
                <w:color w:val="auto"/>
                <w:kern w:val="0"/>
                <w:sz w:val="21"/>
                <w:szCs w:val="21"/>
                <w:highlight w:val="none"/>
              </w:rPr>
            </w:pPr>
          </w:p>
        </w:tc>
        <w:tc>
          <w:tcPr>
            <w:tcW w:w="825" w:type="dxa"/>
            <w:noWrap w:val="0"/>
            <w:vAlign w:val="center"/>
          </w:tcPr>
          <w:p>
            <w:pPr>
              <w:widowControl/>
              <w:jc w:val="center"/>
              <w:rPr>
                <w:rFonts w:hint="eastAsia" w:hAnsi="宋体" w:eastAsia="宋体" w:cs="宋体"/>
                <w:bCs w:val="0"/>
                <w:color w:val="auto"/>
                <w:kern w:val="0"/>
                <w:sz w:val="21"/>
                <w:szCs w:val="21"/>
                <w:highlight w:val="none"/>
              </w:rPr>
            </w:pP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590" w:type="dxa"/>
            <w:noWrap/>
            <w:vAlign w:val="center"/>
          </w:tcPr>
          <w:p>
            <w:pPr>
              <w:widowControl/>
              <w:jc w:val="center"/>
              <w:rPr>
                <w:rFonts w:hint="default"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lang w:val="en-US" w:eastAsia="zh-CN"/>
              </w:rPr>
              <w:t>23</w:t>
            </w:r>
          </w:p>
        </w:tc>
        <w:tc>
          <w:tcPr>
            <w:tcW w:w="2231"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硅酸钙板</w:t>
            </w:r>
          </w:p>
        </w:tc>
        <w:tc>
          <w:tcPr>
            <w:tcW w:w="114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金强</w:t>
            </w:r>
          </w:p>
        </w:tc>
        <w:tc>
          <w:tcPr>
            <w:tcW w:w="103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雄塑</w:t>
            </w:r>
          </w:p>
        </w:tc>
        <w:tc>
          <w:tcPr>
            <w:tcW w:w="102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松本</w:t>
            </w:r>
          </w:p>
        </w:tc>
        <w:tc>
          <w:tcPr>
            <w:tcW w:w="94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 xml:space="preserve"> </w:t>
            </w:r>
          </w:p>
        </w:tc>
        <w:tc>
          <w:tcPr>
            <w:tcW w:w="82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 xml:space="preserve"> </w:t>
            </w: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590" w:type="dxa"/>
            <w:shd w:val="clear" w:color="auto" w:fill="auto"/>
            <w:noWrap/>
            <w:vAlign w:val="center"/>
          </w:tcPr>
          <w:p>
            <w:pPr>
              <w:widowControl/>
              <w:jc w:val="center"/>
              <w:rPr>
                <w:rFonts w:hint="default"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lang w:val="en-US" w:eastAsia="zh-CN"/>
              </w:rPr>
              <w:t>24</w:t>
            </w:r>
          </w:p>
        </w:tc>
        <w:tc>
          <w:tcPr>
            <w:tcW w:w="2231" w:type="dxa"/>
            <w:shd w:val="clear" w:color="auto" w:fill="FFFFFF"/>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石膏板</w:t>
            </w:r>
          </w:p>
        </w:tc>
        <w:tc>
          <w:tcPr>
            <w:tcW w:w="1140" w:type="dxa"/>
            <w:shd w:val="clear" w:color="auto" w:fill="FFFFFF"/>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可耐福</w:t>
            </w:r>
          </w:p>
        </w:tc>
        <w:tc>
          <w:tcPr>
            <w:tcW w:w="1035" w:type="dxa"/>
            <w:shd w:val="clear" w:color="auto" w:fill="FFFFFF"/>
            <w:noWrap w:val="0"/>
            <w:vAlign w:val="center"/>
          </w:tcPr>
          <w:p>
            <w:pPr>
              <w:widowControl/>
              <w:jc w:val="center"/>
              <w:rPr>
                <w:rFonts w:hint="default"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lang w:val="en-US" w:eastAsia="zh-CN"/>
              </w:rPr>
              <w:t>杰森</w:t>
            </w:r>
          </w:p>
        </w:tc>
        <w:tc>
          <w:tcPr>
            <w:tcW w:w="102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杰科</w:t>
            </w:r>
          </w:p>
        </w:tc>
        <w:tc>
          <w:tcPr>
            <w:tcW w:w="945" w:type="dxa"/>
            <w:noWrap w:val="0"/>
            <w:vAlign w:val="center"/>
          </w:tcPr>
          <w:p>
            <w:pPr>
              <w:widowControl/>
              <w:jc w:val="center"/>
              <w:rPr>
                <w:rFonts w:hint="eastAsia" w:hAnsi="宋体" w:eastAsia="宋体" w:cs="宋体"/>
                <w:bCs w:val="0"/>
                <w:color w:val="auto"/>
                <w:kern w:val="0"/>
                <w:sz w:val="21"/>
                <w:szCs w:val="21"/>
                <w:highlight w:val="none"/>
              </w:rPr>
            </w:pPr>
          </w:p>
        </w:tc>
        <w:tc>
          <w:tcPr>
            <w:tcW w:w="825" w:type="dxa"/>
            <w:noWrap w:val="0"/>
            <w:vAlign w:val="center"/>
          </w:tcPr>
          <w:p>
            <w:pPr>
              <w:widowControl/>
              <w:jc w:val="center"/>
              <w:rPr>
                <w:rFonts w:hint="eastAsia" w:hAnsi="宋体" w:eastAsia="宋体" w:cs="宋体"/>
                <w:bCs w:val="0"/>
                <w:color w:val="auto"/>
                <w:kern w:val="0"/>
                <w:sz w:val="21"/>
                <w:szCs w:val="21"/>
                <w:highlight w:val="none"/>
              </w:rPr>
            </w:pP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ign w:val="center"/>
          </w:tcPr>
          <w:p>
            <w:pPr>
              <w:widowControl/>
              <w:jc w:val="center"/>
              <w:rPr>
                <w:rFonts w:hint="default"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lang w:val="en-US" w:eastAsia="zh-CN"/>
              </w:rPr>
              <w:t>25</w:t>
            </w:r>
          </w:p>
        </w:tc>
        <w:tc>
          <w:tcPr>
            <w:tcW w:w="2231"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铝扣板、冲孔铝扣板、铝方通、铝格栅</w:t>
            </w:r>
          </w:p>
        </w:tc>
        <w:tc>
          <w:tcPr>
            <w:tcW w:w="114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法狮龙</w:t>
            </w:r>
          </w:p>
        </w:tc>
        <w:tc>
          <w:tcPr>
            <w:tcW w:w="1035" w:type="dxa"/>
            <w:noWrap w:val="0"/>
            <w:vAlign w:val="center"/>
          </w:tcPr>
          <w:p>
            <w:pPr>
              <w:widowControl/>
              <w:jc w:val="center"/>
              <w:rPr>
                <w:rFonts w:hint="eastAsia"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rPr>
              <w:t>欧</w:t>
            </w:r>
            <w:r>
              <w:rPr>
                <w:rFonts w:hint="eastAsia" w:hAnsi="宋体" w:eastAsia="宋体" w:cs="宋体"/>
                <w:bCs w:val="0"/>
                <w:color w:val="auto"/>
                <w:kern w:val="0"/>
                <w:sz w:val="21"/>
                <w:szCs w:val="21"/>
                <w:highlight w:val="none"/>
                <w:lang w:val="en-US" w:eastAsia="zh-CN"/>
              </w:rPr>
              <w:t>陆</w:t>
            </w:r>
          </w:p>
        </w:tc>
        <w:tc>
          <w:tcPr>
            <w:tcW w:w="1020" w:type="dxa"/>
            <w:noWrap w:val="0"/>
            <w:vAlign w:val="center"/>
          </w:tcPr>
          <w:p>
            <w:pPr>
              <w:widowControl/>
              <w:jc w:val="center"/>
              <w:rPr>
                <w:rFonts w:hint="default"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lang w:val="en-US" w:eastAsia="zh-CN"/>
              </w:rPr>
              <w:t>奥普</w:t>
            </w:r>
          </w:p>
        </w:tc>
        <w:tc>
          <w:tcPr>
            <w:tcW w:w="94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color w:val="auto"/>
                <w:kern w:val="0"/>
                <w:sz w:val="21"/>
                <w:szCs w:val="21"/>
                <w:highlight w:val="none"/>
                <w:lang w:val="en-US" w:eastAsia="zh-CN"/>
              </w:rPr>
              <w:t>名族</w:t>
            </w:r>
            <w:r>
              <w:rPr>
                <w:rFonts w:hint="eastAsia" w:hAnsi="宋体" w:eastAsia="宋体" w:cs="宋体"/>
                <w:bCs/>
                <w:color w:val="auto"/>
                <w:kern w:val="0"/>
                <w:sz w:val="21"/>
                <w:szCs w:val="21"/>
                <w:highlight w:val="none"/>
              </w:rPr>
              <w:t>　</w:t>
            </w:r>
          </w:p>
        </w:tc>
        <w:tc>
          <w:tcPr>
            <w:tcW w:w="82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　</w:t>
            </w: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ign w:val="center"/>
          </w:tcPr>
          <w:p>
            <w:pPr>
              <w:widowControl/>
              <w:jc w:val="center"/>
              <w:rPr>
                <w:rFonts w:hint="eastAsia"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lang w:val="en-US" w:eastAsia="zh-CN"/>
              </w:rPr>
              <w:t>26.1</w:t>
            </w:r>
          </w:p>
        </w:tc>
        <w:tc>
          <w:tcPr>
            <w:tcW w:w="2231"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人造石台面</w:t>
            </w:r>
            <w:r>
              <w:rPr>
                <w:rFonts w:hint="eastAsia" w:hAnsi="宋体" w:eastAsia="宋体" w:cs="宋体"/>
                <w:bCs w:val="0"/>
                <w:color w:val="auto"/>
                <w:kern w:val="0"/>
                <w:sz w:val="21"/>
                <w:szCs w:val="21"/>
                <w:highlight w:val="none"/>
                <w:lang w:val="en-US" w:eastAsia="zh-CN"/>
              </w:rPr>
              <w:t>(岗石）</w:t>
            </w:r>
          </w:p>
        </w:tc>
        <w:tc>
          <w:tcPr>
            <w:tcW w:w="1140" w:type="dxa"/>
            <w:noWrap w:val="0"/>
            <w:vAlign w:val="center"/>
          </w:tcPr>
          <w:p>
            <w:pPr>
              <w:widowControl/>
              <w:jc w:val="center"/>
              <w:rPr>
                <w:rFonts w:hint="eastAsia" w:ascii="宋体" w:hAnsi="宋体" w:eastAsia="宋体" w:cs="宋体"/>
                <w:bCs/>
                <w:color w:val="auto"/>
                <w:kern w:val="2"/>
                <w:sz w:val="21"/>
                <w:szCs w:val="21"/>
                <w:lang w:val="en-US" w:eastAsia="zh-CN" w:bidi="ar-SA"/>
              </w:rPr>
            </w:pPr>
            <w:r>
              <w:rPr>
                <w:rFonts w:hint="eastAsia" w:hAnsi="宋体" w:eastAsia="宋体" w:cs="宋体"/>
                <w:bCs/>
                <w:color w:val="auto"/>
                <w:sz w:val="21"/>
                <w:szCs w:val="21"/>
              </w:rPr>
              <w:t>环球</w:t>
            </w:r>
          </w:p>
        </w:tc>
        <w:tc>
          <w:tcPr>
            <w:tcW w:w="1035" w:type="dxa"/>
            <w:noWrap w:val="0"/>
            <w:vAlign w:val="center"/>
          </w:tcPr>
          <w:p>
            <w:pPr>
              <w:widowControl/>
              <w:jc w:val="center"/>
              <w:rPr>
                <w:rFonts w:hint="eastAsia" w:ascii="宋体" w:hAnsi="宋体" w:eastAsia="宋体" w:cs="宋体"/>
                <w:bCs/>
                <w:color w:val="auto"/>
                <w:kern w:val="2"/>
                <w:sz w:val="21"/>
                <w:szCs w:val="21"/>
                <w:lang w:val="en-US" w:eastAsia="zh-CN" w:bidi="ar-SA"/>
              </w:rPr>
            </w:pPr>
            <w:r>
              <w:rPr>
                <w:rFonts w:hint="eastAsia" w:hAnsi="宋体" w:eastAsia="宋体" w:cs="宋体"/>
                <w:bCs/>
                <w:color w:val="auto"/>
                <w:sz w:val="21"/>
                <w:szCs w:val="21"/>
              </w:rPr>
              <w:t>利机</w:t>
            </w:r>
          </w:p>
        </w:tc>
        <w:tc>
          <w:tcPr>
            <w:tcW w:w="1020" w:type="dxa"/>
            <w:noWrap w:val="0"/>
            <w:vAlign w:val="center"/>
          </w:tcPr>
          <w:p>
            <w:pPr>
              <w:widowControl/>
              <w:jc w:val="center"/>
              <w:rPr>
                <w:rFonts w:hint="eastAsia" w:ascii="宋体" w:hAnsi="宋体" w:eastAsia="宋体" w:cs="宋体"/>
                <w:bCs/>
                <w:color w:val="auto"/>
                <w:kern w:val="2"/>
                <w:sz w:val="21"/>
                <w:szCs w:val="21"/>
                <w:lang w:val="en-US" w:eastAsia="zh-CN" w:bidi="ar-SA"/>
              </w:rPr>
            </w:pPr>
            <w:r>
              <w:rPr>
                <w:rFonts w:hint="eastAsia" w:hAnsi="宋体" w:eastAsia="宋体" w:cs="宋体"/>
                <w:bCs/>
                <w:color w:val="auto"/>
                <w:sz w:val="21"/>
                <w:szCs w:val="21"/>
              </w:rPr>
              <w:t>万峯</w:t>
            </w:r>
          </w:p>
        </w:tc>
        <w:tc>
          <w:tcPr>
            <w:tcW w:w="945" w:type="dxa"/>
            <w:noWrap w:val="0"/>
            <w:vAlign w:val="center"/>
          </w:tcPr>
          <w:p>
            <w:pPr>
              <w:widowControl/>
              <w:jc w:val="center"/>
              <w:rPr>
                <w:rFonts w:hint="eastAsia" w:ascii="宋体" w:hAnsi="宋体" w:eastAsia="宋体" w:cs="宋体"/>
                <w:bCs/>
                <w:color w:val="auto"/>
                <w:kern w:val="2"/>
                <w:sz w:val="21"/>
                <w:szCs w:val="21"/>
                <w:lang w:val="en-US" w:eastAsia="zh-CN" w:bidi="ar-SA"/>
              </w:rPr>
            </w:pPr>
            <w:r>
              <w:rPr>
                <w:rFonts w:hint="eastAsia" w:hAnsi="宋体" w:eastAsia="宋体" w:cs="宋体"/>
                <w:bCs/>
                <w:color w:val="auto"/>
                <w:sz w:val="21"/>
                <w:szCs w:val="21"/>
              </w:rPr>
              <w:t>荣冠</w:t>
            </w:r>
          </w:p>
        </w:tc>
        <w:tc>
          <w:tcPr>
            <w:tcW w:w="825" w:type="dxa"/>
            <w:noWrap w:val="0"/>
            <w:vAlign w:val="center"/>
          </w:tcPr>
          <w:p>
            <w:pPr>
              <w:widowControl/>
              <w:jc w:val="center"/>
              <w:rPr>
                <w:rFonts w:hint="eastAsia" w:ascii="宋体" w:hAnsi="宋体" w:eastAsia="宋体" w:cs="宋体"/>
                <w:bCs/>
                <w:color w:val="auto"/>
                <w:kern w:val="2"/>
                <w:sz w:val="21"/>
                <w:szCs w:val="21"/>
                <w:lang w:val="en-US" w:eastAsia="zh-CN" w:bidi="ar-SA"/>
              </w:rPr>
            </w:pPr>
            <w:r>
              <w:rPr>
                <w:rFonts w:hint="eastAsia" w:hAnsi="宋体" w:eastAsia="宋体" w:cs="宋体"/>
                <w:bCs/>
                <w:color w:val="auto"/>
                <w:sz w:val="21"/>
                <w:szCs w:val="21"/>
              </w:rPr>
              <w:t>鹏翔</w:t>
            </w:r>
          </w:p>
        </w:tc>
        <w:tc>
          <w:tcPr>
            <w:tcW w:w="735" w:type="dxa"/>
            <w:noWrap w:val="0"/>
            <w:vAlign w:val="center"/>
          </w:tcPr>
          <w:p>
            <w:pPr>
              <w:widowControl/>
              <w:jc w:val="center"/>
              <w:rPr>
                <w:rFonts w:hint="eastAsia" w:ascii="宋体" w:hAnsi="宋体" w:eastAsia="宋体" w:cs="宋体"/>
                <w:bCs/>
                <w:color w:val="auto"/>
                <w:kern w:val="2"/>
                <w:sz w:val="21"/>
                <w:szCs w:val="21"/>
                <w:lang w:val="en-US" w:eastAsia="zh-CN" w:bidi="ar-SA"/>
              </w:rPr>
            </w:pPr>
            <w:r>
              <w:rPr>
                <w:rFonts w:hint="eastAsia" w:hAnsi="宋体" w:eastAsia="宋体" w:cs="宋体"/>
                <w:bCs/>
                <w:color w:val="auto"/>
                <w:sz w:val="21"/>
                <w:szCs w:val="21"/>
              </w:rPr>
              <w:t>宝云智胜</w:t>
            </w:r>
          </w:p>
        </w:tc>
        <w:tc>
          <w:tcPr>
            <w:tcW w:w="764" w:type="dxa"/>
            <w:noWrap w:val="0"/>
            <w:vAlign w:val="center"/>
          </w:tcPr>
          <w:p>
            <w:pPr>
              <w:widowControl/>
              <w:jc w:val="center"/>
              <w:rPr>
                <w:rFonts w:hint="eastAsia" w:ascii="宋体" w:hAnsi="宋体" w:eastAsia="宋体" w:cs="宋体"/>
                <w:bCs w:val="0"/>
                <w:color w:val="auto"/>
                <w:kern w:val="0"/>
                <w:sz w:val="21"/>
                <w:szCs w:val="21"/>
                <w:highlight w:val="none"/>
              </w:rPr>
            </w:pPr>
          </w:p>
        </w:tc>
        <w:tc>
          <w:tcPr>
            <w:tcW w:w="711" w:type="dxa"/>
            <w:noWrap w:val="0"/>
            <w:vAlign w:val="center"/>
          </w:tcPr>
          <w:p>
            <w:pPr>
              <w:widowControl/>
              <w:jc w:val="center"/>
              <w:rPr>
                <w:rFonts w:hint="eastAsia" w:ascii="宋体"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ign w:val="center"/>
          </w:tcPr>
          <w:p>
            <w:pPr>
              <w:widowControl/>
              <w:jc w:val="center"/>
              <w:rPr>
                <w:rFonts w:hint="default"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lang w:val="en-US" w:eastAsia="zh-CN"/>
              </w:rPr>
              <w:t>26.2</w:t>
            </w:r>
          </w:p>
        </w:tc>
        <w:tc>
          <w:tcPr>
            <w:tcW w:w="2231" w:type="dxa"/>
            <w:noWrap w:val="0"/>
            <w:vAlign w:val="center"/>
          </w:tcPr>
          <w:p>
            <w:pPr>
              <w:widowControl/>
              <w:jc w:val="center"/>
              <w:rPr>
                <w:rFonts w:hint="default"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rPr>
              <w:t>人造石台面</w:t>
            </w:r>
            <w:r>
              <w:rPr>
                <w:rFonts w:hint="eastAsia" w:hAnsi="宋体" w:eastAsia="宋体" w:cs="宋体"/>
                <w:bCs w:val="0"/>
                <w:color w:val="auto"/>
                <w:kern w:val="0"/>
                <w:sz w:val="21"/>
                <w:szCs w:val="21"/>
                <w:highlight w:val="none"/>
                <w:lang w:val="en-US" w:eastAsia="zh-CN"/>
              </w:rPr>
              <w:t>(石英石）</w:t>
            </w:r>
          </w:p>
        </w:tc>
        <w:tc>
          <w:tcPr>
            <w:tcW w:w="114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环球</w:t>
            </w:r>
          </w:p>
        </w:tc>
        <w:tc>
          <w:tcPr>
            <w:tcW w:w="103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利机</w:t>
            </w:r>
          </w:p>
        </w:tc>
        <w:tc>
          <w:tcPr>
            <w:tcW w:w="102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万峯</w:t>
            </w:r>
          </w:p>
        </w:tc>
        <w:tc>
          <w:tcPr>
            <w:tcW w:w="94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宝丽雅</w:t>
            </w:r>
          </w:p>
        </w:tc>
        <w:tc>
          <w:tcPr>
            <w:tcW w:w="825" w:type="dxa"/>
            <w:noWrap w:val="0"/>
            <w:vAlign w:val="center"/>
          </w:tcPr>
          <w:p>
            <w:pPr>
              <w:widowControl/>
              <w:jc w:val="center"/>
              <w:rPr>
                <w:rFonts w:hint="eastAsia" w:ascii="宋体"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欧铂利</w:t>
            </w:r>
          </w:p>
        </w:tc>
        <w:tc>
          <w:tcPr>
            <w:tcW w:w="735" w:type="dxa"/>
            <w:noWrap w:val="0"/>
            <w:vAlign w:val="center"/>
          </w:tcPr>
          <w:p>
            <w:pPr>
              <w:widowControl/>
              <w:jc w:val="center"/>
              <w:rPr>
                <w:rFonts w:hint="eastAsia" w:ascii="宋体"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必图</w:t>
            </w:r>
          </w:p>
        </w:tc>
        <w:tc>
          <w:tcPr>
            <w:tcW w:w="764" w:type="dxa"/>
            <w:noWrap w:val="0"/>
            <w:vAlign w:val="center"/>
          </w:tcPr>
          <w:p>
            <w:pPr>
              <w:widowControl/>
              <w:jc w:val="center"/>
              <w:rPr>
                <w:rFonts w:hint="eastAsia" w:ascii="宋体" w:hAnsi="宋体" w:eastAsia="宋体" w:cs="宋体"/>
                <w:bCs w:val="0"/>
                <w:color w:val="auto"/>
                <w:kern w:val="0"/>
                <w:sz w:val="21"/>
                <w:szCs w:val="21"/>
                <w:highlight w:val="none"/>
              </w:rPr>
            </w:pPr>
            <w:r>
              <w:rPr>
                <w:rFonts w:hint="eastAsia" w:hAnsi="宋体" w:eastAsia="宋体" w:cs="宋体"/>
                <w:bCs/>
                <w:color w:val="auto"/>
                <w:sz w:val="21"/>
                <w:szCs w:val="21"/>
              </w:rPr>
              <w:t>弗仕通</w:t>
            </w:r>
          </w:p>
        </w:tc>
        <w:tc>
          <w:tcPr>
            <w:tcW w:w="711" w:type="dxa"/>
            <w:noWrap w:val="0"/>
            <w:vAlign w:val="center"/>
          </w:tcPr>
          <w:p>
            <w:pPr>
              <w:widowControl/>
              <w:jc w:val="center"/>
              <w:rPr>
                <w:rFonts w:hint="eastAsia" w:ascii="宋体"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ign w:val="center"/>
          </w:tcPr>
          <w:p>
            <w:pPr>
              <w:widowControl/>
              <w:jc w:val="center"/>
              <w:rPr>
                <w:rFonts w:hint="default"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lang w:val="en-US" w:eastAsia="zh-CN"/>
              </w:rPr>
              <w:t>27</w:t>
            </w:r>
          </w:p>
        </w:tc>
        <w:tc>
          <w:tcPr>
            <w:tcW w:w="2231"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阻燃胶合板/木基层板</w:t>
            </w:r>
          </w:p>
        </w:tc>
        <w:tc>
          <w:tcPr>
            <w:tcW w:w="114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兔宝宝</w:t>
            </w:r>
          </w:p>
        </w:tc>
        <w:tc>
          <w:tcPr>
            <w:tcW w:w="103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莫干山</w:t>
            </w:r>
          </w:p>
        </w:tc>
        <w:tc>
          <w:tcPr>
            <w:tcW w:w="102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千年舟</w:t>
            </w:r>
          </w:p>
        </w:tc>
        <w:tc>
          <w:tcPr>
            <w:tcW w:w="94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lang w:val="en-US" w:eastAsia="zh-CN"/>
              </w:rPr>
              <w:t>大王椰</w:t>
            </w:r>
            <w:r>
              <w:rPr>
                <w:rFonts w:hint="eastAsia" w:hAnsi="宋体" w:eastAsia="宋体" w:cs="宋体"/>
                <w:bCs w:val="0"/>
                <w:color w:val="auto"/>
                <w:kern w:val="0"/>
                <w:sz w:val="21"/>
                <w:szCs w:val="21"/>
                <w:highlight w:val="none"/>
              </w:rPr>
              <w:t>　</w:t>
            </w:r>
          </w:p>
        </w:tc>
        <w:tc>
          <w:tcPr>
            <w:tcW w:w="82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　</w:t>
            </w: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default" w:hAnsi="宋体" w:eastAsia="宋体" w:cs="宋体"/>
                <w:bCs w:val="0"/>
                <w:color w:val="auto"/>
                <w:kern w:val="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ign w:val="center"/>
          </w:tcPr>
          <w:p>
            <w:pPr>
              <w:widowControl/>
              <w:jc w:val="center"/>
              <w:rPr>
                <w:rFonts w:hint="default"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lang w:val="en-US" w:eastAsia="zh-CN"/>
              </w:rPr>
              <w:t>28</w:t>
            </w:r>
          </w:p>
        </w:tc>
        <w:tc>
          <w:tcPr>
            <w:tcW w:w="2231" w:type="dxa"/>
            <w:noWrap w:val="0"/>
            <w:vAlign w:val="center"/>
          </w:tcPr>
          <w:p>
            <w:pPr>
              <w:widowControl/>
              <w:jc w:val="center"/>
              <w:rPr>
                <w:rFonts w:hint="default"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lang w:val="en-US" w:eastAsia="zh-CN"/>
              </w:rPr>
              <w:t>地坪漆、金刚砂（固化剂）</w:t>
            </w:r>
          </w:p>
        </w:tc>
        <w:tc>
          <w:tcPr>
            <w:tcW w:w="114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西卡</w:t>
            </w:r>
          </w:p>
        </w:tc>
        <w:tc>
          <w:tcPr>
            <w:tcW w:w="1035" w:type="dxa"/>
            <w:noWrap w:val="0"/>
            <w:vAlign w:val="center"/>
          </w:tcPr>
          <w:p>
            <w:pPr>
              <w:widowControl/>
              <w:jc w:val="center"/>
              <w:rPr>
                <w:rFonts w:hint="default"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lang w:val="en-US" w:eastAsia="zh-CN"/>
              </w:rPr>
              <w:t>施贝化学</w:t>
            </w:r>
          </w:p>
        </w:tc>
        <w:tc>
          <w:tcPr>
            <w:tcW w:w="102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马贝</w:t>
            </w:r>
          </w:p>
        </w:tc>
        <w:tc>
          <w:tcPr>
            <w:tcW w:w="94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嘉宝莉</w:t>
            </w:r>
          </w:p>
        </w:tc>
        <w:tc>
          <w:tcPr>
            <w:tcW w:w="82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　</w:t>
            </w: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590" w:type="dxa"/>
            <w:noWrap/>
            <w:vAlign w:val="center"/>
          </w:tcPr>
          <w:p>
            <w:pPr>
              <w:widowControl/>
              <w:jc w:val="center"/>
              <w:rPr>
                <w:rFonts w:hint="default"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lang w:val="en-US" w:eastAsia="zh-CN"/>
              </w:rPr>
              <w:t>29</w:t>
            </w:r>
          </w:p>
        </w:tc>
        <w:tc>
          <w:tcPr>
            <w:tcW w:w="2231"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人防门及人防设备</w:t>
            </w:r>
          </w:p>
        </w:tc>
        <w:tc>
          <w:tcPr>
            <w:tcW w:w="114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福建欣工苑</w:t>
            </w:r>
          </w:p>
        </w:tc>
        <w:tc>
          <w:tcPr>
            <w:tcW w:w="103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厦门鸿扬</w:t>
            </w:r>
          </w:p>
        </w:tc>
        <w:tc>
          <w:tcPr>
            <w:tcW w:w="102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福建金弘</w:t>
            </w:r>
          </w:p>
        </w:tc>
        <w:tc>
          <w:tcPr>
            <w:tcW w:w="945" w:type="dxa"/>
            <w:noWrap w:val="0"/>
            <w:vAlign w:val="center"/>
          </w:tcPr>
          <w:p>
            <w:pPr>
              <w:widowControl/>
              <w:jc w:val="center"/>
              <w:rPr>
                <w:rFonts w:hint="eastAsia" w:hAnsi="宋体" w:eastAsia="宋体" w:cs="宋体"/>
                <w:bCs w:val="0"/>
                <w:color w:val="auto"/>
                <w:kern w:val="0"/>
                <w:sz w:val="21"/>
                <w:szCs w:val="21"/>
                <w:highlight w:val="none"/>
              </w:rPr>
            </w:pPr>
          </w:p>
        </w:tc>
        <w:tc>
          <w:tcPr>
            <w:tcW w:w="825" w:type="dxa"/>
            <w:noWrap w:val="0"/>
            <w:vAlign w:val="center"/>
          </w:tcPr>
          <w:p>
            <w:pPr>
              <w:widowControl/>
              <w:jc w:val="center"/>
              <w:rPr>
                <w:rFonts w:hint="eastAsia" w:hAnsi="宋体" w:eastAsia="宋体" w:cs="宋体"/>
                <w:bCs w:val="0"/>
                <w:color w:val="auto"/>
                <w:kern w:val="0"/>
                <w:sz w:val="21"/>
                <w:szCs w:val="21"/>
                <w:highlight w:val="none"/>
              </w:rPr>
            </w:pP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9" w:hRule="atLeast"/>
          <w:jc w:val="center"/>
        </w:trPr>
        <w:tc>
          <w:tcPr>
            <w:tcW w:w="590" w:type="dxa"/>
            <w:noWrap/>
            <w:vAlign w:val="center"/>
          </w:tcPr>
          <w:p>
            <w:pPr>
              <w:widowControl/>
              <w:jc w:val="center"/>
              <w:rPr>
                <w:rFonts w:hint="default"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lang w:val="en-US" w:eastAsia="zh-CN"/>
              </w:rPr>
              <w:t>30</w:t>
            </w:r>
          </w:p>
        </w:tc>
        <w:tc>
          <w:tcPr>
            <w:tcW w:w="2231"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排水板</w:t>
            </w:r>
          </w:p>
        </w:tc>
        <w:tc>
          <w:tcPr>
            <w:tcW w:w="114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广州盛绿</w:t>
            </w:r>
          </w:p>
        </w:tc>
        <w:tc>
          <w:tcPr>
            <w:tcW w:w="103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厦门吉尔顺</w:t>
            </w:r>
          </w:p>
        </w:tc>
        <w:tc>
          <w:tcPr>
            <w:tcW w:w="102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深圳三佳</w:t>
            </w:r>
          </w:p>
        </w:tc>
        <w:tc>
          <w:tcPr>
            <w:tcW w:w="945" w:type="dxa"/>
            <w:noWrap w:val="0"/>
            <w:vAlign w:val="center"/>
          </w:tcPr>
          <w:p>
            <w:pPr>
              <w:widowControl/>
              <w:jc w:val="center"/>
              <w:rPr>
                <w:rFonts w:hint="eastAsia" w:hAnsi="宋体" w:eastAsia="宋体" w:cs="宋体"/>
                <w:bCs w:val="0"/>
                <w:color w:val="auto"/>
                <w:kern w:val="0"/>
                <w:sz w:val="21"/>
                <w:szCs w:val="21"/>
                <w:highlight w:val="none"/>
              </w:rPr>
            </w:pPr>
          </w:p>
        </w:tc>
        <w:tc>
          <w:tcPr>
            <w:tcW w:w="825" w:type="dxa"/>
            <w:noWrap w:val="0"/>
            <w:vAlign w:val="center"/>
          </w:tcPr>
          <w:p>
            <w:pPr>
              <w:widowControl/>
              <w:jc w:val="center"/>
              <w:rPr>
                <w:rFonts w:hint="eastAsia" w:hAnsi="宋体" w:eastAsia="宋体" w:cs="宋体"/>
                <w:bCs w:val="0"/>
                <w:color w:val="auto"/>
                <w:kern w:val="0"/>
                <w:sz w:val="21"/>
                <w:szCs w:val="21"/>
                <w:highlight w:val="none"/>
              </w:rPr>
            </w:pP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590" w:type="dxa"/>
            <w:noWrap/>
            <w:vAlign w:val="center"/>
          </w:tcPr>
          <w:p>
            <w:pPr>
              <w:widowControl/>
              <w:jc w:val="center"/>
              <w:rPr>
                <w:rFonts w:hint="default" w:hAnsi="宋体" w:eastAsia="宋体" w:cs="宋体"/>
                <w:bCs/>
                <w:color w:val="auto"/>
                <w:kern w:val="0"/>
                <w:sz w:val="21"/>
                <w:szCs w:val="21"/>
                <w:highlight w:val="none"/>
                <w:lang w:val="en-US" w:eastAsia="zh-CN"/>
              </w:rPr>
            </w:pPr>
            <w:r>
              <w:rPr>
                <w:rFonts w:hint="eastAsia" w:hAnsi="宋体" w:eastAsia="宋体" w:cs="宋体"/>
                <w:bCs/>
                <w:color w:val="auto"/>
                <w:kern w:val="0"/>
                <w:sz w:val="21"/>
                <w:szCs w:val="21"/>
                <w:highlight w:val="none"/>
                <w:lang w:val="en-US" w:eastAsia="zh-CN"/>
              </w:rPr>
              <w:t>31</w:t>
            </w:r>
          </w:p>
        </w:tc>
        <w:tc>
          <w:tcPr>
            <w:tcW w:w="2231" w:type="dxa"/>
            <w:noWrap w:val="0"/>
            <w:vAlign w:val="center"/>
          </w:tcPr>
          <w:p>
            <w:pPr>
              <w:widowControl/>
              <w:jc w:val="center"/>
              <w:rPr>
                <w:rFonts w:hint="default"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lang w:val="en-US" w:eastAsia="zh-CN"/>
              </w:rPr>
              <w:t>石膏砂浆</w:t>
            </w:r>
          </w:p>
        </w:tc>
        <w:tc>
          <w:tcPr>
            <w:tcW w:w="1140" w:type="dxa"/>
            <w:noWrap w:val="0"/>
            <w:vAlign w:val="center"/>
          </w:tcPr>
          <w:p>
            <w:pPr>
              <w:widowControl/>
              <w:jc w:val="center"/>
              <w:rPr>
                <w:rFonts w:hint="default"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lang w:val="en-US" w:eastAsia="zh-CN"/>
              </w:rPr>
              <w:t>百城福</w:t>
            </w:r>
          </w:p>
        </w:tc>
        <w:tc>
          <w:tcPr>
            <w:tcW w:w="1035" w:type="dxa"/>
            <w:noWrap w:val="0"/>
            <w:vAlign w:val="center"/>
          </w:tcPr>
          <w:p>
            <w:pPr>
              <w:widowControl/>
              <w:jc w:val="center"/>
              <w:rPr>
                <w:rFonts w:hint="default"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lang w:val="en-US" w:eastAsia="zh-CN"/>
              </w:rPr>
              <w:t>美巢</w:t>
            </w:r>
          </w:p>
        </w:tc>
        <w:tc>
          <w:tcPr>
            <w:tcW w:w="1020" w:type="dxa"/>
            <w:noWrap w:val="0"/>
            <w:vAlign w:val="center"/>
          </w:tcPr>
          <w:p>
            <w:pPr>
              <w:widowControl/>
              <w:jc w:val="center"/>
              <w:rPr>
                <w:rFonts w:hint="default"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lang w:val="en-US" w:eastAsia="zh-CN"/>
              </w:rPr>
              <w:t>圣戈班</w:t>
            </w:r>
          </w:p>
        </w:tc>
        <w:tc>
          <w:tcPr>
            <w:tcW w:w="945" w:type="dxa"/>
            <w:noWrap w:val="0"/>
            <w:vAlign w:val="center"/>
          </w:tcPr>
          <w:p>
            <w:pPr>
              <w:widowControl/>
              <w:jc w:val="center"/>
              <w:rPr>
                <w:rFonts w:hint="eastAsia" w:hAnsi="宋体" w:eastAsia="宋体" w:cs="宋体"/>
                <w:bCs w:val="0"/>
                <w:color w:val="auto"/>
                <w:kern w:val="0"/>
                <w:sz w:val="21"/>
                <w:szCs w:val="21"/>
                <w:highlight w:val="none"/>
                <w:lang w:val="en-US"/>
              </w:rPr>
            </w:pPr>
          </w:p>
        </w:tc>
        <w:tc>
          <w:tcPr>
            <w:tcW w:w="825" w:type="dxa"/>
            <w:noWrap w:val="0"/>
            <w:vAlign w:val="center"/>
          </w:tcPr>
          <w:p>
            <w:pPr>
              <w:widowControl/>
              <w:jc w:val="center"/>
              <w:rPr>
                <w:rFonts w:hint="eastAsia" w:hAnsi="宋体" w:eastAsia="宋体" w:cs="宋体"/>
                <w:bCs w:val="0"/>
                <w:color w:val="auto"/>
                <w:kern w:val="0"/>
                <w:sz w:val="21"/>
                <w:szCs w:val="21"/>
                <w:highlight w:val="none"/>
                <w:lang w:val="en-US"/>
              </w:rPr>
            </w:pPr>
          </w:p>
        </w:tc>
        <w:tc>
          <w:tcPr>
            <w:tcW w:w="735" w:type="dxa"/>
            <w:noWrap w:val="0"/>
            <w:vAlign w:val="center"/>
          </w:tcPr>
          <w:p>
            <w:pPr>
              <w:widowControl/>
              <w:jc w:val="center"/>
              <w:rPr>
                <w:rFonts w:hint="eastAsia" w:hAnsi="宋体" w:eastAsia="宋体" w:cs="宋体"/>
                <w:bCs w:val="0"/>
                <w:color w:val="auto"/>
                <w:kern w:val="0"/>
                <w:sz w:val="21"/>
                <w:szCs w:val="21"/>
                <w:highlight w:val="none"/>
                <w:lang w:val="en-US"/>
              </w:rPr>
            </w:pPr>
          </w:p>
        </w:tc>
        <w:tc>
          <w:tcPr>
            <w:tcW w:w="764" w:type="dxa"/>
            <w:noWrap w:val="0"/>
            <w:vAlign w:val="center"/>
          </w:tcPr>
          <w:p>
            <w:pPr>
              <w:widowControl/>
              <w:jc w:val="center"/>
              <w:rPr>
                <w:rFonts w:hint="eastAsia" w:hAnsi="宋体" w:eastAsia="宋体" w:cs="宋体"/>
                <w:bCs w:val="0"/>
                <w:color w:val="auto"/>
                <w:kern w:val="0"/>
                <w:sz w:val="21"/>
                <w:szCs w:val="21"/>
                <w:highlight w:val="none"/>
                <w:lang w:val="en-US"/>
              </w:rPr>
            </w:pPr>
          </w:p>
        </w:tc>
        <w:tc>
          <w:tcPr>
            <w:tcW w:w="711" w:type="dxa"/>
            <w:noWrap w:val="0"/>
            <w:vAlign w:val="center"/>
          </w:tcPr>
          <w:p>
            <w:pPr>
              <w:widowControl/>
              <w:jc w:val="center"/>
              <w:rPr>
                <w:rFonts w:hint="eastAsia" w:hAnsi="宋体" w:eastAsia="宋体" w:cs="宋体"/>
                <w:bCs w:val="0"/>
                <w:color w:val="auto"/>
                <w:kern w:val="0"/>
                <w:sz w:val="21"/>
                <w:szCs w:val="21"/>
                <w:highlight w:val="no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ign w:val="center"/>
          </w:tcPr>
          <w:p>
            <w:pPr>
              <w:widowControl/>
              <w:jc w:val="center"/>
              <w:rPr>
                <w:rFonts w:hint="default" w:hAnsi="宋体" w:eastAsia="宋体" w:cs="宋体"/>
                <w:bCs/>
                <w:color w:val="auto"/>
                <w:kern w:val="0"/>
                <w:sz w:val="21"/>
                <w:szCs w:val="21"/>
                <w:highlight w:val="none"/>
                <w:lang w:val="en-US" w:eastAsia="zh-CN"/>
              </w:rPr>
            </w:pPr>
            <w:r>
              <w:rPr>
                <w:rFonts w:hint="eastAsia" w:hAnsi="宋体" w:eastAsia="宋体" w:cs="宋体"/>
                <w:bCs/>
                <w:color w:val="auto"/>
                <w:kern w:val="0"/>
                <w:sz w:val="21"/>
                <w:szCs w:val="21"/>
                <w:highlight w:val="none"/>
                <w:lang w:val="en-US" w:eastAsia="zh-CN"/>
              </w:rPr>
              <w:t>32</w:t>
            </w:r>
          </w:p>
        </w:tc>
        <w:tc>
          <w:tcPr>
            <w:tcW w:w="2231" w:type="dxa"/>
            <w:noWrap w:val="0"/>
            <w:vAlign w:val="center"/>
          </w:tcPr>
          <w:p>
            <w:pPr>
              <w:widowControl/>
              <w:jc w:val="center"/>
              <w:rPr>
                <w:rFonts w:hint="eastAsia"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rPr>
              <w:t>墙面瓷砖和石材（含人造石）粘贴剂、瓷砖胶</w:t>
            </w:r>
          </w:p>
        </w:tc>
        <w:tc>
          <w:tcPr>
            <w:tcW w:w="1140" w:type="dxa"/>
            <w:noWrap w:val="0"/>
            <w:vAlign w:val="center"/>
          </w:tcPr>
          <w:p>
            <w:pPr>
              <w:widowControl/>
              <w:jc w:val="center"/>
              <w:rPr>
                <w:rFonts w:hint="eastAsia"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lang w:val="en-US" w:eastAsia="zh-CN"/>
              </w:rPr>
              <w:t>德高</w:t>
            </w:r>
          </w:p>
        </w:tc>
        <w:tc>
          <w:tcPr>
            <w:tcW w:w="1035" w:type="dxa"/>
            <w:noWrap w:val="0"/>
            <w:vAlign w:val="center"/>
          </w:tcPr>
          <w:p>
            <w:pPr>
              <w:widowControl/>
              <w:jc w:val="center"/>
              <w:rPr>
                <w:rFonts w:hint="eastAsia"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lang w:val="en-US" w:eastAsia="zh-CN"/>
              </w:rPr>
              <w:t>圣戈班伟伯</w:t>
            </w:r>
          </w:p>
        </w:tc>
        <w:tc>
          <w:tcPr>
            <w:tcW w:w="1020" w:type="dxa"/>
            <w:noWrap w:val="0"/>
            <w:vAlign w:val="center"/>
          </w:tcPr>
          <w:p>
            <w:pPr>
              <w:widowControl/>
              <w:jc w:val="center"/>
              <w:rPr>
                <w:rFonts w:hint="eastAsia"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lang w:val="en-US" w:eastAsia="zh-CN"/>
              </w:rPr>
              <w:t>欧丽亚</w:t>
            </w:r>
          </w:p>
        </w:tc>
        <w:tc>
          <w:tcPr>
            <w:tcW w:w="945" w:type="dxa"/>
            <w:noWrap w:val="0"/>
            <w:vAlign w:val="center"/>
          </w:tcPr>
          <w:p>
            <w:pPr>
              <w:widowControl/>
              <w:jc w:val="center"/>
              <w:rPr>
                <w:rFonts w:hint="eastAsia" w:hAnsi="宋体" w:eastAsia="宋体" w:cs="宋体"/>
                <w:color w:val="auto"/>
                <w:sz w:val="21"/>
                <w:szCs w:val="21"/>
                <w:highlight w:val="none"/>
              </w:rPr>
            </w:pPr>
          </w:p>
        </w:tc>
        <w:tc>
          <w:tcPr>
            <w:tcW w:w="825" w:type="dxa"/>
            <w:noWrap w:val="0"/>
            <w:vAlign w:val="center"/>
          </w:tcPr>
          <w:p>
            <w:pPr>
              <w:widowControl/>
              <w:jc w:val="center"/>
              <w:rPr>
                <w:rFonts w:hint="eastAsia" w:hAnsi="宋体" w:eastAsia="宋体" w:cs="宋体"/>
                <w:bCs w:val="0"/>
                <w:color w:val="auto"/>
                <w:kern w:val="0"/>
                <w:sz w:val="21"/>
                <w:szCs w:val="21"/>
                <w:highlight w:val="none"/>
                <w:lang w:val="en-US"/>
              </w:rPr>
            </w:pPr>
          </w:p>
        </w:tc>
        <w:tc>
          <w:tcPr>
            <w:tcW w:w="735" w:type="dxa"/>
            <w:noWrap w:val="0"/>
            <w:vAlign w:val="center"/>
          </w:tcPr>
          <w:p>
            <w:pPr>
              <w:widowControl/>
              <w:jc w:val="center"/>
              <w:rPr>
                <w:rFonts w:hint="eastAsia" w:hAnsi="宋体" w:eastAsia="宋体" w:cs="宋体"/>
                <w:bCs w:val="0"/>
                <w:color w:val="auto"/>
                <w:kern w:val="0"/>
                <w:sz w:val="21"/>
                <w:szCs w:val="21"/>
                <w:highlight w:val="none"/>
                <w:lang w:val="en-US"/>
              </w:rPr>
            </w:pPr>
          </w:p>
        </w:tc>
        <w:tc>
          <w:tcPr>
            <w:tcW w:w="764" w:type="dxa"/>
            <w:noWrap w:val="0"/>
            <w:vAlign w:val="center"/>
          </w:tcPr>
          <w:p>
            <w:pPr>
              <w:widowControl/>
              <w:jc w:val="center"/>
              <w:rPr>
                <w:rFonts w:hint="eastAsia" w:hAnsi="宋体" w:eastAsia="宋体" w:cs="宋体"/>
                <w:bCs w:val="0"/>
                <w:color w:val="auto"/>
                <w:kern w:val="0"/>
                <w:sz w:val="21"/>
                <w:szCs w:val="21"/>
                <w:highlight w:val="none"/>
                <w:lang w:val="en-US"/>
              </w:rPr>
            </w:pPr>
          </w:p>
        </w:tc>
        <w:tc>
          <w:tcPr>
            <w:tcW w:w="711" w:type="dxa"/>
            <w:noWrap w:val="0"/>
            <w:vAlign w:val="center"/>
          </w:tcPr>
          <w:p>
            <w:pPr>
              <w:widowControl/>
              <w:jc w:val="center"/>
              <w:rPr>
                <w:rFonts w:hint="eastAsia" w:hAnsi="宋体" w:eastAsia="宋体" w:cs="宋体"/>
                <w:bCs w:val="0"/>
                <w:color w:val="auto"/>
                <w:kern w:val="0"/>
                <w:sz w:val="21"/>
                <w:szCs w:val="21"/>
                <w:highlight w:val="no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9" w:hRule="atLeast"/>
          <w:jc w:val="center"/>
        </w:trPr>
        <w:tc>
          <w:tcPr>
            <w:tcW w:w="590" w:type="dxa"/>
            <w:noWrap/>
            <w:vAlign w:val="center"/>
          </w:tcPr>
          <w:p>
            <w:pPr>
              <w:widowControl/>
              <w:jc w:val="center"/>
              <w:rPr>
                <w:rFonts w:hint="default" w:hAnsi="宋体" w:eastAsia="宋体" w:cs="宋体"/>
                <w:bCs/>
                <w:color w:val="auto"/>
                <w:kern w:val="0"/>
                <w:sz w:val="21"/>
                <w:szCs w:val="21"/>
                <w:highlight w:val="none"/>
                <w:lang w:val="en-US" w:eastAsia="zh-CN"/>
              </w:rPr>
            </w:pPr>
            <w:r>
              <w:rPr>
                <w:rFonts w:hint="eastAsia" w:hAnsi="宋体" w:eastAsia="宋体" w:cs="宋体"/>
                <w:bCs/>
                <w:color w:val="auto"/>
                <w:kern w:val="0"/>
                <w:sz w:val="21"/>
                <w:szCs w:val="21"/>
                <w:highlight w:val="none"/>
                <w:lang w:val="en-US" w:eastAsia="zh-CN"/>
              </w:rPr>
              <w:t>33</w:t>
            </w:r>
          </w:p>
        </w:tc>
        <w:tc>
          <w:tcPr>
            <w:tcW w:w="2231"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color w:val="auto"/>
                <w:sz w:val="21"/>
                <w:szCs w:val="21"/>
              </w:rPr>
              <w:t>仿石砖</w:t>
            </w:r>
          </w:p>
        </w:tc>
        <w:tc>
          <w:tcPr>
            <w:tcW w:w="1140" w:type="dxa"/>
            <w:noWrap w:val="0"/>
            <w:vAlign w:val="center"/>
          </w:tcPr>
          <w:p>
            <w:pPr>
              <w:widowControl/>
              <w:jc w:val="center"/>
              <w:rPr>
                <w:rFonts w:hint="eastAsia" w:ascii="宋体" w:hAnsi="宋体" w:eastAsia="宋体" w:cs="宋体"/>
                <w:bCs/>
                <w:color w:val="auto"/>
                <w:kern w:val="2"/>
                <w:sz w:val="21"/>
                <w:szCs w:val="21"/>
                <w:lang w:val="en-US" w:eastAsia="zh-CN" w:bidi="ar-SA"/>
              </w:rPr>
            </w:pPr>
            <w:r>
              <w:rPr>
                <w:rFonts w:hint="eastAsia" w:hAnsi="宋体" w:eastAsia="宋体" w:cs="宋体"/>
                <w:bCs/>
                <w:color w:val="auto"/>
                <w:sz w:val="21"/>
                <w:szCs w:val="21"/>
              </w:rPr>
              <w:t>国星</w:t>
            </w:r>
          </w:p>
        </w:tc>
        <w:tc>
          <w:tcPr>
            <w:tcW w:w="1035" w:type="dxa"/>
            <w:noWrap w:val="0"/>
            <w:vAlign w:val="center"/>
          </w:tcPr>
          <w:p>
            <w:pPr>
              <w:widowControl/>
              <w:jc w:val="center"/>
              <w:rPr>
                <w:rFonts w:hint="eastAsia" w:ascii="宋体" w:hAnsi="宋体" w:eastAsia="宋体" w:cs="宋体"/>
                <w:bCs/>
                <w:color w:val="auto"/>
                <w:kern w:val="2"/>
                <w:sz w:val="21"/>
                <w:szCs w:val="21"/>
                <w:lang w:val="en-US" w:eastAsia="zh-CN" w:bidi="ar-SA"/>
              </w:rPr>
            </w:pPr>
            <w:r>
              <w:rPr>
                <w:rFonts w:hint="eastAsia" w:hAnsi="宋体" w:eastAsia="宋体" w:cs="宋体"/>
                <w:bCs/>
                <w:color w:val="auto"/>
                <w:sz w:val="21"/>
                <w:szCs w:val="21"/>
              </w:rPr>
              <w:t>蒙娜丽莎</w:t>
            </w:r>
          </w:p>
        </w:tc>
        <w:tc>
          <w:tcPr>
            <w:tcW w:w="1020" w:type="dxa"/>
            <w:noWrap w:val="0"/>
            <w:vAlign w:val="center"/>
          </w:tcPr>
          <w:p>
            <w:pPr>
              <w:widowControl/>
              <w:jc w:val="center"/>
              <w:rPr>
                <w:rFonts w:hint="eastAsia" w:ascii="宋体" w:hAnsi="宋体" w:eastAsia="宋体" w:cs="宋体"/>
                <w:bCs/>
                <w:color w:val="auto"/>
                <w:kern w:val="2"/>
                <w:sz w:val="21"/>
                <w:szCs w:val="21"/>
                <w:lang w:val="en-US" w:eastAsia="zh-CN" w:bidi="ar-SA"/>
              </w:rPr>
            </w:pPr>
            <w:r>
              <w:rPr>
                <w:rFonts w:hint="eastAsia" w:hAnsi="宋体" w:eastAsia="宋体" w:cs="宋体"/>
                <w:bCs/>
                <w:color w:val="auto"/>
                <w:sz w:val="21"/>
                <w:szCs w:val="21"/>
              </w:rPr>
              <w:t>马可波罗</w:t>
            </w:r>
          </w:p>
        </w:tc>
        <w:tc>
          <w:tcPr>
            <w:tcW w:w="945" w:type="dxa"/>
            <w:noWrap w:val="0"/>
            <w:vAlign w:val="center"/>
          </w:tcPr>
          <w:p>
            <w:pPr>
              <w:widowControl/>
              <w:jc w:val="center"/>
              <w:rPr>
                <w:rFonts w:hint="eastAsia" w:hAnsi="宋体" w:eastAsia="宋体" w:cs="宋体"/>
                <w:color w:val="auto"/>
                <w:sz w:val="21"/>
                <w:szCs w:val="21"/>
                <w:highlight w:val="none"/>
              </w:rPr>
            </w:pPr>
          </w:p>
        </w:tc>
        <w:tc>
          <w:tcPr>
            <w:tcW w:w="825" w:type="dxa"/>
            <w:noWrap w:val="0"/>
            <w:vAlign w:val="center"/>
          </w:tcPr>
          <w:p>
            <w:pPr>
              <w:widowControl/>
              <w:jc w:val="center"/>
              <w:rPr>
                <w:rFonts w:hint="eastAsia" w:hAnsi="宋体" w:eastAsia="宋体" w:cs="宋体"/>
                <w:bCs w:val="0"/>
                <w:color w:val="auto"/>
                <w:kern w:val="0"/>
                <w:sz w:val="21"/>
                <w:szCs w:val="21"/>
                <w:highlight w:val="none"/>
                <w:lang w:val="en-US"/>
              </w:rPr>
            </w:pPr>
          </w:p>
        </w:tc>
        <w:tc>
          <w:tcPr>
            <w:tcW w:w="735" w:type="dxa"/>
            <w:noWrap w:val="0"/>
            <w:vAlign w:val="center"/>
          </w:tcPr>
          <w:p>
            <w:pPr>
              <w:widowControl/>
              <w:jc w:val="center"/>
              <w:rPr>
                <w:rFonts w:hint="eastAsia" w:hAnsi="宋体" w:eastAsia="宋体" w:cs="宋体"/>
                <w:bCs w:val="0"/>
                <w:color w:val="auto"/>
                <w:kern w:val="0"/>
                <w:sz w:val="21"/>
                <w:szCs w:val="21"/>
                <w:highlight w:val="none"/>
                <w:lang w:val="en-US"/>
              </w:rPr>
            </w:pPr>
          </w:p>
        </w:tc>
        <w:tc>
          <w:tcPr>
            <w:tcW w:w="764" w:type="dxa"/>
            <w:noWrap w:val="0"/>
            <w:vAlign w:val="center"/>
          </w:tcPr>
          <w:p>
            <w:pPr>
              <w:widowControl/>
              <w:jc w:val="center"/>
              <w:rPr>
                <w:rFonts w:hint="eastAsia" w:hAnsi="宋体" w:eastAsia="宋体" w:cs="宋体"/>
                <w:bCs w:val="0"/>
                <w:color w:val="auto"/>
                <w:kern w:val="0"/>
                <w:sz w:val="21"/>
                <w:szCs w:val="21"/>
                <w:highlight w:val="none"/>
                <w:lang w:val="en-US"/>
              </w:rPr>
            </w:pPr>
          </w:p>
        </w:tc>
        <w:tc>
          <w:tcPr>
            <w:tcW w:w="711" w:type="dxa"/>
            <w:noWrap w:val="0"/>
            <w:vAlign w:val="center"/>
          </w:tcPr>
          <w:p>
            <w:pPr>
              <w:widowControl/>
              <w:jc w:val="center"/>
              <w:rPr>
                <w:rFonts w:hint="eastAsia" w:hAnsi="宋体" w:eastAsia="宋体" w:cs="宋体"/>
                <w:bCs w:val="0"/>
                <w:color w:val="auto"/>
                <w:kern w:val="0"/>
                <w:sz w:val="21"/>
                <w:szCs w:val="21"/>
                <w:highlight w:val="no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9996" w:type="dxa"/>
            <w:gridSpan w:val="10"/>
            <w:noWrap/>
            <w:vAlign w:val="center"/>
          </w:tcPr>
          <w:p>
            <w:pPr>
              <w:widowControl/>
              <w:jc w:val="center"/>
              <w:rPr>
                <w:rFonts w:hint="eastAsia" w:hAnsi="宋体" w:eastAsia="宋体" w:cs="宋体"/>
                <w:b/>
                <w:color w:val="auto"/>
                <w:kern w:val="0"/>
                <w:sz w:val="21"/>
                <w:szCs w:val="21"/>
                <w:highlight w:val="none"/>
              </w:rPr>
            </w:pPr>
            <w:r>
              <w:rPr>
                <w:rFonts w:hint="eastAsia" w:hAnsi="宋体" w:eastAsia="宋体" w:cs="宋体"/>
                <w:b/>
                <w:color w:val="auto"/>
                <w:kern w:val="0"/>
                <w:sz w:val="21"/>
                <w:szCs w:val="21"/>
                <w:highlight w:val="none"/>
              </w:rPr>
              <w:t>安装工程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9996" w:type="dxa"/>
            <w:gridSpan w:val="10"/>
            <w:noWrap/>
            <w:vAlign w:val="center"/>
          </w:tcPr>
          <w:p>
            <w:pPr>
              <w:widowControl/>
              <w:jc w:val="center"/>
              <w:rPr>
                <w:rFonts w:hint="eastAsia" w:hAnsi="宋体" w:eastAsia="宋体" w:cs="宋体"/>
                <w:b/>
                <w:color w:val="auto"/>
                <w:kern w:val="0"/>
                <w:sz w:val="21"/>
                <w:szCs w:val="21"/>
                <w:highlight w:val="none"/>
              </w:rPr>
            </w:pPr>
            <w:r>
              <w:rPr>
                <w:rFonts w:hint="eastAsia" w:hAnsi="宋体" w:eastAsia="宋体" w:cs="宋体"/>
                <w:b/>
                <w:color w:val="auto"/>
                <w:kern w:val="0"/>
                <w:sz w:val="21"/>
                <w:szCs w:val="21"/>
                <w:highlight w:val="none"/>
              </w:rPr>
              <w:t>电气工程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1</w:t>
            </w:r>
          </w:p>
        </w:tc>
        <w:tc>
          <w:tcPr>
            <w:tcW w:w="2231"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配电箱(柜)</w:t>
            </w:r>
          </w:p>
        </w:tc>
        <w:tc>
          <w:tcPr>
            <w:tcW w:w="114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福森达</w:t>
            </w:r>
          </w:p>
        </w:tc>
        <w:tc>
          <w:tcPr>
            <w:tcW w:w="103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厦门新二开</w:t>
            </w:r>
          </w:p>
        </w:tc>
        <w:tc>
          <w:tcPr>
            <w:tcW w:w="102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省安</w:t>
            </w:r>
          </w:p>
        </w:tc>
        <w:tc>
          <w:tcPr>
            <w:tcW w:w="94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厦门安控</w:t>
            </w:r>
          </w:p>
        </w:tc>
        <w:tc>
          <w:tcPr>
            <w:tcW w:w="825" w:type="dxa"/>
            <w:noWrap w:val="0"/>
            <w:vAlign w:val="center"/>
          </w:tcPr>
          <w:p>
            <w:pPr>
              <w:widowControl/>
              <w:jc w:val="center"/>
              <w:rPr>
                <w:rFonts w:hint="eastAsia" w:hAnsi="宋体" w:eastAsia="宋体" w:cs="宋体"/>
                <w:bCs/>
                <w:color w:val="auto"/>
                <w:kern w:val="0"/>
                <w:sz w:val="21"/>
                <w:szCs w:val="21"/>
                <w:highlight w:val="none"/>
              </w:rPr>
            </w:pPr>
          </w:p>
        </w:tc>
        <w:tc>
          <w:tcPr>
            <w:tcW w:w="735" w:type="dxa"/>
            <w:noWrap w:val="0"/>
            <w:vAlign w:val="center"/>
          </w:tcPr>
          <w:p>
            <w:pPr>
              <w:widowControl/>
              <w:jc w:val="center"/>
              <w:rPr>
                <w:rFonts w:hint="eastAsia" w:hAnsi="宋体" w:eastAsia="宋体" w:cs="宋体"/>
                <w:bCs/>
                <w:color w:val="auto"/>
                <w:kern w:val="0"/>
                <w:sz w:val="21"/>
                <w:szCs w:val="21"/>
                <w:highlight w:val="none"/>
              </w:rPr>
            </w:pPr>
          </w:p>
        </w:tc>
        <w:tc>
          <w:tcPr>
            <w:tcW w:w="764" w:type="dxa"/>
            <w:noWrap w:val="0"/>
            <w:vAlign w:val="center"/>
          </w:tcPr>
          <w:p>
            <w:pPr>
              <w:widowControl/>
              <w:jc w:val="center"/>
              <w:rPr>
                <w:rFonts w:hint="eastAsia" w:hAnsi="宋体" w:eastAsia="宋体" w:cs="宋体"/>
                <w:bCs/>
                <w:color w:val="auto"/>
                <w:kern w:val="0"/>
                <w:sz w:val="21"/>
                <w:szCs w:val="21"/>
                <w:highlight w:val="none"/>
              </w:rPr>
            </w:pPr>
          </w:p>
        </w:tc>
        <w:tc>
          <w:tcPr>
            <w:tcW w:w="711" w:type="dxa"/>
            <w:noWrap w:val="0"/>
            <w:vAlign w:val="center"/>
          </w:tcPr>
          <w:p>
            <w:pPr>
              <w:widowControl/>
              <w:jc w:val="center"/>
              <w:rPr>
                <w:rFonts w:hint="eastAsia" w:hAnsi="宋体" w:eastAsia="宋体" w:cs="宋体"/>
                <w:bCs/>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ign w:val="center"/>
          </w:tcPr>
          <w:p>
            <w:pPr>
              <w:widowControl/>
              <w:jc w:val="center"/>
              <w:rPr>
                <w:rFonts w:hint="eastAsia" w:hAnsi="宋体" w:eastAsia="宋体" w:cs="宋体"/>
                <w:bCs/>
                <w:color w:val="auto"/>
                <w:kern w:val="0"/>
                <w:sz w:val="21"/>
                <w:szCs w:val="21"/>
                <w:highlight w:val="none"/>
                <w:lang w:val="en-US" w:eastAsia="zh-CN"/>
              </w:rPr>
            </w:pPr>
            <w:r>
              <w:rPr>
                <w:rFonts w:hint="eastAsia" w:hAnsi="宋体" w:eastAsia="宋体" w:cs="宋体"/>
                <w:bCs/>
                <w:color w:val="auto"/>
                <w:kern w:val="0"/>
                <w:sz w:val="21"/>
                <w:szCs w:val="21"/>
                <w:highlight w:val="none"/>
                <w:lang w:val="en-US" w:eastAsia="zh-CN"/>
              </w:rPr>
              <w:t>2</w:t>
            </w:r>
          </w:p>
        </w:tc>
        <w:tc>
          <w:tcPr>
            <w:tcW w:w="2231"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配电箱柜内元器件（B）</w:t>
            </w:r>
          </w:p>
        </w:tc>
        <w:tc>
          <w:tcPr>
            <w:tcW w:w="114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lang w:val="en-US" w:eastAsia="zh-CN"/>
              </w:rPr>
              <w:t>上海良信</w:t>
            </w:r>
          </w:p>
        </w:tc>
        <w:tc>
          <w:tcPr>
            <w:tcW w:w="103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上海人民</w:t>
            </w:r>
          </w:p>
        </w:tc>
        <w:tc>
          <w:tcPr>
            <w:tcW w:w="102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江苏常熟</w:t>
            </w:r>
          </w:p>
        </w:tc>
        <w:tc>
          <w:tcPr>
            <w:tcW w:w="94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sz w:val="21"/>
                <w:szCs w:val="21"/>
              </w:rPr>
              <w:t>泰永长征</w:t>
            </w:r>
          </w:p>
        </w:tc>
        <w:tc>
          <w:tcPr>
            <w:tcW w:w="82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闽光电气</w:t>
            </w:r>
          </w:p>
        </w:tc>
        <w:tc>
          <w:tcPr>
            <w:tcW w:w="2210" w:type="dxa"/>
            <w:gridSpan w:val="3"/>
            <w:noWrap w:val="0"/>
            <w:vAlign w:val="center"/>
          </w:tcPr>
          <w:p>
            <w:pPr>
              <w:widowControl/>
              <w:jc w:val="center"/>
              <w:rPr>
                <w:rFonts w:hint="eastAsia" w:ascii="宋体" w:hAnsi="宋体" w:eastAsia="宋体" w:cs="宋体"/>
                <w:bCs/>
                <w:color w:val="auto"/>
                <w:kern w:val="0"/>
                <w:sz w:val="21"/>
                <w:szCs w:val="21"/>
              </w:rPr>
            </w:pPr>
            <w:r>
              <w:rPr>
                <w:rFonts w:hint="eastAsia" w:hAnsi="宋体" w:eastAsia="宋体" w:cs="宋体"/>
                <w:bCs/>
                <w:color w:val="auto"/>
                <w:kern w:val="0"/>
                <w:sz w:val="21"/>
                <w:szCs w:val="21"/>
                <w:highlight w:val="none"/>
              </w:rPr>
              <w:t>产品型号可根据项目定位确定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590" w:type="dxa"/>
            <w:noWrap/>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2.1</w:t>
            </w:r>
          </w:p>
        </w:tc>
        <w:tc>
          <w:tcPr>
            <w:tcW w:w="2231"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微型断路器</w:t>
            </w:r>
          </w:p>
        </w:tc>
        <w:tc>
          <w:tcPr>
            <w:tcW w:w="114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lang w:val="en-US" w:eastAsia="zh-CN"/>
              </w:rPr>
              <w:t>上海良信</w:t>
            </w:r>
          </w:p>
        </w:tc>
        <w:tc>
          <w:tcPr>
            <w:tcW w:w="103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上海人民</w:t>
            </w:r>
          </w:p>
        </w:tc>
        <w:tc>
          <w:tcPr>
            <w:tcW w:w="102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江苏常熟</w:t>
            </w:r>
          </w:p>
        </w:tc>
        <w:tc>
          <w:tcPr>
            <w:tcW w:w="94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sz w:val="21"/>
                <w:szCs w:val="21"/>
              </w:rPr>
              <w:t>泰永长征</w:t>
            </w:r>
            <w:r>
              <w:rPr>
                <w:rFonts w:hint="eastAsia" w:hAnsi="宋体" w:eastAsia="宋体" w:cs="宋体"/>
                <w:bCs/>
                <w:color w:val="auto"/>
                <w:kern w:val="0"/>
                <w:sz w:val="21"/>
                <w:szCs w:val="21"/>
                <w:highlight w:val="none"/>
              </w:rPr>
              <w:t>　</w:t>
            </w:r>
          </w:p>
        </w:tc>
        <w:tc>
          <w:tcPr>
            <w:tcW w:w="82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威尔圣</w:t>
            </w:r>
          </w:p>
        </w:tc>
        <w:tc>
          <w:tcPr>
            <w:tcW w:w="735" w:type="dxa"/>
            <w:noWrap w:val="0"/>
            <w:vAlign w:val="center"/>
          </w:tcPr>
          <w:p>
            <w:pPr>
              <w:widowControl/>
              <w:jc w:val="center"/>
              <w:rPr>
                <w:rFonts w:hint="eastAsia" w:hAnsi="宋体" w:eastAsia="宋体" w:cs="宋体"/>
                <w:bCs/>
                <w:color w:val="auto"/>
                <w:kern w:val="0"/>
                <w:sz w:val="21"/>
                <w:szCs w:val="21"/>
                <w:highlight w:val="none"/>
              </w:rPr>
            </w:pPr>
          </w:p>
        </w:tc>
        <w:tc>
          <w:tcPr>
            <w:tcW w:w="764" w:type="dxa"/>
            <w:noWrap w:val="0"/>
            <w:vAlign w:val="center"/>
          </w:tcPr>
          <w:p>
            <w:pPr>
              <w:widowControl/>
              <w:jc w:val="center"/>
              <w:rPr>
                <w:rFonts w:hint="eastAsia" w:hAnsi="宋体" w:eastAsia="宋体" w:cs="宋体"/>
                <w:bCs/>
                <w:color w:val="auto"/>
                <w:kern w:val="0"/>
                <w:sz w:val="21"/>
                <w:szCs w:val="21"/>
                <w:highlight w:val="none"/>
              </w:rPr>
            </w:pPr>
          </w:p>
        </w:tc>
        <w:tc>
          <w:tcPr>
            <w:tcW w:w="711" w:type="dxa"/>
            <w:noWrap w:val="0"/>
            <w:vAlign w:val="center"/>
          </w:tcPr>
          <w:p>
            <w:pPr>
              <w:widowControl/>
              <w:jc w:val="center"/>
              <w:rPr>
                <w:rFonts w:hint="eastAsia" w:hAnsi="宋体" w:eastAsia="宋体" w:cs="宋体"/>
                <w:bCs/>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2.2</w:t>
            </w:r>
          </w:p>
        </w:tc>
        <w:tc>
          <w:tcPr>
            <w:tcW w:w="2231"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塑壳断路器</w:t>
            </w:r>
          </w:p>
        </w:tc>
        <w:tc>
          <w:tcPr>
            <w:tcW w:w="114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lang w:val="en-US" w:eastAsia="zh-CN"/>
              </w:rPr>
              <w:t>上海良信</w:t>
            </w:r>
          </w:p>
        </w:tc>
        <w:tc>
          <w:tcPr>
            <w:tcW w:w="103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上海人民</w:t>
            </w:r>
          </w:p>
        </w:tc>
        <w:tc>
          <w:tcPr>
            <w:tcW w:w="102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江苏常熟</w:t>
            </w:r>
          </w:p>
        </w:tc>
        <w:tc>
          <w:tcPr>
            <w:tcW w:w="94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sz w:val="21"/>
                <w:szCs w:val="21"/>
              </w:rPr>
              <w:t>泰永长征</w:t>
            </w:r>
            <w:r>
              <w:rPr>
                <w:rFonts w:hint="eastAsia" w:hAnsi="宋体" w:eastAsia="宋体" w:cs="宋体"/>
                <w:bCs/>
                <w:color w:val="auto"/>
                <w:kern w:val="0"/>
                <w:sz w:val="21"/>
                <w:szCs w:val="21"/>
                <w:highlight w:val="none"/>
              </w:rPr>
              <w:t>　</w:t>
            </w:r>
          </w:p>
        </w:tc>
        <w:tc>
          <w:tcPr>
            <w:tcW w:w="825" w:type="dxa"/>
            <w:noWrap w:val="0"/>
            <w:vAlign w:val="center"/>
          </w:tcPr>
          <w:p>
            <w:pPr>
              <w:widowControl/>
              <w:jc w:val="center"/>
              <w:rPr>
                <w:rFonts w:hint="eastAsia" w:hAnsi="宋体" w:eastAsia="宋体" w:cs="宋体"/>
                <w:bCs/>
                <w:color w:val="auto"/>
                <w:kern w:val="0"/>
                <w:sz w:val="21"/>
                <w:szCs w:val="21"/>
                <w:highlight w:val="none"/>
              </w:rPr>
            </w:pPr>
            <w:r>
              <w:rPr>
                <w:rFonts w:hint="eastAsia" w:ascii="宋体" w:hAnsi="宋体" w:eastAsia="宋体" w:cs="宋体"/>
                <w:bCs/>
                <w:color w:val="auto"/>
                <w:kern w:val="0"/>
                <w:sz w:val="21"/>
                <w:szCs w:val="21"/>
              </w:rPr>
              <w:t>威尔圣</w:t>
            </w:r>
            <w:r>
              <w:rPr>
                <w:rFonts w:hint="eastAsia" w:hAnsi="宋体" w:eastAsia="宋体" w:cs="宋体"/>
                <w:bCs/>
                <w:color w:val="auto"/>
                <w:kern w:val="0"/>
                <w:sz w:val="21"/>
                <w:szCs w:val="21"/>
                <w:highlight w:val="none"/>
              </w:rPr>
              <w:t>　</w:t>
            </w:r>
          </w:p>
        </w:tc>
        <w:tc>
          <w:tcPr>
            <w:tcW w:w="735" w:type="dxa"/>
            <w:noWrap w:val="0"/>
            <w:vAlign w:val="center"/>
          </w:tcPr>
          <w:p>
            <w:pPr>
              <w:widowControl/>
              <w:jc w:val="center"/>
              <w:rPr>
                <w:rFonts w:hint="eastAsia" w:hAnsi="宋体" w:eastAsia="宋体" w:cs="宋体"/>
                <w:bCs/>
                <w:color w:val="auto"/>
                <w:kern w:val="0"/>
                <w:sz w:val="21"/>
                <w:szCs w:val="21"/>
                <w:highlight w:val="none"/>
              </w:rPr>
            </w:pPr>
          </w:p>
        </w:tc>
        <w:tc>
          <w:tcPr>
            <w:tcW w:w="764" w:type="dxa"/>
            <w:noWrap w:val="0"/>
            <w:vAlign w:val="center"/>
          </w:tcPr>
          <w:p>
            <w:pPr>
              <w:widowControl/>
              <w:jc w:val="center"/>
              <w:rPr>
                <w:rFonts w:hint="eastAsia" w:hAnsi="宋体" w:eastAsia="宋体" w:cs="宋体"/>
                <w:bCs/>
                <w:color w:val="auto"/>
                <w:kern w:val="0"/>
                <w:sz w:val="21"/>
                <w:szCs w:val="21"/>
                <w:highlight w:val="none"/>
              </w:rPr>
            </w:pPr>
          </w:p>
        </w:tc>
        <w:tc>
          <w:tcPr>
            <w:tcW w:w="711" w:type="dxa"/>
            <w:noWrap w:val="0"/>
            <w:vAlign w:val="center"/>
          </w:tcPr>
          <w:p>
            <w:pPr>
              <w:widowControl/>
              <w:jc w:val="center"/>
              <w:rPr>
                <w:rFonts w:hint="eastAsia" w:hAnsi="宋体" w:eastAsia="宋体" w:cs="宋体"/>
                <w:bCs/>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2.3</w:t>
            </w:r>
          </w:p>
        </w:tc>
        <w:tc>
          <w:tcPr>
            <w:tcW w:w="2231"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双电源切换开关</w:t>
            </w:r>
          </w:p>
        </w:tc>
        <w:tc>
          <w:tcPr>
            <w:tcW w:w="114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lang w:val="en-US" w:eastAsia="zh-CN"/>
              </w:rPr>
              <w:t>上海良信</w:t>
            </w:r>
          </w:p>
        </w:tc>
        <w:tc>
          <w:tcPr>
            <w:tcW w:w="103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上海人民</w:t>
            </w:r>
          </w:p>
        </w:tc>
        <w:tc>
          <w:tcPr>
            <w:tcW w:w="102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江苏常熟</w:t>
            </w:r>
          </w:p>
        </w:tc>
        <w:tc>
          <w:tcPr>
            <w:tcW w:w="94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sz w:val="21"/>
                <w:szCs w:val="21"/>
              </w:rPr>
              <w:t>泰永长征</w:t>
            </w:r>
            <w:r>
              <w:rPr>
                <w:rFonts w:hint="eastAsia" w:hAnsi="宋体" w:eastAsia="宋体" w:cs="宋体"/>
                <w:bCs/>
                <w:color w:val="auto"/>
                <w:kern w:val="0"/>
                <w:sz w:val="21"/>
                <w:szCs w:val="21"/>
                <w:highlight w:val="none"/>
              </w:rPr>
              <w:t>　</w:t>
            </w:r>
          </w:p>
        </w:tc>
        <w:tc>
          <w:tcPr>
            <w:tcW w:w="825" w:type="dxa"/>
            <w:noWrap w:val="0"/>
            <w:vAlign w:val="center"/>
          </w:tcPr>
          <w:p>
            <w:pPr>
              <w:widowControl/>
              <w:jc w:val="center"/>
              <w:rPr>
                <w:rFonts w:hint="eastAsia" w:hAnsi="宋体" w:eastAsia="宋体" w:cs="宋体"/>
                <w:bCs/>
                <w:color w:val="auto"/>
                <w:kern w:val="0"/>
                <w:sz w:val="21"/>
                <w:szCs w:val="21"/>
                <w:highlight w:val="none"/>
              </w:rPr>
            </w:pPr>
            <w:r>
              <w:rPr>
                <w:rFonts w:hint="eastAsia" w:ascii="宋体" w:hAnsi="宋体" w:eastAsia="宋体" w:cs="宋体"/>
                <w:bCs/>
                <w:color w:val="auto"/>
                <w:kern w:val="0"/>
                <w:sz w:val="21"/>
                <w:szCs w:val="21"/>
              </w:rPr>
              <w:t>威尔圣</w:t>
            </w:r>
            <w:r>
              <w:rPr>
                <w:rFonts w:hint="eastAsia" w:hAnsi="宋体" w:eastAsia="宋体" w:cs="宋体"/>
                <w:bCs/>
                <w:color w:val="auto"/>
                <w:kern w:val="0"/>
                <w:sz w:val="21"/>
                <w:szCs w:val="21"/>
                <w:highlight w:val="none"/>
              </w:rPr>
              <w:t>　</w:t>
            </w:r>
          </w:p>
        </w:tc>
        <w:tc>
          <w:tcPr>
            <w:tcW w:w="735" w:type="dxa"/>
            <w:noWrap w:val="0"/>
            <w:vAlign w:val="center"/>
          </w:tcPr>
          <w:p>
            <w:pPr>
              <w:widowControl/>
              <w:jc w:val="center"/>
              <w:rPr>
                <w:rFonts w:hint="eastAsia" w:hAnsi="宋体" w:eastAsia="宋体" w:cs="宋体"/>
                <w:bCs/>
                <w:color w:val="auto"/>
                <w:kern w:val="0"/>
                <w:sz w:val="21"/>
                <w:szCs w:val="21"/>
                <w:highlight w:val="none"/>
              </w:rPr>
            </w:pPr>
          </w:p>
        </w:tc>
        <w:tc>
          <w:tcPr>
            <w:tcW w:w="764" w:type="dxa"/>
            <w:noWrap w:val="0"/>
            <w:vAlign w:val="center"/>
          </w:tcPr>
          <w:p>
            <w:pPr>
              <w:widowControl/>
              <w:jc w:val="center"/>
              <w:rPr>
                <w:rFonts w:hint="eastAsia" w:hAnsi="宋体" w:eastAsia="宋体" w:cs="宋体"/>
                <w:bCs/>
                <w:color w:val="auto"/>
                <w:kern w:val="0"/>
                <w:sz w:val="21"/>
                <w:szCs w:val="21"/>
                <w:highlight w:val="none"/>
              </w:rPr>
            </w:pPr>
          </w:p>
        </w:tc>
        <w:tc>
          <w:tcPr>
            <w:tcW w:w="711" w:type="dxa"/>
            <w:noWrap w:val="0"/>
            <w:vAlign w:val="center"/>
          </w:tcPr>
          <w:p>
            <w:pPr>
              <w:widowControl/>
              <w:jc w:val="center"/>
              <w:rPr>
                <w:rFonts w:hint="eastAsia" w:hAnsi="宋体" w:eastAsia="宋体" w:cs="宋体"/>
                <w:bCs/>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90" w:type="dxa"/>
            <w:noWrap/>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2.4</w:t>
            </w:r>
          </w:p>
        </w:tc>
        <w:tc>
          <w:tcPr>
            <w:tcW w:w="2231"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漏电开关</w:t>
            </w:r>
          </w:p>
        </w:tc>
        <w:tc>
          <w:tcPr>
            <w:tcW w:w="114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lang w:val="en-US" w:eastAsia="zh-CN"/>
              </w:rPr>
              <w:t>上海良信</w:t>
            </w:r>
          </w:p>
        </w:tc>
        <w:tc>
          <w:tcPr>
            <w:tcW w:w="103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上海人民</w:t>
            </w:r>
          </w:p>
        </w:tc>
        <w:tc>
          <w:tcPr>
            <w:tcW w:w="102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江苏常熟</w:t>
            </w:r>
          </w:p>
        </w:tc>
        <w:tc>
          <w:tcPr>
            <w:tcW w:w="94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sz w:val="21"/>
                <w:szCs w:val="21"/>
              </w:rPr>
              <w:t>泰永长征</w:t>
            </w:r>
            <w:r>
              <w:rPr>
                <w:rFonts w:hint="eastAsia" w:hAnsi="宋体" w:eastAsia="宋体" w:cs="宋体"/>
                <w:bCs/>
                <w:color w:val="auto"/>
                <w:kern w:val="0"/>
                <w:sz w:val="21"/>
                <w:szCs w:val="21"/>
                <w:highlight w:val="none"/>
              </w:rPr>
              <w:t>　</w:t>
            </w:r>
          </w:p>
        </w:tc>
        <w:tc>
          <w:tcPr>
            <w:tcW w:w="825" w:type="dxa"/>
            <w:noWrap w:val="0"/>
            <w:vAlign w:val="center"/>
          </w:tcPr>
          <w:p>
            <w:pPr>
              <w:widowControl/>
              <w:jc w:val="center"/>
              <w:rPr>
                <w:rFonts w:hint="eastAsia" w:hAnsi="宋体" w:eastAsia="宋体" w:cs="宋体"/>
                <w:bCs/>
                <w:color w:val="auto"/>
                <w:kern w:val="0"/>
                <w:sz w:val="21"/>
                <w:szCs w:val="21"/>
                <w:highlight w:val="none"/>
              </w:rPr>
            </w:pPr>
            <w:r>
              <w:rPr>
                <w:rFonts w:hint="eastAsia" w:ascii="宋体" w:hAnsi="宋体" w:eastAsia="宋体" w:cs="宋体"/>
                <w:bCs/>
                <w:color w:val="auto"/>
                <w:kern w:val="0"/>
                <w:sz w:val="21"/>
                <w:szCs w:val="21"/>
              </w:rPr>
              <w:t>威尔圣</w:t>
            </w:r>
            <w:r>
              <w:rPr>
                <w:rFonts w:hint="eastAsia" w:hAnsi="宋体" w:eastAsia="宋体" w:cs="宋体"/>
                <w:bCs/>
                <w:color w:val="auto"/>
                <w:kern w:val="0"/>
                <w:sz w:val="21"/>
                <w:szCs w:val="21"/>
                <w:highlight w:val="none"/>
              </w:rPr>
              <w:t>　</w:t>
            </w:r>
          </w:p>
        </w:tc>
        <w:tc>
          <w:tcPr>
            <w:tcW w:w="735" w:type="dxa"/>
            <w:noWrap w:val="0"/>
            <w:vAlign w:val="center"/>
          </w:tcPr>
          <w:p>
            <w:pPr>
              <w:widowControl/>
              <w:jc w:val="center"/>
              <w:rPr>
                <w:rFonts w:hint="eastAsia" w:hAnsi="宋体" w:eastAsia="宋体" w:cs="宋体"/>
                <w:bCs/>
                <w:color w:val="auto"/>
                <w:kern w:val="0"/>
                <w:sz w:val="21"/>
                <w:szCs w:val="21"/>
                <w:highlight w:val="none"/>
              </w:rPr>
            </w:pPr>
          </w:p>
        </w:tc>
        <w:tc>
          <w:tcPr>
            <w:tcW w:w="764" w:type="dxa"/>
            <w:noWrap w:val="0"/>
            <w:vAlign w:val="center"/>
          </w:tcPr>
          <w:p>
            <w:pPr>
              <w:widowControl/>
              <w:jc w:val="center"/>
              <w:rPr>
                <w:rFonts w:hint="eastAsia" w:hAnsi="宋体" w:eastAsia="宋体" w:cs="宋体"/>
                <w:bCs/>
                <w:color w:val="auto"/>
                <w:kern w:val="0"/>
                <w:sz w:val="21"/>
                <w:szCs w:val="21"/>
                <w:highlight w:val="none"/>
              </w:rPr>
            </w:pPr>
          </w:p>
        </w:tc>
        <w:tc>
          <w:tcPr>
            <w:tcW w:w="711" w:type="dxa"/>
            <w:noWrap w:val="0"/>
            <w:vAlign w:val="center"/>
          </w:tcPr>
          <w:p>
            <w:pPr>
              <w:widowControl/>
              <w:jc w:val="center"/>
              <w:rPr>
                <w:rFonts w:hint="eastAsia" w:hAnsi="宋体" w:eastAsia="宋体" w:cs="宋体"/>
                <w:bCs/>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2.5</w:t>
            </w:r>
          </w:p>
        </w:tc>
        <w:tc>
          <w:tcPr>
            <w:tcW w:w="2231"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浪涌保护器</w:t>
            </w:r>
          </w:p>
        </w:tc>
        <w:tc>
          <w:tcPr>
            <w:tcW w:w="114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lang w:val="en-US" w:eastAsia="zh-CN"/>
              </w:rPr>
              <w:t>上海良信</w:t>
            </w:r>
          </w:p>
        </w:tc>
        <w:tc>
          <w:tcPr>
            <w:tcW w:w="103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上海人民</w:t>
            </w:r>
          </w:p>
        </w:tc>
        <w:tc>
          <w:tcPr>
            <w:tcW w:w="102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江苏常熟</w:t>
            </w:r>
          </w:p>
        </w:tc>
        <w:tc>
          <w:tcPr>
            <w:tcW w:w="94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sz w:val="21"/>
                <w:szCs w:val="21"/>
              </w:rPr>
              <w:t>泰永长征</w:t>
            </w:r>
            <w:r>
              <w:rPr>
                <w:rFonts w:hint="eastAsia" w:hAnsi="宋体" w:eastAsia="宋体" w:cs="宋体"/>
                <w:bCs/>
                <w:color w:val="auto"/>
                <w:kern w:val="0"/>
                <w:sz w:val="21"/>
                <w:szCs w:val="21"/>
                <w:highlight w:val="none"/>
              </w:rPr>
              <w:t>　</w:t>
            </w:r>
          </w:p>
        </w:tc>
        <w:tc>
          <w:tcPr>
            <w:tcW w:w="825" w:type="dxa"/>
            <w:noWrap w:val="0"/>
            <w:vAlign w:val="center"/>
          </w:tcPr>
          <w:p>
            <w:pPr>
              <w:widowControl/>
              <w:jc w:val="center"/>
              <w:rPr>
                <w:rFonts w:hint="eastAsia" w:hAnsi="宋体" w:eastAsia="宋体" w:cs="宋体"/>
                <w:bCs/>
                <w:color w:val="auto"/>
                <w:kern w:val="0"/>
                <w:sz w:val="21"/>
                <w:szCs w:val="21"/>
                <w:highlight w:val="none"/>
              </w:rPr>
            </w:pPr>
            <w:r>
              <w:rPr>
                <w:rFonts w:hint="eastAsia" w:ascii="宋体" w:hAnsi="宋体" w:eastAsia="宋体" w:cs="宋体"/>
                <w:bCs/>
                <w:color w:val="auto"/>
                <w:kern w:val="0"/>
                <w:sz w:val="21"/>
                <w:szCs w:val="21"/>
              </w:rPr>
              <w:t>威尔圣</w:t>
            </w:r>
            <w:r>
              <w:rPr>
                <w:rFonts w:hint="eastAsia" w:hAnsi="宋体" w:eastAsia="宋体" w:cs="宋体"/>
                <w:bCs/>
                <w:color w:val="auto"/>
                <w:kern w:val="0"/>
                <w:sz w:val="21"/>
                <w:szCs w:val="21"/>
                <w:highlight w:val="none"/>
              </w:rPr>
              <w:t>　</w:t>
            </w:r>
          </w:p>
        </w:tc>
        <w:tc>
          <w:tcPr>
            <w:tcW w:w="735" w:type="dxa"/>
            <w:noWrap w:val="0"/>
            <w:vAlign w:val="center"/>
          </w:tcPr>
          <w:p>
            <w:pPr>
              <w:widowControl/>
              <w:jc w:val="center"/>
              <w:rPr>
                <w:rFonts w:hint="eastAsia" w:hAnsi="宋体" w:eastAsia="宋体" w:cs="宋体"/>
                <w:bCs/>
                <w:color w:val="auto"/>
                <w:kern w:val="0"/>
                <w:sz w:val="21"/>
                <w:szCs w:val="21"/>
                <w:highlight w:val="none"/>
              </w:rPr>
            </w:pPr>
          </w:p>
        </w:tc>
        <w:tc>
          <w:tcPr>
            <w:tcW w:w="764" w:type="dxa"/>
            <w:noWrap w:val="0"/>
            <w:vAlign w:val="center"/>
          </w:tcPr>
          <w:p>
            <w:pPr>
              <w:widowControl/>
              <w:jc w:val="center"/>
              <w:rPr>
                <w:rFonts w:hint="eastAsia" w:hAnsi="宋体" w:eastAsia="宋体" w:cs="宋体"/>
                <w:bCs/>
                <w:color w:val="auto"/>
                <w:kern w:val="0"/>
                <w:sz w:val="21"/>
                <w:szCs w:val="21"/>
                <w:highlight w:val="none"/>
              </w:rPr>
            </w:pPr>
          </w:p>
        </w:tc>
        <w:tc>
          <w:tcPr>
            <w:tcW w:w="711" w:type="dxa"/>
            <w:noWrap w:val="0"/>
            <w:vAlign w:val="center"/>
          </w:tcPr>
          <w:p>
            <w:pPr>
              <w:widowControl/>
              <w:jc w:val="center"/>
              <w:rPr>
                <w:rFonts w:hint="eastAsia" w:hAnsi="宋体" w:eastAsia="宋体" w:cs="宋体"/>
                <w:bCs/>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2.6</w:t>
            </w:r>
          </w:p>
        </w:tc>
        <w:tc>
          <w:tcPr>
            <w:tcW w:w="2231"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控制保护开关及电机控制模块</w:t>
            </w:r>
          </w:p>
        </w:tc>
        <w:tc>
          <w:tcPr>
            <w:tcW w:w="114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ABB  CPX</w:t>
            </w:r>
          </w:p>
        </w:tc>
        <w:tc>
          <w:tcPr>
            <w:tcW w:w="103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浙江中凯KBO</w:t>
            </w:r>
          </w:p>
        </w:tc>
        <w:tc>
          <w:tcPr>
            <w:tcW w:w="102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扬州新菱XLCPSNG</w:t>
            </w:r>
          </w:p>
        </w:tc>
        <w:tc>
          <w:tcPr>
            <w:tcW w:w="945" w:type="dxa"/>
            <w:noWrap w:val="0"/>
            <w:vAlign w:val="center"/>
          </w:tcPr>
          <w:p>
            <w:pPr>
              <w:widowControl/>
              <w:jc w:val="center"/>
              <w:rPr>
                <w:rFonts w:hint="eastAsia" w:hAnsi="宋体" w:eastAsia="宋体" w:cs="宋体"/>
                <w:bCs/>
                <w:color w:val="auto"/>
                <w:kern w:val="0"/>
                <w:sz w:val="21"/>
                <w:szCs w:val="21"/>
                <w:highlight w:val="none"/>
                <w:lang w:val="en-US" w:eastAsia="zh-CN"/>
              </w:rPr>
            </w:pPr>
            <w:r>
              <w:rPr>
                <w:rFonts w:hint="eastAsia" w:hAnsi="宋体" w:eastAsia="宋体" w:cs="宋体"/>
                <w:bCs/>
                <w:color w:val="auto"/>
                <w:kern w:val="0"/>
                <w:sz w:val="21"/>
                <w:szCs w:val="21"/>
                <w:highlight w:val="none"/>
                <w:lang w:val="en-US" w:eastAsia="zh-CN"/>
              </w:rPr>
              <w:t>施耐德</w:t>
            </w:r>
          </w:p>
        </w:tc>
        <w:tc>
          <w:tcPr>
            <w:tcW w:w="82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　</w:t>
            </w:r>
          </w:p>
        </w:tc>
        <w:tc>
          <w:tcPr>
            <w:tcW w:w="735" w:type="dxa"/>
            <w:noWrap w:val="0"/>
            <w:vAlign w:val="center"/>
          </w:tcPr>
          <w:p>
            <w:pPr>
              <w:widowControl/>
              <w:jc w:val="center"/>
              <w:rPr>
                <w:rFonts w:hint="eastAsia" w:hAnsi="宋体" w:eastAsia="宋体" w:cs="宋体"/>
                <w:bCs/>
                <w:color w:val="auto"/>
                <w:kern w:val="0"/>
                <w:sz w:val="21"/>
                <w:szCs w:val="21"/>
                <w:highlight w:val="none"/>
              </w:rPr>
            </w:pPr>
          </w:p>
        </w:tc>
        <w:tc>
          <w:tcPr>
            <w:tcW w:w="764" w:type="dxa"/>
            <w:noWrap w:val="0"/>
            <w:vAlign w:val="center"/>
          </w:tcPr>
          <w:p>
            <w:pPr>
              <w:widowControl/>
              <w:jc w:val="center"/>
              <w:rPr>
                <w:rFonts w:hint="eastAsia" w:hAnsi="宋体" w:eastAsia="宋体" w:cs="宋体"/>
                <w:bCs/>
                <w:color w:val="auto"/>
                <w:kern w:val="0"/>
                <w:sz w:val="21"/>
                <w:szCs w:val="21"/>
                <w:highlight w:val="none"/>
              </w:rPr>
            </w:pPr>
          </w:p>
        </w:tc>
        <w:tc>
          <w:tcPr>
            <w:tcW w:w="711" w:type="dxa"/>
            <w:noWrap w:val="0"/>
            <w:vAlign w:val="center"/>
          </w:tcPr>
          <w:p>
            <w:pPr>
              <w:widowControl/>
              <w:jc w:val="center"/>
              <w:rPr>
                <w:rFonts w:hint="eastAsia" w:hAnsi="宋体" w:eastAsia="宋体" w:cs="宋体"/>
                <w:bCs/>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590" w:type="dxa"/>
            <w:noWrap/>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2.7</w:t>
            </w:r>
          </w:p>
        </w:tc>
        <w:tc>
          <w:tcPr>
            <w:tcW w:w="2231"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智能仪表</w:t>
            </w:r>
          </w:p>
        </w:tc>
        <w:tc>
          <w:tcPr>
            <w:tcW w:w="114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深圳中电</w:t>
            </w:r>
          </w:p>
        </w:tc>
        <w:tc>
          <w:tcPr>
            <w:tcW w:w="103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珠海派诺</w:t>
            </w:r>
          </w:p>
        </w:tc>
        <w:tc>
          <w:tcPr>
            <w:tcW w:w="102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lang w:val="en-US" w:eastAsia="zh-CN"/>
              </w:rPr>
              <w:t>上海安科瑞</w:t>
            </w:r>
          </w:p>
        </w:tc>
        <w:tc>
          <w:tcPr>
            <w:tcW w:w="94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　</w:t>
            </w:r>
          </w:p>
        </w:tc>
        <w:tc>
          <w:tcPr>
            <w:tcW w:w="82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　</w:t>
            </w:r>
          </w:p>
        </w:tc>
        <w:tc>
          <w:tcPr>
            <w:tcW w:w="735" w:type="dxa"/>
            <w:noWrap w:val="0"/>
            <w:vAlign w:val="center"/>
          </w:tcPr>
          <w:p>
            <w:pPr>
              <w:widowControl/>
              <w:jc w:val="center"/>
              <w:rPr>
                <w:rFonts w:hint="eastAsia" w:hAnsi="宋体" w:eastAsia="宋体" w:cs="宋体"/>
                <w:bCs/>
                <w:color w:val="auto"/>
                <w:kern w:val="0"/>
                <w:sz w:val="21"/>
                <w:szCs w:val="21"/>
                <w:highlight w:val="none"/>
              </w:rPr>
            </w:pPr>
          </w:p>
        </w:tc>
        <w:tc>
          <w:tcPr>
            <w:tcW w:w="764" w:type="dxa"/>
            <w:noWrap w:val="0"/>
            <w:vAlign w:val="center"/>
          </w:tcPr>
          <w:p>
            <w:pPr>
              <w:widowControl/>
              <w:jc w:val="center"/>
              <w:rPr>
                <w:rFonts w:hint="eastAsia" w:hAnsi="宋体" w:eastAsia="宋体" w:cs="宋体"/>
                <w:bCs/>
                <w:color w:val="auto"/>
                <w:kern w:val="0"/>
                <w:sz w:val="21"/>
                <w:szCs w:val="21"/>
                <w:highlight w:val="none"/>
              </w:rPr>
            </w:pPr>
          </w:p>
        </w:tc>
        <w:tc>
          <w:tcPr>
            <w:tcW w:w="711" w:type="dxa"/>
            <w:noWrap w:val="0"/>
            <w:vAlign w:val="center"/>
          </w:tcPr>
          <w:p>
            <w:pPr>
              <w:widowControl/>
              <w:jc w:val="center"/>
              <w:rPr>
                <w:rFonts w:hint="eastAsia" w:hAnsi="宋体" w:eastAsia="宋体" w:cs="宋体"/>
                <w:bCs/>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590" w:type="dxa"/>
            <w:noWrap/>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3</w:t>
            </w:r>
          </w:p>
        </w:tc>
        <w:tc>
          <w:tcPr>
            <w:tcW w:w="2231"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电线</w:t>
            </w:r>
          </w:p>
        </w:tc>
        <w:tc>
          <w:tcPr>
            <w:tcW w:w="114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南平太阳</w:t>
            </w:r>
          </w:p>
        </w:tc>
        <w:tc>
          <w:tcPr>
            <w:tcW w:w="1035" w:type="dxa"/>
            <w:noWrap w:val="0"/>
            <w:vAlign w:val="center"/>
          </w:tcPr>
          <w:p>
            <w:pPr>
              <w:widowControl/>
              <w:jc w:val="center"/>
              <w:rPr>
                <w:rFonts w:hint="eastAsia" w:hAnsi="宋体" w:eastAsia="宋体" w:cs="宋体"/>
                <w:bCs/>
                <w:color w:val="auto"/>
                <w:kern w:val="0"/>
                <w:sz w:val="21"/>
                <w:szCs w:val="21"/>
                <w:highlight w:val="none"/>
                <w:lang w:eastAsia="zh-CN"/>
              </w:rPr>
            </w:pPr>
            <w:r>
              <w:rPr>
                <w:rFonts w:hint="eastAsia" w:hAnsi="宋体" w:eastAsia="宋体" w:cs="宋体"/>
                <w:bCs/>
                <w:color w:val="auto"/>
                <w:kern w:val="0"/>
                <w:sz w:val="21"/>
                <w:szCs w:val="21"/>
                <w:highlight w:val="none"/>
              </w:rPr>
              <w:t>江苏远东</w:t>
            </w:r>
          </w:p>
        </w:tc>
        <w:tc>
          <w:tcPr>
            <w:tcW w:w="102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江苏宝胜</w:t>
            </w:r>
          </w:p>
        </w:tc>
        <w:tc>
          <w:tcPr>
            <w:tcW w:w="945" w:type="dxa"/>
            <w:noWrap w:val="0"/>
            <w:vAlign w:val="center"/>
          </w:tcPr>
          <w:p>
            <w:pPr>
              <w:widowControl/>
              <w:jc w:val="center"/>
              <w:rPr>
                <w:rFonts w:hint="eastAsia" w:hAnsi="宋体" w:eastAsia="宋体" w:cs="宋体"/>
                <w:bCs/>
                <w:color w:val="auto"/>
                <w:kern w:val="0"/>
                <w:sz w:val="21"/>
                <w:szCs w:val="21"/>
                <w:highlight w:val="none"/>
              </w:rPr>
            </w:pPr>
          </w:p>
        </w:tc>
        <w:tc>
          <w:tcPr>
            <w:tcW w:w="825" w:type="dxa"/>
            <w:noWrap w:val="0"/>
            <w:vAlign w:val="center"/>
          </w:tcPr>
          <w:p>
            <w:pPr>
              <w:widowControl/>
              <w:jc w:val="center"/>
              <w:rPr>
                <w:rFonts w:hint="eastAsia" w:hAnsi="宋体" w:eastAsia="宋体" w:cs="宋体"/>
                <w:bCs/>
                <w:color w:val="auto"/>
                <w:kern w:val="0"/>
                <w:sz w:val="21"/>
                <w:szCs w:val="21"/>
                <w:highlight w:val="none"/>
              </w:rPr>
            </w:pPr>
          </w:p>
        </w:tc>
        <w:tc>
          <w:tcPr>
            <w:tcW w:w="735" w:type="dxa"/>
            <w:noWrap w:val="0"/>
            <w:vAlign w:val="center"/>
          </w:tcPr>
          <w:p>
            <w:pPr>
              <w:widowControl/>
              <w:jc w:val="center"/>
              <w:rPr>
                <w:rFonts w:hint="eastAsia" w:hAnsi="宋体" w:eastAsia="宋体" w:cs="宋体"/>
                <w:bCs/>
                <w:color w:val="auto"/>
                <w:kern w:val="0"/>
                <w:sz w:val="21"/>
                <w:szCs w:val="21"/>
                <w:highlight w:val="none"/>
              </w:rPr>
            </w:pPr>
          </w:p>
        </w:tc>
        <w:tc>
          <w:tcPr>
            <w:tcW w:w="764" w:type="dxa"/>
            <w:noWrap w:val="0"/>
            <w:vAlign w:val="center"/>
          </w:tcPr>
          <w:p>
            <w:pPr>
              <w:widowControl/>
              <w:jc w:val="center"/>
              <w:rPr>
                <w:rFonts w:hint="eastAsia" w:hAnsi="宋体" w:eastAsia="宋体" w:cs="宋体"/>
                <w:bCs/>
                <w:color w:val="auto"/>
                <w:kern w:val="0"/>
                <w:sz w:val="21"/>
                <w:szCs w:val="21"/>
                <w:highlight w:val="none"/>
              </w:rPr>
            </w:pPr>
          </w:p>
        </w:tc>
        <w:tc>
          <w:tcPr>
            <w:tcW w:w="711" w:type="dxa"/>
            <w:noWrap w:val="0"/>
            <w:vAlign w:val="center"/>
          </w:tcPr>
          <w:p>
            <w:pPr>
              <w:widowControl/>
              <w:jc w:val="center"/>
              <w:rPr>
                <w:rFonts w:hint="eastAsia" w:hAnsi="宋体" w:eastAsia="宋体" w:cs="宋体"/>
                <w:bCs/>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590" w:type="dxa"/>
            <w:noWrap/>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4</w:t>
            </w:r>
          </w:p>
        </w:tc>
        <w:tc>
          <w:tcPr>
            <w:tcW w:w="2231"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电缆、预制分支电缆</w:t>
            </w:r>
          </w:p>
        </w:tc>
        <w:tc>
          <w:tcPr>
            <w:tcW w:w="114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南平太阳</w:t>
            </w:r>
          </w:p>
        </w:tc>
        <w:tc>
          <w:tcPr>
            <w:tcW w:w="103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江苏远东</w:t>
            </w:r>
          </w:p>
        </w:tc>
        <w:tc>
          <w:tcPr>
            <w:tcW w:w="102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江苏宝胜</w:t>
            </w:r>
          </w:p>
        </w:tc>
        <w:tc>
          <w:tcPr>
            <w:tcW w:w="945" w:type="dxa"/>
            <w:noWrap w:val="0"/>
            <w:vAlign w:val="center"/>
          </w:tcPr>
          <w:p>
            <w:pPr>
              <w:widowControl/>
              <w:jc w:val="center"/>
              <w:rPr>
                <w:rFonts w:hint="eastAsia" w:hAnsi="宋体" w:eastAsia="宋体" w:cs="宋体"/>
                <w:bCs/>
                <w:color w:val="auto"/>
                <w:kern w:val="0"/>
                <w:sz w:val="21"/>
                <w:szCs w:val="21"/>
                <w:highlight w:val="none"/>
              </w:rPr>
            </w:pPr>
          </w:p>
        </w:tc>
        <w:tc>
          <w:tcPr>
            <w:tcW w:w="825" w:type="dxa"/>
            <w:noWrap w:val="0"/>
            <w:vAlign w:val="center"/>
          </w:tcPr>
          <w:p>
            <w:pPr>
              <w:widowControl/>
              <w:jc w:val="center"/>
              <w:rPr>
                <w:rFonts w:hint="eastAsia" w:hAnsi="宋体" w:eastAsia="宋体" w:cs="宋体"/>
                <w:bCs/>
                <w:color w:val="auto"/>
                <w:kern w:val="0"/>
                <w:sz w:val="21"/>
                <w:szCs w:val="21"/>
                <w:highlight w:val="none"/>
              </w:rPr>
            </w:pPr>
          </w:p>
        </w:tc>
        <w:tc>
          <w:tcPr>
            <w:tcW w:w="735" w:type="dxa"/>
            <w:noWrap w:val="0"/>
            <w:vAlign w:val="center"/>
          </w:tcPr>
          <w:p>
            <w:pPr>
              <w:widowControl/>
              <w:jc w:val="center"/>
              <w:rPr>
                <w:rFonts w:hint="eastAsia" w:hAnsi="宋体" w:eastAsia="宋体" w:cs="宋体"/>
                <w:bCs/>
                <w:color w:val="auto"/>
                <w:kern w:val="0"/>
                <w:sz w:val="21"/>
                <w:szCs w:val="21"/>
                <w:highlight w:val="none"/>
              </w:rPr>
            </w:pPr>
          </w:p>
        </w:tc>
        <w:tc>
          <w:tcPr>
            <w:tcW w:w="764" w:type="dxa"/>
            <w:noWrap w:val="0"/>
            <w:vAlign w:val="center"/>
          </w:tcPr>
          <w:p>
            <w:pPr>
              <w:widowControl/>
              <w:jc w:val="center"/>
              <w:rPr>
                <w:rFonts w:hint="eastAsia" w:hAnsi="宋体" w:eastAsia="宋体" w:cs="宋体"/>
                <w:bCs/>
                <w:color w:val="auto"/>
                <w:kern w:val="0"/>
                <w:sz w:val="21"/>
                <w:szCs w:val="21"/>
                <w:highlight w:val="none"/>
              </w:rPr>
            </w:pPr>
          </w:p>
        </w:tc>
        <w:tc>
          <w:tcPr>
            <w:tcW w:w="711" w:type="dxa"/>
            <w:noWrap w:val="0"/>
            <w:vAlign w:val="center"/>
          </w:tcPr>
          <w:p>
            <w:pPr>
              <w:widowControl/>
              <w:jc w:val="center"/>
              <w:rPr>
                <w:rFonts w:hint="eastAsia" w:hAnsi="宋体" w:eastAsia="宋体" w:cs="宋体"/>
                <w:bCs/>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5</w:t>
            </w:r>
          </w:p>
        </w:tc>
        <w:tc>
          <w:tcPr>
            <w:tcW w:w="2231"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矿物绝缘电缆</w:t>
            </w:r>
          </w:p>
        </w:tc>
        <w:tc>
          <w:tcPr>
            <w:tcW w:w="114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南平太阳</w:t>
            </w:r>
          </w:p>
        </w:tc>
        <w:tc>
          <w:tcPr>
            <w:tcW w:w="103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江苏远东</w:t>
            </w:r>
          </w:p>
        </w:tc>
        <w:tc>
          <w:tcPr>
            <w:tcW w:w="102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江苏宝胜</w:t>
            </w:r>
          </w:p>
        </w:tc>
        <w:tc>
          <w:tcPr>
            <w:tcW w:w="94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　</w:t>
            </w:r>
          </w:p>
        </w:tc>
        <w:tc>
          <w:tcPr>
            <w:tcW w:w="82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　</w:t>
            </w:r>
          </w:p>
        </w:tc>
        <w:tc>
          <w:tcPr>
            <w:tcW w:w="735" w:type="dxa"/>
            <w:noWrap w:val="0"/>
            <w:vAlign w:val="center"/>
          </w:tcPr>
          <w:p>
            <w:pPr>
              <w:widowControl/>
              <w:jc w:val="center"/>
              <w:rPr>
                <w:rFonts w:hint="eastAsia" w:hAnsi="宋体" w:eastAsia="宋体" w:cs="宋体"/>
                <w:bCs/>
                <w:color w:val="auto"/>
                <w:kern w:val="0"/>
                <w:sz w:val="21"/>
                <w:szCs w:val="21"/>
                <w:highlight w:val="none"/>
              </w:rPr>
            </w:pPr>
          </w:p>
        </w:tc>
        <w:tc>
          <w:tcPr>
            <w:tcW w:w="764" w:type="dxa"/>
            <w:noWrap w:val="0"/>
            <w:vAlign w:val="center"/>
          </w:tcPr>
          <w:p>
            <w:pPr>
              <w:widowControl/>
              <w:jc w:val="center"/>
              <w:rPr>
                <w:rFonts w:hint="eastAsia" w:hAnsi="宋体" w:eastAsia="宋体" w:cs="宋体"/>
                <w:bCs/>
                <w:color w:val="auto"/>
                <w:kern w:val="0"/>
                <w:sz w:val="21"/>
                <w:szCs w:val="21"/>
                <w:highlight w:val="none"/>
              </w:rPr>
            </w:pPr>
          </w:p>
        </w:tc>
        <w:tc>
          <w:tcPr>
            <w:tcW w:w="711" w:type="dxa"/>
            <w:noWrap w:val="0"/>
            <w:vAlign w:val="center"/>
          </w:tcPr>
          <w:p>
            <w:pPr>
              <w:widowControl/>
              <w:jc w:val="center"/>
              <w:rPr>
                <w:rFonts w:hint="eastAsia" w:hAnsi="宋体" w:eastAsia="宋体" w:cs="宋体"/>
                <w:bCs/>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590" w:type="dxa"/>
            <w:noWrap/>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6</w:t>
            </w:r>
          </w:p>
        </w:tc>
        <w:tc>
          <w:tcPr>
            <w:tcW w:w="2231"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桥架、线槽及配件</w:t>
            </w:r>
          </w:p>
        </w:tc>
        <w:tc>
          <w:tcPr>
            <w:tcW w:w="114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厦门永华</w:t>
            </w:r>
          </w:p>
        </w:tc>
        <w:tc>
          <w:tcPr>
            <w:tcW w:w="103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厦门东炜</w:t>
            </w:r>
          </w:p>
        </w:tc>
        <w:tc>
          <w:tcPr>
            <w:tcW w:w="102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厦门好周到</w:t>
            </w:r>
          </w:p>
        </w:tc>
        <w:tc>
          <w:tcPr>
            <w:tcW w:w="945" w:type="dxa"/>
            <w:noWrap w:val="0"/>
            <w:vAlign w:val="center"/>
          </w:tcPr>
          <w:p>
            <w:pPr>
              <w:widowControl/>
              <w:jc w:val="center"/>
              <w:rPr>
                <w:rFonts w:hint="eastAsia" w:hAnsi="宋体" w:eastAsia="宋体" w:cs="宋体"/>
                <w:bCs/>
                <w:color w:val="auto"/>
                <w:kern w:val="0"/>
                <w:sz w:val="21"/>
                <w:szCs w:val="21"/>
                <w:highlight w:val="none"/>
              </w:rPr>
            </w:pPr>
          </w:p>
        </w:tc>
        <w:tc>
          <w:tcPr>
            <w:tcW w:w="825" w:type="dxa"/>
            <w:noWrap w:val="0"/>
            <w:vAlign w:val="center"/>
          </w:tcPr>
          <w:p>
            <w:pPr>
              <w:widowControl/>
              <w:jc w:val="center"/>
              <w:rPr>
                <w:rFonts w:hint="eastAsia" w:hAnsi="宋体" w:eastAsia="宋体" w:cs="宋体"/>
                <w:bCs/>
                <w:color w:val="auto"/>
                <w:kern w:val="0"/>
                <w:sz w:val="21"/>
                <w:szCs w:val="21"/>
                <w:highlight w:val="none"/>
              </w:rPr>
            </w:pPr>
          </w:p>
        </w:tc>
        <w:tc>
          <w:tcPr>
            <w:tcW w:w="735" w:type="dxa"/>
            <w:noWrap w:val="0"/>
            <w:vAlign w:val="center"/>
          </w:tcPr>
          <w:p>
            <w:pPr>
              <w:widowControl/>
              <w:jc w:val="center"/>
              <w:rPr>
                <w:rFonts w:hint="eastAsia" w:hAnsi="宋体" w:eastAsia="宋体" w:cs="宋体"/>
                <w:bCs/>
                <w:color w:val="auto"/>
                <w:kern w:val="0"/>
                <w:sz w:val="21"/>
                <w:szCs w:val="21"/>
                <w:highlight w:val="none"/>
              </w:rPr>
            </w:pPr>
          </w:p>
        </w:tc>
        <w:tc>
          <w:tcPr>
            <w:tcW w:w="764" w:type="dxa"/>
            <w:noWrap w:val="0"/>
            <w:vAlign w:val="center"/>
          </w:tcPr>
          <w:p>
            <w:pPr>
              <w:widowControl/>
              <w:jc w:val="center"/>
              <w:rPr>
                <w:rFonts w:hint="eastAsia" w:hAnsi="宋体" w:eastAsia="宋体" w:cs="宋体"/>
                <w:bCs/>
                <w:color w:val="auto"/>
                <w:kern w:val="0"/>
                <w:sz w:val="21"/>
                <w:szCs w:val="21"/>
                <w:highlight w:val="none"/>
              </w:rPr>
            </w:pPr>
          </w:p>
        </w:tc>
        <w:tc>
          <w:tcPr>
            <w:tcW w:w="711" w:type="dxa"/>
            <w:noWrap w:val="0"/>
            <w:vAlign w:val="center"/>
          </w:tcPr>
          <w:p>
            <w:pPr>
              <w:widowControl/>
              <w:jc w:val="center"/>
              <w:rPr>
                <w:rFonts w:hint="eastAsia" w:hAnsi="宋体" w:eastAsia="宋体" w:cs="宋体"/>
                <w:bCs/>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jc w:val="center"/>
        </w:trPr>
        <w:tc>
          <w:tcPr>
            <w:tcW w:w="590" w:type="dxa"/>
            <w:noWrap/>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7</w:t>
            </w:r>
          </w:p>
        </w:tc>
        <w:tc>
          <w:tcPr>
            <w:tcW w:w="2231"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 xml:space="preserve">开关、插座面板 </w:t>
            </w:r>
          </w:p>
        </w:tc>
        <w:tc>
          <w:tcPr>
            <w:tcW w:w="114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 xml:space="preserve">施耐德 </w:t>
            </w:r>
          </w:p>
        </w:tc>
        <w:tc>
          <w:tcPr>
            <w:tcW w:w="103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 xml:space="preserve">ABB  </w:t>
            </w:r>
          </w:p>
        </w:tc>
        <w:tc>
          <w:tcPr>
            <w:tcW w:w="102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 xml:space="preserve">西门子 </w:t>
            </w:r>
          </w:p>
        </w:tc>
        <w:tc>
          <w:tcPr>
            <w:tcW w:w="94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lang w:val="en-US" w:eastAsia="zh-CN"/>
              </w:rPr>
              <w:t xml:space="preserve">罗格朗  </w:t>
            </w:r>
            <w:r>
              <w:rPr>
                <w:rFonts w:hint="eastAsia" w:hAnsi="宋体" w:eastAsia="宋体" w:cs="宋体"/>
                <w:bCs/>
                <w:color w:val="auto"/>
                <w:kern w:val="0"/>
                <w:sz w:val="21"/>
                <w:szCs w:val="21"/>
                <w:highlight w:val="none"/>
              </w:rPr>
              <w:t xml:space="preserve"> </w:t>
            </w:r>
          </w:p>
        </w:tc>
        <w:tc>
          <w:tcPr>
            <w:tcW w:w="825" w:type="dxa"/>
            <w:noWrap w:val="0"/>
            <w:vAlign w:val="center"/>
          </w:tcPr>
          <w:p>
            <w:pPr>
              <w:widowControl/>
              <w:jc w:val="center"/>
              <w:rPr>
                <w:rFonts w:hint="eastAsia" w:hAnsi="宋体" w:eastAsia="宋体" w:cs="宋体"/>
                <w:bCs/>
                <w:color w:val="auto"/>
                <w:kern w:val="0"/>
                <w:sz w:val="21"/>
                <w:szCs w:val="21"/>
                <w:highlight w:val="none"/>
              </w:rPr>
            </w:pPr>
          </w:p>
        </w:tc>
        <w:tc>
          <w:tcPr>
            <w:tcW w:w="735" w:type="dxa"/>
            <w:noWrap w:val="0"/>
            <w:vAlign w:val="center"/>
          </w:tcPr>
          <w:p>
            <w:pPr>
              <w:widowControl/>
              <w:jc w:val="center"/>
              <w:rPr>
                <w:rFonts w:hint="eastAsia" w:hAnsi="宋体" w:eastAsia="宋体" w:cs="宋体"/>
                <w:bCs/>
                <w:color w:val="auto"/>
                <w:kern w:val="0"/>
                <w:sz w:val="21"/>
                <w:szCs w:val="21"/>
                <w:highlight w:val="none"/>
              </w:rPr>
            </w:pPr>
          </w:p>
        </w:tc>
        <w:tc>
          <w:tcPr>
            <w:tcW w:w="764" w:type="dxa"/>
            <w:noWrap w:val="0"/>
            <w:vAlign w:val="center"/>
          </w:tcPr>
          <w:p>
            <w:pPr>
              <w:widowControl/>
              <w:jc w:val="center"/>
              <w:rPr>
                <w:rFonts w:hint="eastAsia" w:hAnsi="宋体" w:eastAsia="宋体" w:cs="宋体"/>
                <w:bCs/>
                <w:color w:val="auto"/>
                <w:kern w:val="0"/>
                <w:sz w:val="21"/>
                <w:szCs w:val="21"/>
                <w:highlight w:val="none"/>
              </w:rPr>
            </w:pPr>
          </w:p>
        </w:tc>
        <w:tc>
          <w:tcPr>
            <w:tcW w:w="711" w:type="dxa"/>
            <w:noWrap w:val="0"/>
            <w:vAlign w:val="center"/>
          </w:tcPr>
          <w:p>
            <w:pPr>
              <w:widowControl/>
              <w:jc w:val="center"/>
              <w:rPr>
                <w:rFonts w:hint="eastAsia" w:hAnsi="宋体" w:eastAsia="宋体" w:cs="宋体"/>
                <w:bCs/>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8</w:t>
            </w:r>
          </w:p>
        </w:tc>
        <w:tc>
          <w:tcPr>
            <w:tcW w:w="2231"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灯具及灯带（含光源、整流器）</w:t>
            </w:r>
          </w:p>
        </w:tc>
        <w:tc>
          <w:tcPr>
            <w:tcW w:w="114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信达</w:t>
            </w:r>
          </w:p>
        </w:tc>
        <w:tc>
          <w:tcPr>
            <w:tcW w:w="103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雷士</w:t>
            </w:r>
          </w:p>
        </w:tc>
        <w:tc>
          <w:tcPr>
            <w:tcW w:w="1020" w:type="dxa"/>
            <w:noWrap w:val="0"/>
            <w:vAlign w:val="center"/>
          </w:tcPr>
          <w:p>
            <w:pPr>
              <w:widowControl/>
              <w:jc w:val="center"/>
              <w:rPr>
                <w:rFonts w:hint="eastAsia" w:hAnsi="宋体" w:eastAsia="宋体" w:cs="宋体"/>
                <w:bCs/>
                <w:color w:val="auto"/>
                <w:kern w:val="0"/>
                <w:sz w:val="21"/>
                <w:szCs w:val="21"/>
                <w:highlight w:val="none"/>
                <w:lang w:eastAsia="zh-CN"/>
              </w:rPr>
            </w:pPr>
            <w:r>
              <w:rPr>
                <w:rFonts w:hint="eastAsia" w:hAnsi="宋体" w:eastAsia="宋体" w:cs="宋体"/>
                <w:bCs/>
                <w:color w:val="auto"/>
                <w:kern w:val="0"/>
                <w:sz w:val="21"/>
                <w:szCs w:val="21"/>
                <w:highlight w:val="none"/>
              </w:rPr>
              <w:t>立达信</w:t>
            </w:r>
          </w:p>
        </w:tc>
        <w:tc>
          <w:tcPr>
            <w:tcW w:w="945" w:type="dxa"/>
            <w:noWrap w:val="0"/>
            <w:vAlign w:val="center"/>
          </w:tcPr>
          <w:p>
            <w:pPr>
              <w:widowControl/>
              <w:jc w:val="center"/>
              <w:rPr>
                <w:rFonts w:hint="eastAsia" w:hAnsi="宋体" w:eastAsia="宋体" w:cs="宋体"/>
                <w:bCs/>
                <w:color w:val="auto"/>
                <w:kern w:val="0"/>
                <w:sz w:val="21"/>
                <w:szCs w:val="21"/>
                <w:highlight w:val="none"/>
              </w:rPr>
            </w:pPr>
          </w:p>
        </w:tc>
        <w:tc>
          <w:tcPr>
            <w:tcW w:w="825" w:type="dxa"/>
            <w:noWrap w:val="0"/>
            <w:vAlign w:val="center"/>
          </w:tcPr>
          <w:p>
            <w:pPr>
              <w:widowControl/>
              <w:jc w:val="center"/>
              <w:rPr>
                <w:rFonts w:hint="eastAsia" w:hAnsi="宋体" w:eastAsia="宋体" w:cs="宋体"/>
                <w:bCs/>
                <w:color w:val="auto"/>
                <w:kern w:val="0"/>
                <w:sz w:val="21"/>
                <w:szCs w:val="21"/>
                <w:highlight w:val="none"/>
              </w:rPr>
            </w:pPr>
          </w:p>
        </w:tc>
        <w:tc>
          <w:tcPr>
            <w:tcW w:w="735" w:type="dxa"/>
            <w:noWrap w:val="0"/>
            <w:vAlign w:val="center"/>
          </w:tcPr>
          <w:p>
            <w:pPr>
              <w:widowControl/>
              <w:jc w:val="center"/>
              <w:rPr>
                <w:rFonts w:hint="eastAsia" w:hAnsi="宋体" w:eastAsia="宋体" w:cs="宋体"/>
                <w:bCs/>
                <w:color w:val="auto"/>
                <w:kern w:val="0"/>
                <w:sz w:val="21"/>
                <w:szCs w:val="21"/>
                <w:highlight w:val="none"/>
              </w:rPr>
            </w:pPr>
          </w:p>
        </w:tc>
        <w:tc>
          <w:tcPr>
            <w:tcW w:w="764" w:type="dxa"/>
            <w:noWrap w:val="0"/>
            <w:vAlign w:val="center"/>
          </w:tcPr>
          <w:p>
            <w:pPr>
              <w:widowControl/>
              <w:jc w:val="center"/>
              <w:rPr>
                <w:rFonts w:hint="eastAsia" w:hAnsi="宋体" w:eastAsia="宋体" w:cs="宋体"/>
                <w:bCs/>
                <w:color w:val="auto"/>
                <w:kern w:val="0"/>
                <w:sz w:val="21"/>
                <w:szCs w:val="21"/>
                <w:highlight w:val="none"/>
              </w:rPr>
            </w:pPr>
          </w:p>
        </w:tc>
        <w:tc>
          <w:tcPr>
            <w:tcW w:w="711" w:type="dxa"/>
            <w:noWrap w:val="0"/>
            <w:vAlign w:val="center"/>
          </w:tcPr>
          <w:p>
            <w:pPr>
              <w:widowControl/>
              <w:jc w:val="center"/>
              <w:rPr>
                <w:rFonts w:hint="eastAsia" w:hAnsi="宋体" w:eastAsia="宋体" w:cs="宋体"/>
                <w:bCs/>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590" w:type="dxa"/>
            <w:noWrap/>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9</w:t>
            </w:r>
          </w:p>
        </w:tc>
        <w:tc>
          <w:tcPr>
            <w:tcW w:w="2231"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景观灯杆</w:t>
            </w:r>
          </w:p>
        </w:tc>
        <w:tc>
          <w:tcPr>
            <w:tcW w:w="114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中山正日</w:t>
            </w:r>
          </w:p>
        </w:tc>
        <w:tc>
          <w:tcPr>
            <w:tcW w:w="103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中山太平洋</w:t>
            </w:r>
          </w:p>
        </w:tc>
        <w:tc>
          <w:tcPr>
            <w:tcW w:w="102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中山永安</w:t>
            </w:r>
          </w:p>
        </w:tc>
        <w:tc>
          <w:tcPr>
            <w:tcW w:w="945" w:type="dxa"/>
            <w:noWrap w:val="0"/>
            <w:vAlign w:val="center"/>
          </w:tcPr>
          <w:p>
            <w:pPr>
              <w:widowControl/>
              <w:jc w:val="center"/>
              <w:rPr>
                <w:rFonts w:hint="eastAsia" w:hAnsi="宋体" w:eastAsia="宋体" w:cs="宋体"/>
                <w:bCs/>
                <w:color w:val="auto"/>
                <w:kern w:val="0"/>
                <w:sz w:val="21"/>
                <w:szCs w:val="21"/>
                <w:highlight w:val="none"/>
              </w:rPr>
            </w:pPr>
          </w:p>
        </w:tc>
        <w:tc>
          <w:tcPr>
            <w:tcW w:w="82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　</w:t>
            </w:r>
          </w:p>
        </w:tc>
        <w:tc>
          <w:tcPr>
            <w:tcW w:w="735" w:type="dxa"/>
            <w:noWrap w:val="0"/>
            <w:vAlign w:val="center"/>
          </w:tcPr>
          <w:p>
            <w:pPr>
              <w:widowControl/>
              <w:jc w:val="center"/>
              <w:rPr>
                <w:rFonts w:hint="eastAsia" w:hAnsi="宋体" w:eastAsia="宋体" w:cs="宋体"/>
                <w:bCs/>
                <w:color w:val="auto"/>
                <w:kern w:val="0"/>
                <w:sz w:val="21"/>
                <w:szCs w:val="21"/>
                <w:highlight w:val="none"/>
              </w:rPr>
            </w:pPr>
          </w:p>
        </w:tc>
        <w:tc>
          <w:tcPr>
            <w:tcW w:w="764" w:type="dxa"/>
            <w:noWrap w:val="0"/>
            <w:vAlign w:val="center"/>
          </w:tcPr>
          <w:p>
            <w:pPr>
              <w:widowControl/>
              <w:jc w:val="center"/>
              <w:rPr>
                <w:rFonts w:hint="eastAsia" w:hAnsi="宋体" w:eastAsia="宋体" w:cs="宋体"/>
                <w:bCs/>
                <w:color w:val="auto"/>
                <w:kern w:val="0"/>
                <w:sz w:val="21"/>
                <w:szCs w:val="21"/>
                <w:highlight w:val="none"/>
              </w:rPr>
            </w:pPr>
          </w:p>
        </w:tc>
        <w:tc>
          <w:tcPr>
            <w:tcW w:w="711" w:type="dxa"/>
            <w:noWrap w:val="0"/>
            <w:vAlign w:val="center"/>
          </w:tcPr>
          <w:p>
            <w:pPr>
              <w:widowControl/>
              <w:jc w:val="center"/>
              <w:rPr>
                <w:rFonts w:hint="eastAsia" w:hAnsi="宋体" w:eastAsia="宋体" w:cs="宋体"/>
                <w:bCs/>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590" w:type="dxa"/>
            <w:noWrap/>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10</w:t>
            </w:r>
          </w:p>
        </w:tc>
        <w:tc>
          <w:tcPr>
            <w:tcW w:w="2231"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景观电器、灯具</w:t>
            </w:r>
          </w:p>
        </w:tc>
        <w:tc>
          <w:tcPr>
            <w:tcW w:w="114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信达</w:t>
            </w:r>
          </w:p>
        </w:tc>
        <w:tc>
          <w:tcPr>
            <w:tcW w:w="103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飞利浦</w:t>
            </w:r>
          </w:p>
        </w:tc>
        <w:tc>
          <w:tcPr>
            <w:tcW w:w="102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GE</w:t>
            </w:r>
          </w:p>
        </w:tc>
        <w:tc>
          <w:tcPr>
            <w:tcW w:w="94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上海亚明</w:t>
            </w:r>
          </w:p>
        </w:tc>
        <w:tc>
          <w:tcPr>
            <w:tcW w:w="82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立达信　</w:t>
            </w:r>
          </w:p>
        </w:tc>
        <w:tc>
          <w:tcPr>
            <w:tcW w:w="735" w:type="dxa"/>
            <w:noWrap w:val="0"/>
            <w:vAlign w:val="center"/>
          </w:tcPr>
          <w:p>
            <w:pPr>
              <w:widowControl/>
              <w:jc w:val="center"/>
              <w:rPr>
                <w:rFonts w:hint="eastAsia" w:hAnsi="宋体" w:eastAsia="宋体" w:cs="宋体"/>
                <w:bCs/>
                <w:color w:val="auto"/>
                <w:kern w:val="0"/>
                <w:sz w:val="21"/>
                <w:szCs w:val="21"/>
                <w:highlight w:val="none"/>
              </w:rPr>
            </w:pPr>
          </w:p>
        </w:tc>
        <w:tc>
          <w:tcPr>
            <w:tcW w:w="764" w:type="dxa"/>
            <w:noWrap w:val="0"/>
            <w:vAlign w:val="center"/>
          </w:tcPr>
          <w:p>
            <w:pPr>
              <w:widowControl/>
              <w:jc w:val="center"/>
              <w:rPr>
                <w:rFonts w:hint="eastAsia" w:hAnsi="宋体" w:eastAsia="宋体" w:cs="宋体"/>
                <w:bCs/>
                <w:color w:val="auto"/>
                <w:kern w:val="0"/>
                <w:sz w:val="21"/>
                <w:szCs w:val="21"/>
                <w:highlight w:val="none"/>
              </w:rPr>
            </w:pPr>
          </w:p>
        </w:tc>
        <w:tc>
          <w:tcPr>
            <w:tcW w:w="711" w:type="dxa"/>
            <w:noWrap w:val="0"/>
            <w:vAlign w:val="center"/>
          </w:tcPr>
          <w:p>
            <w:pPr>
              <w:widowControl/>
              <w:jc w:val="center"/>
              <w:rPr>
                <w:rFonts w:hint="eastAsia" w:hAnsi="宋体" w:eastAsia="宋体" w:cs="宋体"/>
                <w:bCs/>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11</w:t>
            </w:r>
          </w:p>
        </w:tc>
        <w:tc>
          <w:tcPr>
            <w:tcW w:w="2231"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JDG电线管</w:t>
            </w:r>
          </w:p>
        </w:tc>
        <w:tc>
          <w:tcPr>
            <w:tcW w:w="114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上海凯必吉</w:t>
            </w:r>
          </w:p>
        </w:tc>
        <w:tc>
          <w:tcPr>
            <w:tcW w:w="103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盛超凯越</w:t>
            </w:r>
          </w:p>
        </w:tc>
        <w:tc>
          <w:tcPr>
            <w:tcW w:w="102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北京鑫泰盛</w:t>
            </w:r>
          </w:p>
        </w:tc>
        <w:tc>
          <w:tcPr>
            <w:tcW w:w="94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　</w:t>
            </w:r>
          </w:p>
        </w:tc>
        <w:tc>
          <w:tcPr>
            <w:tcW w:w="82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　</w:t>
            </w:r>
          </w:p>
        </w:tc>
        <w:tc>
          <w:tcPr>
            <w:tcW w:w="735" w:type="dxa"/>
            <w:noWrap w:val="0"/>
            <w:vAlign w:val="center"/>
          </w:tcPr>
          <w:p>
            <w:pPr>
              <w:widowControl/>
              <w:jc w:val="center"/>
              <w:rPr>
                <w:rFonts w:hint="eastAsia" w:hAnsi="宋体" w:eastAsia="宋体" w:cs="宋体"/>
                <w:bCs/>
                <w:color w:val="auto"/>
                <w:kern w:val="0"/>
                <w:sz w:val="21"/>
                <w:szCs w:val="21"/>
                <w:highlight w:val="none"/>
              </w:rPr>
            </w:pPr>
          </w:p>
        </w:tc>
        <w:tc>
          <w:tcPr>
            <w:tcW w:w="764" w:type="dxa"/>
            <w:noWrap w:val="0"/>
            <w:vAlign w:val="center"/>
          </w:tcPr>
          <w:p>
            <w:pPr>
              <w:widowControl/>
              <w:jc w:val="center"/>
              <w:rPr>
                <w:rFonts w:hint="eastAsia" w:hAnsi="宋体" w:eastAsia="宋体" w:cs="宋体"/>
                <w:bCs/>
                <w:color w:val="auto"/>
                <w:kern w:val="0"/>
                <w:sz w:val="21"/>
                <w:szCs w:val="21"/>
                <w:highlight w:val="none"/>
              </w:rPr>
            </w:pPr>
          </w:p>
        </w:tc>
        <w:tc>
          <w:tcPr>
            <w:tcW w:w="711" w:type="dxa"/>
            <w:noWrap w:val="0"/>
            <w:vAlign w:val="center"/>
          </w:tcPr>
          <w:p>
            <w:pPr>
              <w:widowControl/>
              <w:jc w:val="center"/>
              <w:rPr>
                <w:rFonts w:hint="eastAsia" w:hAnsi="宋体" w:eastAsia="宋体" w:cs="宋体"/>
                <w:bCs/>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12</w:t>
            </w:r>
          </w:p>
        </w:tc>
        <w:tc>
          <w:tcPr>
            <w:tcW w:w="2231"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无缝钢管、镀锌钢管、焊接钢管</w:t>
            </w:r>
          </w:p>
        </w:tc>
        <w:tc>
          <w:tcPr>
            <w:tcW w:w="114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天津银泽</w:t>
            </w:r>
          </w:p>
        </w:tc>
        <w:tc>
          <w:tcPr>
            <w:tcW w:w="103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浙江金洲</w:t>
            </w:r>
          </w:p>
        </w:tc>
        <w:tc>
          <w:tcPr>
            <w:tcW w:w="102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广州华岐</w:t>
            </w:r>
          </w:p>
        </w:tc>
        <w:tc>
          <w:tcPr>
            <w:tcW w:w="94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 xml:space="preserve"> </w:t>
            </w:r>
          </w:p>
        </w:tc>
        <w:tc>
          <w:tcPr>
            <w:tcW w:w="82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　</w:t>
            </w:r>
          </w:p>
        </w:tc>
        <w:tc>
          <w:tcPr>
            <w:tcW w:w="735" w:type="dxa"/>
            <w:noWrap w:val="0"/>
            <w:vAlign w:val="center"/>
          </w:tcPr>
          <w:p>
            <w:pPr>
              <w:widowControl/>
              <w:jc w:val="center"/>
              <w:rPr>
                <w:rFonts w:hint="eastAsia" w:hAnsi="宋体" w:eastAsia="宋体" w:cs="宋体"/>
                <w:bCs/>
                <w:color w:val="auto"/>
                <w:kern w:val="0"/>
                <w:sz w:val="21"/>
                <w:szCs w:val="21"/>
                <w:highlight w:val="none"/>
              </w:rPr>
            </w:pPr>
          </w:p>
        </w:tc>
        <w:tc>
          <w:tcPr>
            <w:tcW w:w="764" w:type="dxa"/>
            <w:noWrap w:val="0"/>
            <w:vAlign w:val="center"/>
          </w:tcPr>
          <w:p>
            <w:pPr>
              <w:widowControl/>
              <w:jc w:val="center"/>
              <w:rPr>
                <w:rFonts w:hint="eastAsia" w:hAnsi="宋体" w:eastAsia="宋体" w:cs="宋体"/>
                <w:bCs/>
                <w:color w:val="auto"/>
                <w:kern w:val="0"/>
                <w:sz w:val="21"/>
                <w:szCs w:val="21"/>
                <w:highlight w:val="none"/>
              </w:rPr>
            </w:pPr>
          </w:p>
        </w:tc>
        <w:tc>
          <w:tcPr>
            <w:tcW w:w="711" w:type="dxa"/>
            <w:noWrap w:val="0"/>
            <w:vAlign w:val="center"/>
          </w:tcPr>
          <w:p>
            <w:pPr>
              <w:widowControl/>
              <w:jc w:val="center"/>
              <w:rPr>
                <w:rFonts w:hint="eastAsia" w:hAnsi="宋体" w:eastAsia="宋体" w:cs="宋体"/>
                <w:bCs/>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13</w:t>
            </w:r>
          </w:p>
        </w:tc>
        <w:tc>
          <w:tcPr>
            <w:tcW w:w="2231"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PVC电线套管</w:t>
            </w:r>
          </w:p>
        </w:tc>
        <w:tc>
          <w:tcPr>
            <w:tcW w:w="114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佛山顾地</w:t>
            </w:r>
          </w:p>
        </w:tc>
        <w:tc>
          <w:tcPr>
            <w:tcW w:w="103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成都川路</w:t>
            </w:r>
          </w:p>
        </w:tc>
        <w:tc>
          <w:tcPr>
            <w:tcW w:w="102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广东联塑</w:t>
            </w:r>
          </w:p>
        </w:tc>
        <w:tc>
          <w:tcPr>
            <w:tcW w:w="94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　</w:t>
            </w:r>
          </w:p>
        </w:tc>
        <w:tc>
          <w:tcPr>
            <w:tcW w:w="82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　</w:t>
            </w:r>
          </w:p>
        </w:tc>
        <w:tc>
          <w:tcPr>
            <w:tcW w:w="735" w:type="dxa"/>
            <w:noWrap w:val="0"/>
            <w:vAlign w:val="center"/>
          </w:tcPr>
          <w:p>
            <w:pPr>
              <w:widowControl/>
              <w:jc w:val="center"/>
              <w:rPr>
                <w:rFonts w:hint="eastAsia" w:hAnsi="宋体" w:eastAsia="宋体" w:cs="宋体"/>
                <w:bCs/>
                <w:color w:val="auto"/>
                <w:kern w:val="0"/>
                <w:sz w:val="21"/>
                <w:szCs w:val="21"/>
                <w:highlight w:val="none"/>
              </w:rPr>
            </w:pPr>
          </w:p>
        </w:tc>
        <w:tc>
          <w:tcPr>
            <w:tcW w:w="764" w:type="dxa"/>
            <w:noWrap w:val="0"/>
            <w:vAlign w:val="center"/>
          </w:tcPr>
          <w:p>
            <w:pPr>
              <w:widowControl/>
              <w:jc w:val="center"/>
              <w:rPr>
                <w:rFonts w:hint="eastAsia" w:hAnsi="宋体" w:eastAsia="宋体" w:cs="宋体"/>
                <w:bCs/>
                <w:color w:val="auto"/>
                <w:kern w:val="0"/>
                <w:sz w:val="21"/>
                <w:szCs w:val="21"/>
                <w:highlight w:val="none"/>
              </w:rPr>
            </w:pPr>
          </w:p>
        </w:tc>
        <w:tc>
          <w:tcPr>
            <w:tcW w:w="711" w:type="dxa"/>
            <w:noWrap w:val="0"/>
            <w:vAlign w:val="center"/>
          </w:tcPr>
          <w:p>
            <w:pPr>
              <w:widowControl/>
              <w:jc w:val="center"/>
              <w:rPr>
                <w:rFonts w:hint="eastAsia" w:hAnsi="宋体" w:eastAsia="宋体" w:cs="宋体"/>
                <w:bCs/>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14</w:t>
            </w:r>
          </w:p>
        </w:tc>
        <w:tc>
          <w:tcPr>
            <w:tcW w:w="2231"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耐火型、密集型母线槽及插接箱</w:t>
            </w:r>
          </w:p>
        </w:tc>
        <w:tc>
          <w:tcPr>
            <w:tcW w:w="114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威腾</w:t>
            </w:r>
          </w:p>
        </w:tc>
        <w:tc>
          <w:tcPr>
            <w:tcW w:w="103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亿能</w:t>
            </w:r>
          </w:p>
        </w:tc>
        <w:tc>
          <w:tcPr>
            <w:tcW w:w="102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鼎圣</w:t>
            </w:r>
          </w:p>
        </w:tc>
        <w:tc>
          <w:tcPr>
            <w:tcW w:w="94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　</w:t>
            </w:r>
          </w:p>
        </w:tc>
        <w:tc>
          <w:tcPr>
            <w:tcW w:w="3035" w:type="dxa"/>
            <w:gridSpan w:val="4"/>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　含配件、支架、进出线盒、插接箱；耐火型母线槽耐火时间180分钟以上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590" w:type="dxa"/>
            <w:noWrap/>
            <w:vAlign w:val="center"/>
          </w:tcPr>
          <w:p>
            <w:pPr>
              <w:widowControl/>
              <w:jc w:val="center"/>
              <w:rPr>
                <w:rFonts w:hint="default" w:hAnsi="宋体" w:eastAsia="宋体" w:cs="宋体"/>
                <w:bCs/>
                <w:color w:val="auto"/>
                <w:kern w:val="0"/>
                <w:sz w:val="21"/>
                <w:szCs w:val="21"/>
                <w:highlight w:val="none"/>
                <w:lang w:val="en-US" w:eastAsia="zh-CN"/>
              </w:rPr>
            </w:pPr>
            <w:r>
              <w:rPr>
                <w:rFonts w:hint="eastAsia" w:hAnsi="宋体" w:eastAsia="宋体" w:cs="宋体"/>
                <w:bCs/>
                <w:color w:val="auto"/>
                <w:kern w:val="0"/>
                <w:sz w:val="21"/>
                <w:szCs w:val="21"/>
                <w:highlight w:val="none"/>
              </w:rPr>
              <w:t>15</w:t>
            </w:r>
            <w:r>
              <w:rPr>
                <w:rFonts w:hint="eastAsia" w:cs="宋体"/>
                <w:bCs/>
                <w:color w:val="auto"/>
                <w:kern w:val="0"/>
                <w:sz w:val="21"/>
                <w:szCs w:val="21"/>
                <w:highlight w:val="none"/>
                <w:lang w:eastAsia="zh-CN"/>
              </w:rPr>
              <w:t>.</w:t>
            </w:r>
            <w:r>
              <w:rPr>
                <w:rFonts w:hint="eastAsia" w:cs="宋体"/>
                <w:bCs/>
                <w:color w:val="auto"/>
                <w:kern w:val="0"/>
                <w:sz w:val="21"/>
                <w:szCs w:val="21"/>
                <w:highlight w:val="none"/>
                <w:lang w:val="en-US" w:eastAsia="zh-CN"/>
              </w:rPr>
              <w:t>1</w:t>
            </w:r>
          </w:p>
        </w:tc>
        <w:tc>
          <w:tcPr>
            <w:tcW w:w="2231" w:type="dxa"/>
            <w:noWrap w:val="0"/>
            <w:vAlign w:val="center"/>
          </w:tcPr>
          <w:p>
            <w:pPr>
              <w:widowControl/>
              <w:jc w:val="center"/>
              <w:rPr>
                <w:rFonts w:hint="default" w:hAnsi="宋体" w:eastAsia="宋体" w:cs="宋体"/>
                <w:bCs/>
                <w:color w:val="auto"/>
                <w:kern w:val="0"/>
                <w:sz w:val="21"/>
                <w:szCs w:val="21"/>
                <w:highlight w:val="none"/>
                <w:lang w:val="en-US" w:eastAsia="zh-CN"/>
              </w:rPr>
            </w:pPr>
            <w:r>
              <w:rPr>
                <w:rFonts w:hint="eastAsia" w:hAnsi="宋体" w:eastAsia="宋体" w:cs="宋体"/>
                <w:bCs/>
                <w:color w:val="auto"/>
                <w:kern w:val="0"/>
                <w:sz w:val="21"/>
                <w:szCs w:val="21"/>
                <w:highlight w:val="none"/>
              </w:rPr>
              <w:t>电梯</w:t>
            </w:r>
            <w:r>
              <w:rPr>
                <w:rFonts w:hint="eastAsia" w:cs="宋体"/>
                <w:bCs/>
                <w:color w:val="auto"/>
                <w:kern w:val="0"/>
                <w:sz w:val="21"/>
                <w:szCs w:val="21"/>
                <w:highlight w:val="none"/>
                <w:lang w:eastAsia="zh-CN"/>
              </w:rPr>
              <w:t>（</w:t>
            </w:r>
            <w:r>
              <w:rPr>
                <w:rFonts w:hint="eastAsia" w:cs="宋体"/>
                <w:bCs/>
                <w:color w:val="auto"/>
                <w:kern w:val="0"/>
                <w:sz w:val="21"/>
                <w:szCs w:val="21"/>
                <w:highlight w:val="none"/>
                <w:lang w:val="en-US" w:eastAsia="zh-CN"/>
              </w:rPr>
              <w:t>客梯）</w:t>
            </w:r>
          </w:p>
        </w:tc>
        <w:tc>
          <w:tcPr>
            <w:tcW w:w="1140" w:type="dxa"/>
            <w:noWrap w:val="0"/>
            <w:vAlign w:val="center"/>
          </w:tcPr>
          <w:p>
            <w:pPr>
              <w:widowControl/>
              <w:jc w:val="center"/>
              <w:rPr>
                <w:rFonts w:hint="default" w:hAnsi="宋体" w:eastAsia="宋体" w:cs="宋体"/>
                <w:bCs/>
                <w:color w:val="auto"/>
                <w:kern w:val="0"/>
                <w:sz w:val="21"/>
                <w:szCs w:val="21"/>
                <w:highlight w:val="none"/>
                <w:lang w:val="en-US" w:eastAsia="zh-CN"/>
              </w:rPr>
            </w:pPr>
            <w:r>
              <w:rPr>
                <w:rFonts w:hint="eastAsia" w:hAnsi="宋体" w:eastAsia="宋体" w:cs="宋体"/>
                <w:color w:val="auto"/>
                <w:sz w:val="21"/>
                <w:szCs w:val="21"/>
                <w:highlight w:val="none"/>
              </w:rPr>
              <w:drawing>
                <wp:inline distT="0" distB="0" distL="114300" distR="114300">
                  <wp:extent cx="588645" cy="360680"/>
                  <wp:effectExtent l="0" t="0" r="1905" b="1270"/>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pic:cNvPicPr>
                        </pic:nvPicPr>
                        <pic:blipFill>
                          <a:blip r:embed="rId13"/>
                          <a:stretch>
                            <a:fillRect/>
                          </a:stretch>
                        </pic:blipFill>
                        <pic:spPr>
                          <a:xfrm>
                            <a:off x="0" y="0"/>
                            <a:ext cx="588645" cy="360680"/>
                          </a:xfrm>
                          <a:prstGeom prst="rect">
                            <a:avLst/>
                          </a:prstGeom>
                          <a:noFill/>
                          <a:ln>
                            <a:noFill/>
                          </a:ln>
                        </pic:spPr>
                      </pic:pic>
                    </a:graphicData>
                  </a:graphic>
                </wp:inline>
              </w:drawing>
            </w:r>
          </w:p>
        </w:tc>
        <w:tc>
          <w:tcPr>
            <w:tcW w:w="103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color w:val="auto"/>
                <w:sz w:val="21"/>
                <w:szCs w:val="21"/>
                <w:highlight w:val="none"/>
              </w:rPr>
              <w:drawing>
                <wp:inline distT="0" distB="0" distL="114300" distR="114300">
                  <wp:extent cx="779145" cy="521970"/>
                  <wp:effectExtent l="0" t="0" r="1905" b="11430"/>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14"/>
                          <a:stretch>
                            <a:fillRect/>
                          </a:stretch>
                        </pic:blipFill>
                        <pic:spPr>
                          <a:xfrm>
                            <a:off x="0" y="0"/>
                            <a:ext cx="779145" cy="521970"/>
                          </a:xfrm>
                          <a:prstGeom prst="rect">
                            <a:avLst/>
                          </a:prstGeom>
                          <a:noFill/>
                          <a:ln>
                            <a:noFill/>
                          </a:ln>
                        </pic:spPr>
                      </pic:pic>
                    </a:graphicData>
                  </a:graphic>
                </wp:inline>
              </w:drawing>
            </w:r>
          </w:p>
        </w:tc>
        <w:tc>
          <w:tcPr>
            <w:tcW w:w="102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color w:val="auto"/>
                <w:sz w:val="21"/>
                <w:szCs w:val="21"/>
                <w:highlight w:val="none"/>
              </w:rPr>
              <w:drawing>
                <wp:inline distT="0" distB="0" distL="114300" distR="114300">
                  <wp:extent cx="675640" cy="614680"/>
                  <wp:effectExtent l="0" t="0" r="10160" b="13970"/>
                  <wp:docPr id="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pic:cNvPicPr>
                            <a:picLocks noChangeAspect="1"/>
                          </pic:cNvPicPr>
                        </pic:nvPicPr>
                        <pic:blipFill>
                          <a:blip r:embed="rId15"/>
                          <a:stretch>
                            <a:fillRect/>
                          </a:stretch>
                        </pic:blipFill>
                        <pic:spPr>
                          <a:xfrm>
                            <a:off x="0" y="0"/>
                            <a:ext cx="675640" cy="614680"/>
                          </a:xfrm>
                          <a:prstGeom prst="rect">
                            <a:avLst/>
                          </a:prstGeom>
                          <a:noFill/>
                          <a:ln>
                            <a:noFill/>
                          </a:ln>
                        </pic:spPr>
                      </pic:pic>
                    </a:graphicData>
                  </a:graphic>
                </wp:inline>
              </w:drawing>
            </w:r>
          </w:p>
        </w:tc>
        <w:tc>
          <w:tcPr>
            <w:tcW w:w="945" w:type="dxa"/>
            <w:noWrap w:val="0"/>
            <w:vAlign w:val="center"/>
          </w:tcPr>
          <w:p>
            <w:pPr>
              <w:widowControl/>
              <w:jc w:val="center"/>
              <w:rPr>
                <w:rFonts w:hint="eastAsia" w:hAnsi="宋体" w:eastAsia="宋体" w:cs="宋体"/>
                <w:bCs/>
                <w:color w:val="auto"/>
                <w:kern w:val="0"/>
                <w:sz w:val="21"/>
                <w:szCs w:val="21"/>
                <w:highlight w:val="none"/>
              </w:rPr>
            </w:pPr>
          </w:p>
        </w:tc>
        <w:tc>
          <w:tcPr>
            <w:tcW w:w="825" w:type="dxa"/>
            <w:noWrap w:val="0"/>
            <w:vAlign w:val="center"/>
          </w:tcPr>
          <w:p>
            <w:pPr>
              <w:widowControl/>
              <w:jc w:val="center"/>
              <w:rPr>
                <w:rFonts w:hint="eastAsia" w:hAnsi="宋体" w:eastAsia="宋体" w:cs="宋体"/>
                <w:bCs/>
                <w:color w:val="auto"/>
                <w:kern w:val="0"/>
                <w:sz w:val="21"/>
                <w:szCs w:val="21"/>
                <w:highlight w:val="none"/>
              </w:rPr>
            </w:pPr>
          </w:p>
        </w:tc>
        <w:tc>
          <w:tcPr>
            <w:tcW w:w="735" w:type="dxa"/>
            <w:noWrap w:val="0"/>
            <w:vAlign w:val="center"/>
          </w:tcPr>
          <w:p>
            <w:pPr>
              <w:widowControl/>
              <w:jc w:val="center"/>
              <w:rPr>
                <w:rFonts w:hint="eastAsia" w:hAnsi="宋体" w:eastAsia="宋体" w:cs="宋体"/>
                <w:bCs/>
                <w:color w:val="auto"/>
                <w:kern w:val="0"/>
                <w:sz w:val="21"/>
                <w:szCs w:val="21"/>
                <w:highlight w:val="none"/>
              </w:rPr>
            </w:pPr>
          </w:p>
        </w:tc>
        <w:tc>
          <w:tcPr>
            <w:tcW w:w="764" w:type="dxa"/>
            <w:noWrap w:val="0"/>
            <w:vAlign w:val="center"/>
          </w:tcPr>
          <w:p>
            <w:pPr>
              <w:widowControl/>
              <w:jc w:val="center"/>
              <w:rPr>
                <w:rFonts w:hint="eastAsia" w:hAnsi="宋体" w:eastAsia="宋体" w:cs="宋体"/>
                <w:bCs/>
                <w:color w:val="auto"/>
                <w:kern w:val="0"/>
                <w:sz w:val="21"/>
                <w:szCs w:val="21"/>
                <w:highlight w:val="none"/>
              </w:rPr>
            </w:pPr>
          </w:p>
        </w:tc>
        <w:tc>
          <w:tcPr>
            <w:tcW w:w="711" w:type="dxa"/>
            <w:noWrap w:val="0"/>
            <w:vAlign w:val="center"/>
          </w:tcPr>
          <w:p>
            <w:pPr>
              <w:widowControl/>
              <w:jc w:val="center"/>
              <w:rPr>
                <w:rFonts w:hint="eastAsia" w:hAnsi="宋体" w:eastAsia="宋体" w:cs="宋体"/>
                <w:bCs/>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590" w:type="dxa"/>
            <w:noWrap/>
            <w:vAlign w:val="center"/>
          </w:tcPr>
          <w:p>
            <w:pPr>
              <w:widowControl/>
              <w:jc w:val="center"/>
              <w:rPr>
                <w:rFonts w:hint="default" w:hAnsi="宋体" w:eastAsia="宋体" w:cs="宋体"/>
                <w:bCs/>
                <w:color w:val="auto"/>
                <w:kern w:val="0"/>
                <w:sz w:val="21"/>
                <w:szCs w:val="21"/>
                <w:highlight w:val="none"/>
                <w:lang w:val="en-US" w:eastAsia="zh-CN"/>
              </w:rPr>
            </w:pPr>
            <w:r>
              <w:rPr>
                <w:rFonts w:hint="eastAsia" w:cs="宋体"/>
                <w:bCs/>
                <w:color w:val="auto"/>
                <w:kern w:val="0"/>
                <w:sz w:val="21"/>
                <w:szCs w:val="21"/>
                <w:highlight w:val="none"/>
                <w:lang w:val="en-US" w:eastAsia="zh-CN"/>
              </w:rPr>
              <w:t>15.2</w:t>
            </w:r>
          </w:p>
        </w:tc>
        <w:tc>
          <w:tcPr>
            <w:tcW w:w="2231"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电梯</w:t>
            </w:r>
            <w:r>
              <w:rPr>
                <w:rFonts w:hint="eastAsia" w:cs="宋体"/>
                <w:bCs/>
                <w:color w:val="auto"/>
                <w:kern w:val="0"/>
                <w:sz w:val="21"/>
                <w:szCs w:val="21"/>
                <w:highlight w:val="none"/>
                <w:lang w:eastAsia="zh-CN"/>
              </w:rPr>
              <w:t>（</w:t>
            </w:r>
            <w:r>
              <w:rPr>
                <w:rFonts w:hint="eastAsia" w:cs="宋体"/>
                <w:bCs/>
                <w:color w:val="auto"/>
                <w:kern w:val="0"/>
                <w:sz w:val="21"/>
                <w:szCs w:val="21"/>
                <w:highlight w:val="none"/>
                <w:lang w:val="en-US" w:eastAsia="zh-CN"/>
              </w:rPr>
              <w:t>货梯）</w:t>
            </w:r>
          </w:p>
        </w:tc>
        <w:tc>
          <w:tcPr>
            <w:tcW w:w="1140" w:type="dxa"/>
            <w:noWrap w:val="0"/>
            <w:vAlign w:val="center"/>
          </w:tcPr>
          <w:p>
            <w:pPr>
              <w:widowControl/>
              <w:jc w:val="center"/>
              <w:rPr>
                <w:rFonts w:hint="eastAsia" w:hAnsi="宋体" w:eastAsia="宋体" w:cs="宋体"/>
                <w:color w:val="auto"/>
                <w:sz w:val="21"/>
                <w:szCs w:val="21"/>
                <w:highlight w:val="none"/>
              </w:rPr>
            </w:pPr>
            <w:r>
              <w:rPr>
                <w:rFonts w:hint="eastAsia" w:hAnsi="宋体" w:eastAsia="宋体" w:cs="宋体"/>
                <w:color w:val="auto"/>
                <w:sz w:val="21"/>
                <w:szCs w:val="21"/>
                <w:highlight w:val="none"/>
              </w:rPr>
              <w:drawing>
                <wp:inline distT="0" distB="0" distL="114300" distR="114300">
                  <wp:extent cx="588645" cy="360680"/>
                  <wp:effectExtent l="0" t="0" r="1905" b="1270"/>
                  <wp:docPr id="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pic:cNvPicPr>
                            <a:picLocks noChangeAspect="1"/>
                          </pic:cNvPicPr>
                        </pic:nvPicPr>
                        <pic:blipFill>
                          <a:blip r:embed="rId13"/>
                          <a:stretch>
                            <a:fillRect/>
                          </a:stretch>
                        </pic:blipFill>
                        <pic:spPr>
                          <a:xfrm>
                            <a:off x="0" y="0"/>
                            <a:ext cx="588645" cy="360680"/>
                          </a:xfrm>
                          <a:prstGeom prst="rect">
                            <a:avLst/>
                          </a:prstGeom>
                          <a:noFill/>
                          <a:ln>
                            <a:noFill/>
                          </a:ln>
                        </pic:spPr>
                      </pic:pic>
                    </a:graphicData>
                  </a:graphic>
                </wp:inline>
              </w:drawing>
            </w:r>
          </w:p>
        </w:tc>
        <w:tc>
          <w:tcPr>
            <w:tcW w:w="1035" w:type="dxa"/>
            <w:noWrap w:val="0"/>
            <w:vAlign w:val="center"/>
          </w:tcPr>
          <w:p>
            <w:pPr>
              <w:widowControl/>
              <w:jc w:val="center"/>
              <w:rPr>
                <w:rFonts w:hint="eastAsia" w:hAnsi="宋体" w:eastAsia="宋体" w:cs="宋体"/>
                <w:color w:val="auto"/>
                <w:sz w:val="21"/>
                <w:szCs w:val="21"/>
                <w:highlight w:val="none"/>
              </w:rPr>
            </w:pPr>
            <w:r>
              <w:rPr>
                <w:rFonts w:hint="eastAsia" w:hAnsi="宋体" w:eastAsia="宋体" w:cs="宋体"/>
                <w:color w:val="auto"/>
                <w:sz w:val="21"/>
                <w:szCs w:val="21"/>
                <w:highlight w:val="none"/>
              </w:rPr>
              <w:drawing>
                <wp:inline distT="0" distB="0" distL="114300" distR="114300">
                  <wp:extent cx="779145" cy="521970"/>
                  <wp:effectExtent l="0" t="0" r="1905" b="11430"/>
                  <wp:docPr id="1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pic:cNvPicPr>
                            <a:picLocks noChangeAspect="1"/>
                          </pic:cNvPicPr>
                        </pic:nvPicPr>
                        <pic:blipFill>
                          <a:blip r:embed="rId14"/>
                          <a:stretch>
                            <a:fillRect/>
                          </a:stretch>
                        </pic:blipFill>
                        <pic:spPr>
                          <a:xfrm>
                            <a:off x="0" y="0"/>
                            <a:ext cx="779145" cy="521970"/>
                          </a:xfrm>
                          <a:prstGeom prst="rect">
                            <a:avLst/>
                          </a:prstGeom>
                          <a:noFill/>
                          <a:ln>
                            <a:noFill/>
                          </a:ln>
                        </pic:spPr>
                      </pic:pic>
                    </a:graphicData>
                  </a:graphic>
                </wp:inline>
              </w:drawing>
            </w:r>
          </w:p>
        </w:tc>
        <w:tc>
          <w:tcPr>
            <w:tcW w:w="1020" w:type="dxa"/>
            <w:noWrap w:val="0"/>
            <w:vAlign w:val="center"/>
          </w:tcPr>
          <w:p>
            <w:pPr>
              <w:widowControl/>
              <w:jc w:val="center"/>
              <w:rPr>
                <w:rFonts w:hint="eastAsia" w:hAnsi="宋体" w:eastAsia="宋体" w:cs="宋体"/>
                <w:color w:val="auto"/>
                <w:sz w:val="21"/>
                <w:szCs w:val="21"/>
                <w:highlight w:val="none"/>
              </w:rPr>
            </w:pPr>
            <w:r>
              <w:rPr>
                <w:rFonts w:hint="eastAsia" w:hAnsi="宋体" w:eastAsia="宋体" w:cs="宋体"/>
                <w:color w:val="auto"/>
                <w:sz w:val="21"/>
                <w:szCs w:val="21"/>
                <w:highlight w:val="none"/>
              </w:rPr>
              <w:drawing>
                <wp:inline distT="0" distB="0" distL="114300" distR="114300">
                  <wp:extent cx="675640" cy="614680"/>
                  <wp:effectExtent l="0" t="0" r="10160" b="13970"/>
                  <wp:docPr id="1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pic:cNvPicPr>
                            <a:picLocks noChangeAspect="1"/>
                          </pic:cNvPicPr>
                        </pic:nvPicPr>
                        <pic:blipFill>
                          <a:blip r:embed="rId15"/>
                          <a:stretch>
                            <a:fillRect/>
                          </a:stretch>
                        </pic:blipFill>
                        <pic:spPr>
                          <a:xfrm>
                            <a:off x="0" y="0"/>
                            <a:ext cx="675640" cy="614680"/>
                          </a:xfrm>
                          <a:prstGeom prst="rect">
                            <a:avLst/>
                          </a:prstGeom>
                          <a:noFill/>
                          <a:ln>
                            <a:noFill/>
                          </a:ln>
                        </pic:spPr>
                      </pic:pic>
                    </a:graphicData>
                  </a:graphic>
                </wp:inline>
              </w:drawing>
            </w:r>
          </w:p>
        </w:tc>
        <w:tc>
          <w:tcPr>
            <w:tcW w:w="94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快意</w:t>
            </w:r>
          </w:p>
        </w:tc>
        <w:tc>
          <w:tcPr>
            <w:tcW w:w="825" w:type="dxa"/>
            <w:noWrap w:val="0"/>
            <w:vAlign w:val="center"/>
          </w:tcPr>
          <w:p>
            <w:pPr>
              <w:widowControl/>
              <w:jc w:val="center"/>
              <w:rPr>
                <w:rFonts w:hint="eastAsia" w:hAnsi="宋体" w:eastAsia="宋体" w:cs="宋体"/>
                <w:bCs/>
                <w:color w:val="auto"/>
                <w:kern w:val="0"/>
                <w:sz w:val="21"/>
                <w:szCs w:val="21"/>
                <w:highlight w:val="none"/>
              </w:rPr>
            </w:pPr>
          </w:p>
        </w:tc>
        <w:tc>
          <w:tcPr>
            <w:tcW w:w="735" w:type="dxa"/>
            <w:noWrap w:val="0"/>
            <w:vAlign w:val="center"/>
          </w:tcPr>
          <w:p>
            <w:pPr>
              <w:widowControl/>
              <w:jc w:val="center"/>
              <w:rPr>
                <w:rFonts w:hint="eastAsia" w:hAnsi="宋体" w:eastAsia="宋体" w:cs="宋体"/>
                <w:bCs/>
                <w:color w:val="auto"/>
                <w:kern w:val="0"/>
                <w:sz w:val="21"/>
                <w:szCs w:val="21"/>
                <w:highlight w:val="none"/>
              </w:rPr>
            </w:pPr>
          </w:p>
        </w:tc>
        <w:tc>
          <w:tcPr>
            <w:tcW w:w="764" w:type="dxa"/>
            <w:noWrap w:val="0"/>
            <w:vAlign w:val="center"/>
          </w:tcPr>
          <w:p>
            <w:pPr>
              <w:widowControl/>
              <w:jc w:val="center"/>
              <w:rPr>
                <w:rFonts w:hint="eastAsia" w:hAnsi="宋体" w:eastAsia="宋体" w:cs="宋体"/>
                <w:bCs/>
                <w:color w:val="auto"/>
                <w:kern w:val="0"/>
                <w:sz w:val="21"/>
                <w:szCs w:val="21"/>
                <w:highlight w:val="none"/>
              </w:rPr>
            </w:pPr>
          </w:p>
        </w:tc>
        <w:tc>
          <w:tcPr>
            <w:tcW w:w="711" w:type="dxa"/>
            <w:noWrap w:val="0"/>
            <w:vAlign w:val="center"/>
          </w:tcPr>
          <w:p>
            <w:pPr>
              <w:widowControl/>
              <w:jc w:val="center"/>
              <w:rPr>
                <w:rFonts w:hint="eastAsia" w:hAnsi="宋体" w:eastAsia="宋体" w:cs="宋体"/>
                <w:bCs/>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590" w:type="dxa"/>
            <w:noWrap/>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16</w:t>
            </w:r>
          </w:p>
        </w:tc>
        <w:tc>
          <w:tcPr>
            <w:tcW w:w="2231"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柴油发电机组（原厂整机）</w:t>
            </w:r>
          </w:p>
        </w:tc>
        <w:tc>
          <w:tcPr>
            <w:tcW w:w="114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潍柴动力股份</w:t>
            </w:r>
          </w:p>
        </w:tc>
        <w:tc>
          <w:tcPr>
            <w:tcW w:w="103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广西玉柴</w:t>
            </w:r>
          </w:p>
        </w:tc>
        <w:tc>
          <w:tcPr>
            <w:tcW w:w="102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上柴股份</w:t>
            </w:r>
          </w:p>
        </w:tc>
        <w:tc>
          <w:tcPr>
            <w:tcW w:w="945" w:type="dxa"/>
            <w:noWrap w:val="0"/>
            <w:vAlign w:val="center"/>
          </w:tcPr>
          <w:p>
            <w:pPr>
              <w:widowControl/>
              <w:jc w:val="center"/>
              <w:rPr>
                <w:rFonts w:hint="eastAsia" w:hAnsi="宋体" w:eastAsia="宋体" w:cs="宋体"/>
                <w:bCs/>
                <w:color w:val="auto"/>
                <w:kern w:val="0"/>
                <w:sz w:val="21"/>
                <w:szCs w:val="21"/>
                <w:highlight w:val="none"/>
              </w:rPr>
            </w:pPr>
          </w:p>
        </w:tc>
        <w:tc>
          <w:tcPr>
            <w:tcW w:w="825" w:type="dxa"/>
            <w:noWrap w:val="0"/>
            <w:vAlign w:val="center"/>
          </w:tcPr>
          <w:p>
            <w:pPr>
              <w:widowControl/>
              <w:jc w:val="center"/>
              <w:rPr>
                <w:rFonts w:hint="eastAsia" w:hAnsi="宋体" w:eastAsia="宋体" w:cs="宋体"/>
                <w:bCs/>
                <w:color w:val="auto"/>
                <w:kern w:val="0"/>
                <w:sz w:val="21"/>
                <w:szCs w:val="21"/>
                <w:highlight w:val="none"/>
              </w:rPr>
            </w:pPr>
          </w:p>
        </w:tc>
        <w:tc>
          <w:tcPr>
            <w:tcW w:w="735" w:type="dxa"/>
            <w:noWrap w:val="0"/>
            <w:vAlign w:val="center"/>
          </w:tcPr>
          <w:p>
            <w:pPr>
              <w:widowControl/>
              <w:jc w:val="center"/>
              <w:rPr>
                <w:rFonts w:hint="eastAsia" w:hAnsi="宋体" w:eastAsia="宋体" w:cs="宋体"/>
                <w:bCs/>
                <w:color w:val="auto"/>
                <w:kern w:val="0"/>
                <w:sz w:val="21"/>
                <w:szCs w:val="21"/>
                <w:highlight w:val="none"/>
              </w:rPr>
            </w:pPr>
          </w:p>
        </w:tc>
        <w:tc>
          <w:tcPr>
            <w:tcW w:w="764" w:type="dxa"/>
            <w:noWrap w:val="0"/>
            <w:vAlign w:val="center"/>
          </w:tcPr>
          <w:p>
            <w:pPr>
              <w:widowControl/>
              <w:jc w:val="center"/>
              <w:rPr>
                <w:rFonts w:hint="eastAsia" w:hAnsi="宋体" w:eastAsia="宋体" w:cs="宋体"/>
                <w:bCs/>
                <w:color w:val="auto"/>
                <w:kern w:val="0"/>
                <w:sz w:val="21"/>
                <w:szCs w:val="21"/>
                <w:highlight w:val="none"/>
              </w:rPr>
            </w:pPr>
          </w:p>
        </w:tc>
        <w:tc>
          <w:tcPr>
            <w:tcW w:w="711" w:type="dxa"/>
            <w:noWrap w:val="0"/>
            <w:vAlign w:val="center"/>
          </w:tcPr>
          <w:p>
            <w:pPr>
              <w:widowControl/>
              <w:jc w:val="center"/>
              <w:rPr>
                <w:rFonts w:hint="eastAsia" w:hAnsi="宋体" w:eastAsia="宋体" w:cs="宋体"/>
                <w:bCs/>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590" w:type="dxa"/>
            <w:noWrap/>
            <w:vAlign w:val="center"/>
          </w:tcPr>
          <w:p>
            <w:pPr>
              <w:widowControl/>
              <w:jc w:val="center"/>
              <w:rPr>
                <w:rFonts w:hint="default" w:hAnsi="宋体" w:eastAsia="宋体" w:cs="宋体"/>
                <w:bCs/>
                <w:color w:val="auto"/>
                <w:kern w:val="0"/>
                <w:sz w:val="21"/>
                <w:szCs w:val="21"/>
                <w:highlight w:val="none"/>
                <w:lang w:val="en-US" w:eastAsia="zh-CN"/>
              </w:rPr>
            </w:pPr>
            <w:r>
              <w:rPr>
                <w:rFonts w:hint="eastAsia" w:hAnsi="宋体" w:eastAsia="宋体" w:cs="宋体"/>
                <w:bCs/>
                <w:color w:val="auto"/>
                <w:kern w:val="0"/>
                <w:sz w:val="21"/>
                <w:szCs w:val="21"/>
                <w:highlight w:val="none"/>
                <w:lang w:val="en-US" w:eastAsia="zh-CN"/>
              </w:rPr>
              <w:t>17</w:t>
            </w:r>
          </w:p>
        </w:tc>
        <w:tc>
          <w:tcPr>
            <w:tcW w:w="2231"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lang w:val="en-US" w:eastAsia="zh-CN"/>
              </w:rPr>
              <w:t>弱电箱</w:t>
            </w:r>
          </w:p>
        </w:tc>
        <w:tc>
          <w:tcPr>
            <w:tcW w:w="1140" w:type="dxa"/>
            <w:noWrap w:val="0"/>
            <w:vAlign w:val="center"/>
          </w:tcPr>
          <w:p>
            <w:pPr>
              <w:widowControl/>
              <w:jc w:val="center"/>
              <w:rPr>
                <w:rFonts w:hint="eastAsia" w:hAnsi="宋体" w:eastAsia="宋体" w:cs="宋体"/>
                <w:bCs/>
                <w:color w:val="auto"/>
                <w:kern w:val="0"/>
                <w:sz w:val="21"/>
                <w:szCs w:val="21"/>
                <w:highlight w:val="none"/>
                <w:lang w:val="en-US" w:eastAsia="zh-CN"/>
              </w:rPr>
            </w:pPr>
            <w:r>
              <w:rPr>
                <w:rFonts w:hint="eastAsia" w:hAnsi="宋体" w:eastAsia="宋体" w:cs="宋体"/>
                <w:bCs/>
                <w:color w:val="auto"/>
                <w:kern w:val="0"/>
                <w:sz w:val="21"/>
                <w:szCs w:val="21"/>
                <w:highlight w:val="none"/>
                <w:lang w:val="en-US" w:eastAsia="zh-CN"/>
              </w:rPr>
              <w:t>罗格朗</w:t>
            </w:r>
          </w:p>
        </w:tc>
        <w:tc>
          <w:tcPr>
            <w:tcW w:w="103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浙江光大通信</w:t>
            </w:r>
          </w:p>
        </w:tc>
        <w:tc>
          <w:tcPr>
            <w:tcW w:w="102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广东尤立科</w:t>
            </w:r>
          </w:p>
        </w:tc>
        <w:tc>
          <w:tcPr>
            <w:tcW w:w="945" w:type="dxa"/>
            <w:noWrap w:val="0"/>
            <w:vAlign w:val="center"/>
          </w:tcPr>
          <w:p>
            <w:pPr>
              <w:widowControl/>
              <w:jc w:val="center"/>
              <w:rPr>
                <w:rFonts w:hint="eastAsia" w:hAnsi="宋体" w:eastAsia="宋体" w:cs="宋体"/>
                <w:bCs/>
                <w:color w:val="auto"/>
                <w:kern w:val="0"/>
                <w:sz w:val="21"/>
                <w:szCs w:val="21"/>
                <w:highlight w:val="none"/>
              </w:rPr>
            </w:pPr>
          </w:p>
        </w:tc>
        <w:tc>
          <w:tcPr>
            <w:tcW w:w="825" w:type="dxa"/>
            <w:noWrap w:val="0"/>
            <w:vAlign w:val="center"/>
          </w:tcPr>
          <w:p>
            <w:pPr>
              <w:widowControl/>
              <w:jc w:val="center"/>
              <w:rPr>
                <w:rFonts w:hint="eastAsia" w:hAnsi="宋体" w:eastAsia="宋体" w:cs="宋体"/>
                <w:bCs/>
                <w:color w:val="auto"/>
                <w:kern w:val="0"/>
                <w:sz w:val="21"/>
                <w:szCs w:val="21"/>
                <w:highlight w:val="none"/>
              </w:rPr>
            </w:pPr>
          </w:p>
        </w:tc>
        <w:tc>
          <w:tcPr>
            <w:tcW w:w="735" w:type="dxa"/>
            <w:noWrap w:val="0"/>
            <w:vAlign w:val="center"/>
          </w:tcPr>
          <w:p>
            <w:pPr>
              <w:widowControl/>
              <w:jc w:val="center"/>
              <w:rPr>
                <w:rFonts w:hint="eastAsia" w:hAnsi="宋体" w:eastAsia="宋体" w:cs="宋体"/>
                <w:bCs/>
                <w:color w:val="auto"/>
                <w:kern w:val="0"/>
                <w:sz w:val="21"/>
                <w:szCs w:val="21"/>
                <w:highlight w:val="none"/>
              </w:rPr>
            </w:pPr>
          </w:p>
        </w:tc>
        <w:tc>
          <w:tcPr>
            <w:tcW w:w="764" w:type="dxa"/>
            <w:noWrap w:val="0"/>
            <w:vAlign w:val="center"/>
          </w:tcPr>
          <w:p>
            <w:pPr>
              <w:widowControl/>
              <w:jc w:val="center"/>
              <w:rPr>
                <w:rFonts w:hint="eastAsia" w:hAnsi="宋体" w:eastAsia="宋体" w:cs="宋体"/>
                <w:bCs/>
                <w:color w:val="auto"/>
                <w:kern w:val="0"/>
                <w:sz w:val="21"/>
                <w:szCs w:val="21"/>
                <w:highlight w:val="none"/>
              </w:rPr>
            </w:pPr>
          </w:p>
        </w:tc>
        <w:tc>
          <w:tcPr>
            <w:tcW w:w="711" w:type="dxa"/>
            <w:noWrap w:val="0"/>
            <w:vAlign w:val="center"/>
          </w:tcPr>
          <w:p>
            <w:pPr>
              <w:widowControl/>
              <w:jc w:val="center"/>
              <w:rPr>
                <w:rFonts w:hint="eastAsia" w:hAnsi="宋体" w:eastAsia="宋体" w:cs="宋体"/>
                <w:bCs/>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590" w:type="dxa"/>
            <w:noWrap/>
            <w:vAlign w:val="center"/>
          </w:tcPr>
          <w:p>
            <w:pPr>
              <w:widowControl/>
              <w:jc w:val="center"/>
              <w:rPr>
                <w:rFonts w:hint="default" w:hAnsi="宋体" w:eastAsia="宋体" w:cs="宋体"/>
                <w:bCs/>
                <w:color w:val="auto"/>
                <w:kern w:val="0"/>
                <w:sz w:val="21"/>
                <w:szCs w:val="21"/>
                <w:highlight w:val="none"/>
                <w:lang w:val="en-US" w:eastAsia="zh-CN"/>
              </w:rPr>
            </w:pPr>
            <w:r>
              <w:rPr>
                <w:rFonts w:hint="eastAsia" w:hAnsi="宋体" w:eastAsia="宋体" w:cs="宋体"/>
                <w:bCs/>
                <w:color w:val="auto"/>
                <w:kern w:val="0"/>
                <w:sz w:val="21"/>
                <w:szCs w:val="21"/>
                <w:highlight w:val="none"/>
                <w:lang w:val="en-US" w:eastAsia="zh-CN"/>
              </w:rPr>
              <w:t>18</w:t>
            </w:r>
          </w:p>
        </w:tc>
        <w:tc>
          <w:tcPr>
            <w:tcW w:w="2231" w:type="dxa"/>
            <w:noWrap w:val="0"/>
            <w:vAlign w:val="center"/>
          </w:tcPr>
          <w:p>
            <w:pPr>
              <w:widowControl/>
              <w:jc w:val="center"/>
              <w:rPr>
                <w:rFonts w:hint="default" w:hAnsi="宋体" w:eastAsia="宋体" w:cs="宋体"/>
                <w:bCs/>
                <w:color w:val="auto"/>
                <w:kern w:val="0"/>
                <w:sz w:val="21"/>
                <w:szCs w:val="21"/>
                <w:highlight w:val="none"/>
                <w:lang w:val="en-US" w:eastAsia="zh-CN"/>
              </w:rPr>
            </w:pPr>
            <w:r>
              <w:rPr>
                <w:rFonts w:hint="eastAsia" w:hAnsi="宋体" w:eastAsia="宋体" w:cs="宋体"/>
                <w:bCs/>
                <w:color w:val="auto"/>
                <w:kern w:val="0"/>
                <w:sz w:val="21"/>
                <w:szCs w:val="21"/>
                <w:highlight w:val="none"/>
                <w:lang w:val="en-US" w:eastAsia="zh-CN"/>
              </w:rPr>
              <w:t>充电桩</w:t>
            </w:r>
          </w:p>
        </w:tc>
        <w:tc>
          <w:tcPr>
            <w:tcW w:w="1140" w:type="dxa"/>
            <w:noWrap w:val="0"/>
            <w:vAlign w:val="center"/>
          </w:tcPr>
          <w:p>
            <w:pPr>
              <w:widowControl/>
              <w:jc w:val="center"/>
              <w:rPr>
                <w:rFonts w:hint="default" w:hAnsi="宋体" w:eastAsia="宋体" w:cs="宋体"/>
                <w:bCs/>
                <w:color w:val="auto"/>
                <w:kern w:val="0"/>
                <w:sz w:val="21"/>
                <w:szCs w:val="21"/>
                <w:highlight w:val="none"/>
                <w:lang w:val="en-US" w:eastAsia="zh-CN"/>
              </w:rPr>
            </w:pPr>
            <w:r>
              <w:rPr>
                <w:rFonts w:hint="eastAsia" w:hAnsi="宋体" w:eastAsia="宋体" w:cs="宋体"/>
                <w:bCs/>
                <w:color w:val="auto"/>
                <w:kern w:val="0"/>
                <w:sz w:val="21"/>
                <w:szCs w:val="21"/>
                <w:highlight w:val="none"/>
                <w:lang w:val="en-US" w:eastAsia="zh-CN"/>
              </w:rPr>
              <w:t>特莱电TELD</w:t>
            </w:r>
          </w:p>
        </w:tc>
        <w:tc>
          <w:tcPr>
            <w:tcW w:w="1035" w:type="dxa"/>
            <w:noWrap w:val="0"/>
            <w:vAlign w:val="center"/>
          </w:tcPr>
          <w:p>
            <w:pPr>
              <w:widowControl/>
              <w:jc w:val="center"/>
              <w:rPr>
                <w:rFonts w:hint="default" w:hAnsi="宋体" w:eastAsia="宋体" w:cs="宋体"/>
                <w:bCs/>
                <w:color w:val="auto"/>
                <w:kern w:val="0"/>
                <w:sz w:val="21"/>
                <w:szCs w:val="21"/>
                <w:highlight w:val="none"/>
                <w:lang w:val="en-US" w:eastAsia="zh-CN"/>
              </w:rPr>
            </w:pPr>
            <w:r>
              <w:rPr>
                <w:rFonts w:hint="eastAsia" w:hAnsi="宋体" w:eastAsia="宋体" w:cs="宋体"/>
                <w:bCs/>
                <w:color w:val="auto"/>
                <w:kern w:val="0"/>
                <w:sz w:val="21"/>
                <w:szCs w:val="21"/>
                <w:highlight w:val="none"/>
                <w:lang w:val="en-US" w:eastAsia="zh-CN"/>
              </w:rPr>
              <w:t>星星充电</w:t>
            </w:r>
          </w:p>
        </w:tc>
        <w:tc>
          <w:tcPr>
            <w:tcW w:w="1020" w:type="dxa"/>
            <w:noWrap w:val="0"/>
            <w:vAlign w:val="center"/>
          </w:tcPr>
          <w:p>
            <w:pPr>
              <w:widowControl/>
              <w:jc w:val="center"/>
              <w:rPr>
                <w:rFonts w:hint="default" w:hAnsi="宋体" w:eastAsia="宋体" w:cs="宋体"/>
                <w:bCs/>
                <w:color w:val="auto"/>
                <w:kern w:val="0"/>
                <w:sz w:val="21"/>
                <w:szCs w:val="21"/>
                <w:highlight w:val="none"/>
                <w:lang w:val="en-US" w:eastAsia="zh-CN"/>
              </w:rPr>
            </w:pPr>
            <w:r>
              <w:rPr>
                <w:rFonts w:hint="eastAsia" w:ascii="宋体" w:hAnsi="宋体" w:eastAsia="宋体" w:cs="宋体"/>
                <w:i w:val="0"/>
                <w:iCs w:val="0"/>
                <w:caps w:val="0"/>
                <w:color w:val="auto"/>
                <w:spacing w:val="2"/>
                <w:sz w:val="21"/>
                <w:szCs w:val="21"/>
                <w:shd w:val="clear" w:color="auto" w:fill="FFFFFF"/>
                <w:lang w:val="en-US" w:eastAsia="zh-CN"/>
              </w:rPr>
              <w:t>e充电</w:t>
            </w:r>
          </w:p>
        </w:tc>
        <w:tc>
          <w:tcPr>
            <w:tcW w:w="945" w:type="dxa"/>
            <w:noWrap w:val="0"/>
            <w:vAlign w:val="center"/>
          </w:tcPr>
          <w:p>
            <w:pPr>
              <w:widowControl/>
              <w:jc w:val="center"/>
              <w:rPr>
                <w:rFonts w:hint="eastAsia" w:hAnsi="宋体" w:eastAsia="宋体" w:cs="宋体"/>
                <w:bCs/>
                <w:color w:val="auto"/>
                <w:kern w:val="0"/>
                <w:sz w:val="21"/>
                <w:szCs w:val="21"/>
                <w:highlight w:val="none"/>
              </w:rPr>
            </w:pPr>
          </w:p>
        </w:tc>
        <w:tc>
          <w:tcPr>
            <w:tcW w:w="825" w:type="dxa"/>
            <w:noWrap w:val="0"/>
            <w:vAlign w:val="center"/>
          </w:tcPr>
          <w:p>
            <w:pPr>
              <w:widowControl/>
              <w:jc w:val="center"/>
              <w:rPr>
                <w:rFonts w:hint="eastAsia" w:hAnsi="宋体" w:eastAsia="宋体" w:cs="宋体"/>
                <w:bCs/>
                <w:color w:val="auto"/>
                <w:kern w:val="0"/>
                <w:sz w:val="21"/>
                <w:szCs w:val="21"/>
                <w:highlight w:val="none"/>
              </w:rPr>
            </w:pPr>
          </w:p>
        </w:tc>
        <w:tc>
          <w:tcPr>
            <w:tcW w:w="735" w:type="dxa"/>
            <w:noWrap w:val="0"/>
            <w:vAlign w:val="center"/>
          </w:tcPr>
          <w:p>
            <w:pPr>
              <w:widowControl/>
              <w:jc w:val="center"/>
              <w:rPr>
                <w:rFonts w:hint="eastAsia" w:hAnsi="宋体" w:eastAsia="宋体" w:cs="宋体"/>
                <w:bCs/>
                <w:color w:val="auto"/>
                <w:kern w:val="0"/>
                <w:sz w:val="21"/>
                <w:szCs w:val="21"/>
                <w:highlight w:val="none"/>
              </w:rPr>
            </w:pPr>
          </w:p>
        </w:tc>
        <w:tc>
          <w:tcPr>
            <w:tcW w:w="764" w:type="dxa"/>
            <w:noWrap w:val="0"/>
            <w:vAlign w:val="center"/>
          </w:tcPr>
          <w:p>
            <w:pPr>
              <w:widowControl/>
              <w:jc w:val="center"/>
              <w:rPr>
                <w:rFonts w:hint="eastAsia" w:hAnsi="宋体" w:eastAsia="宋体" w:cs="宋体"/>
                <w:bCs/>
                <w:color w:val="auto"/>
                <w:kern w:val="0"/>
                <w:sz w:val="21"/>
                <w:szCs w:val="21"/>
                <w:highlight w:val="none"/>
              </w:rPr>
            </w:pPr>
          </w:p>
        </w:tc>
        <w:tc>
          <w:tcPr>
            <w:tcW w:w="711" w:type="dxa"/>
            <w:noWrap w:val="0"/>
            <w:vAlign w:val="center"/>
          </w:tcPr>
          <w:p>
            <w:pPr>
              <w:widowControl/>
              <w:jc w:val="center"/>
              <w:rPr>
                <w:rFonts w:hint="eastAsia" w:hAnsi="宋体" w:eastAsia="宋体" w:cs="宋体"/>
                <w:bCs/>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9996" w:type="dxa"/>
            <w:gridSpan w:val="10"/>
            <w:noWrap/>
            <w:vAlign w:val="center"/>
          </w:tcPr>
          <w:p>
            <w:pPr>
              <w:widowControl/>
              <w:jc w:val="center"/>
              <w:rPr>
                <w:rFonts w:hint="eastAsia" w:hAnsi="宋体" w:eastAsia="宋体" w:cs="宋体"/>
                <w:b/>
                <w:color w:val="auto"/>
                <w:kern w:val="0"/>
                <w:sz w:val="21"/>
                <w:szCs w:val="21"/>
                <w:highlight w:val="none"/>
              </w:rPr>
            </w:pPr>
            <w:r>
              <w:rPr>
                <w:rFonts w:hint="eastAsia" w:hAnsi="宋体" w:eastAsia="宋体" w:cs="宋体"/>
                <w:b/>
                <w:color w:val="auto"/>
                <w:kern w:val="0"/>
                <w:sz w:val="21"/>
                <w:szCs w:val="21"/>
                <w:highlight w:val="none"/>
              </w:rPr>
              <w:t>消防工程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1</w:t>
            </w:r>
          </w:p>
        </w:tc>
        <w:tc>
          <w:tcPr>
            <w:tcW w:w="2231"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消防泵、喷淋泵、消防稳压增压设备</w:t>
            </w:r>
          </w:p>
        </w:tc>
        <w:tc>
          <w:tcPr>
            <w:tcW w:w="114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lang w:val="en-US" w:eastAsia="zh-CN"/>
              </w:rPr>
              <w:t>凯泉水泵</w:t>
            </w:r>
          </w:p>
        </w:tc>
        <w:tc>
          <w:tcPr>
            <w:tcW w:w="103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山东双轮</w:t>
            </w:r>
          </w:p>
        </w:tc>
        <w:tc>
          <w:tcPr>
            <w:tcW w:w="102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广州第一水泵厂</w:t>
            </w:r>
          </w:p>
        </w:tc>
        <w:tc>
          <w:tcPr>
            <w:tcW w:w="94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 xml:space="preserve"> </w:t>
            </w:r>
          </w:p>
        </w:tc>
        <w:tc>
          <w:tcPr>
            <w:tcW w:w="82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 xml:space="preserve"> </w:t>
            </w: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2</w:t>
            </w:r>
          </w:p>
        </w:tc>
        <w:tc>
          <w:tcPr>
            <w:tcW w:w="2231"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消火栓、水泵接合器</w:t>
            </w:r>
          </w:p>
        </w:tc>
        <w:tc>
          <w:tcPr>
            <w:tcW w:w="114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福建白沙</w:t>
            </w:r>
          </w:p>
        </w:tc>
        <w:tc>
          <w:tcPr>
            <w:tcW w:w="103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福建天广</w:t>
            </w:r>
          </w:p>
        </w:tc>
        <w:tc>
          <w:tcPr>
            <w:tcW w:w="102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广东胜捷</w:t>
            </w:r>
          </w:p>
        </w:tc>
        <w:tc>
          <w:tcPr>
            <w:tcW w:w="94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 xml:space="preserve"> </w:t>
            </w:r>
          </w:p>
        </w:tc>
        <w:tc>
          <w:tcPr>
            <w:tcW w:w="82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　</w:t>
            </w: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3</w:t>
            </w:r>
          </w:p>
        </w:tc>
        <w:tc>
          <w:tcPr>
            <w:tcW w:w="2231"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灭火器</w:t>
            </w:r>
          </w:p>
        </w:tc>
        <w:tc>
          <w:tcPr>
            <w:tcW w:w="114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福建天广</w:t>
            </w:r>
          </w:p>
        </w:tc>
        <w:tc>
          <w:tcPr>
            <w:tcW w:w="103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广东胜捷</w:t>
            </w:r>
          </w:p>
        </w:tc>
        <w:tc>
          <w:tcPr>
            <w:tcW w:w="1020" w:type="dxa"/>
            <w:noWrap w:val="0"/>
            <w:vAlign w:val="center"/>
          </w:tcPr>
          <w:p>
            <w:pPr>
              <w:widowControl/>
              <w:jc w:val="center"/>
              <w:rPr>
                <w:rFonts w:hint="eastAsia" w:hAnsi="宋体" w:eastAsia="宋体" w:cs="宋体"/>
                <w:bCs w:val="0"/>
                <w:color w:val="auto"/>
                <w:kern w:val="0"/>
                <w:sz w:val="21"/>
                <w:szCs w:val="21"/>
                <w:highlight w:val="none"/>
                <w:lang w:eastAsia="zh-CN"/>
              </w:rPr>
            </w:pPr>
            <w:r>
              <w:rPr>
                <w:rFonts w:hint="eastAsia" w:hAnsi="宋体" w:eastAsia="宋体" w:cs="宋体"/>
                <w:bCs w:val="0"/>
                <w:color w:val="auto"/>
                <w:kern w:val="0"/>
                <w:sz w:val="21"/>
                <w:szCs w:val="21"/>
                <w:highlight w:val="none"/>
              </w:rPr>
              <w:t>福建</w:t>
            </w:r>
            <w:r>
              <w:rPr>
                <w:rFonts w:hint="eastAsia" w:hAnsi="宋体" w:eastAsia="宋体" w:cs="宋体"/>
                <w:bCs w:val="0"/>
                <w:color w:val="auto"/>
                <w:kern w:val="0"/>
                <w:sz w:val="21"/>
                <w:szCs w:val="21"/>
                <w:highlight w:val="none"/>
                <w:lang w:val="en-US" w:eastAsia="zh-CN"/>
              </w:rPr>
              <w:t>白沙</w:t>
            </w:r>
          </w:p>
        </w:tc>
        <w:tc>
          <w:tcPr>
            <w:tcW w:w="94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　</w:t>
            </w:r>
          </w:p>
        </w:tc>
        <w:tc>
          <w:tcPr>
            <w:tcW w:w="82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　</w:t>
            </w: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4</w:t>
            </w:r>
          </w:p>
        </w:tc>
        <w:tc>
          <w:tcPr>
            <w:tcW w:w="2231"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沟槽管件</w:t>
            </w:r>
          </w:p>
        </w:tc>
        <w:tc>
          <w:tcPr>
            <w:tcW w:w="114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山东亿佰通</w:t>
            </w:r>
          </w:p>
        </w:tc>
        <w:tc>
          <w:tcPr>
            <w:tcW w:w="103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上海威逊</w:t>
            </w:r>
          </w:p>
        </w:tc>
        <w:tc>
          <w:tcPr>
            <w:tcW w:w="102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山东莱德</w:t>
            </w:r>
          </w:p>
        </w:tc>
        <w:tc>
          <w:tcPr>
            <w:tcW w:w="94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　</w:t>
            </w:r>
          </w:p>
        </w:tc>
        <w:tc>
          <w:tcPr>
            <w:tcW w:w="82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　</w:t>
            </w: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5</w:t>
            </w:r>
          </w:p>
        </w:tc>
        <w:tc>
          <w:tcPr>
            <w:tcW w:w="2231"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镀锌钢管</w:t>
            </w:r>
          </w:p>
        </w:tc>
        <w:tc>
          <w:tcPr>
            <w:tcW w:w="114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天津银泽</w:t>
            </w:r>
          </w:p>
        </w:tc>
        <w:tc>
          <w:tcPr>
            <w:tcW w:w="103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浙江金洲</w:t>
            </w:r>
          </w:p>
        </w:tc>
        <w:tc>
          <w:tcPr>
            <w:tcW w:w="102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广州华岐</w:t>
            </w:r>
          </w:p>
        </w:tc>
        <w:tc>
          <w:tcPr>
            <w:tcW w:w="94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 xml:space="preserve"> </w:t>
            </w:r>
          </w:p>
        </w:tc>
        <w:tc>
          <w:tcPr>
            <w:tcW w:w="82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　</w:t>
            </w: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6</w:t>
            </w:r>
          </w:p>
        </w:tc>
        <w:tc>
          <w:tcPr>
            <w:tcW w:w="2231"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湿式报警阀组、水流指示器、信号蝶阀、喷淋头</w:t>
            </w:r>
          </w:p>
        </w:tc>
        <w:tc>
          <w:tcPr>
            <w:tcW w:w="114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广东平安</w:t>
            </w:r>
          </w:p>
        </w:tc>
        <w:tc>
          <w:tcPr>
            <w:tcW w:w="103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广东胜捷</w:t>
            </w:r>
          </w:p>
        </w:tc>
        <w:tc>
          <w:tcPr>
            <w:tcW w:w="102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上海金盾</w:t>
            </w:r>
          </w:p>
        </w:tc>
        <w:tc>
          <w:tcPr>
            <w:tcW w:w="94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　</w:t>
            </w:r>
          </w:p>
        </w:tc>
        <w:tc>
          <w:tcPr>
            <w:tcW w:w="82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　</w:t>
            </w: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7</w:t>
            </w:r>
          </w:p>
        </w:tc>
        <w:tc>
          <w:tcPr>
            <w:tcW w:w="2231"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阀门（过滤器、铜阀、截止阀）DN≤50,按设计要求</w:t>
            </w:r>
          </w:p>
        </w:tc>
        <w:tc>
          <w:tcPr>
            <w:tcW w:w="114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宁波埃美柯</w:t>
            </w:r>
          </w:p>
        </w:tc>
        <w:tc>
          <w:tcPr>
            <w:tcW w:w="103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宁波杰克龙</w:t>
            </w:r>
          </w:p>
        </w:tc>
        <w:tc>
          <w:tcPr>
            <w:tcW w:w="102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江苏盾安</w:t>
            </w:r>
          </w:p>
        </w:tc>
        <w:tc>
          <w:tcPr>
            <w:tcW w:w="945" w:type="dxa"/>
            <w:noWrap w:val="0"/>
            <w:vAlign w:val="center"/>
          </w:tcPr>
          <w:p>
            <w:pPr>
              <w:widowControl/>
              <w:jc w:val="center"/>
              <w:rPr>
                <w:rFonts w:hint="default"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lang w:val="en-US" w:eastAsia="zh-CN"/>
              </w:rPr>
              <w:t>厦门丹佛思</w:t>
            </w:r>
          </w:p>
        </w:tc>
        <w:tc>
          <w:tcPr>
            <w:tcW w:w="82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　</w:t>
            </w: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8</w:t>
            </w:r>
          </w:p>
        </w:tc>
        <w:tc>
          <w:tcPr>
            <w:tcW w:w="2231"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阀门（过滤器、铜阀、蝶阀、截止阀、闸阀、防爆波阀、止回阀、浮球阀、自动排气阀）DN＞50,阀体球墨铸铁</w:t>
            </w:r>
          </w:p>
        </w:tc>
        <w:tc>
          <w:tcPr>
            <w:tcW w:w="114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天津凯世通</w:t>
            </w:r>
          </w:p>
        </w:tc>
        <w:tc>
          <w:tcPr>
            <w:tcW w:w="103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上海凯斯特</w:t>
            </w:r>
          </w:p>
        </w:tc>
        <w:tc>
          <w:tcPr>
            <w:tcW w:w="102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上海欧特莱</w:t>
            </w:r>
          </w:p>
        </w:tc>
        <w:tc>
          <w:tcPr>
            <w:tcW w:w="945" w:type="dxa"/>
            <w:noWrap w:val="0"/>
            <w:vAlign w:val="center"/>
          </w:tcPr>
          <w:p>
            <w:pPr>
              <w:widowControl/>
              <w:jc w:val="center"/>
              <w:rPr>
                <w:rFonts w:hint="eastAsia"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lang w:val="en-US" w:eastAsia="zh-CN"/>
              </w:rPr>
              <w:t>厦门丹佛思</w:t>
            </w:r>
          </w:p>
        </w:tc>
        <w:tc>
          <w:tcPr>
            <w:tcW w:w="82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　</w:t>
            </w: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9</w:t>
            </w:r>
          </w:p>
        </w:tc>
        <w:tc>
          <w:tcPr>
            <w:tcW w:w="2231"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消防报警设备</w:t>
            </w:r>
          </w:p>
        </w:tc>
        <w:tc>
          <w:tcPr>
            <w:tcW w:w="114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秦皇岛海湾</w:t>
            </w:r>
          </w:p>
        </w:tc>
        <w:tc>
          <w:tcPr>
            <w:tcW w:w="103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北京利达</w:t>
            </w:r>
          </w:p>
        </w:tc>
        <w:tc>
          <w:tcPr>
            <w:tcW w:w="102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上海松江</w:t>
            </w:r>
          </w:p>
        </w:tc>
        <w:tc>
          <w:tcPr>
            <w:tcW w:w="94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北大青鸟</w:t>
            </w:r>
          </w:p>
        </w:tc>
        <w:tc>
          <w:tcPr>
            <w:tcW w:w="82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　</w:t>
            </w: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10</w:t>
            </w:r>
          </w:p>
        </w:tc>
        <w:tc>
          <w:tcPr>
            <w:tcW w:w="2231"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电气火灾监控设备、消防电源监控</w:t>
            </w:r>
          </w:p>
        </w:tc>
        <w:tc>
          <w:tcPr>
            <w:tcW w:w="114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深圳中电</w:t>
            </w:r>
          </w:p>
        </w:tc>
        <w:tc>
          <w:tcPr>
            <w:tcW w:w="103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北京利达</w:t>
            </w:r>
          </w:p>
        </w:tc>
        <w:tc>
          <w:tcPr>
            <w:tcW w:w="102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北京中消恒安</w:t>
            </w:r>
          </w:p>
        </w:tc>
        <w:tc>
          <w:tcPr>
            <w:tcW w:w="94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 xml:space="preserve"> </w:t>
            </w:r>
          </w:p>
        </w:tc>
        <w:tc>
          <w:tcPr>
            <w:tcW w:w="82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　</w:t>
            </w: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11</w:t>
            </w:r>
          </w:p>
        </w:tc>
        <w:tc>
          <w:tcPr>
            <w:tcW w:w="2231"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防火门监控</w:t>
            </w:r>
          </w:p>
        </w:tc>
        <w:tc>
          <w:tcPr>
            <w:tcW w:w="1140" w:type="dxa"/>
            <w:noWrap w:val="0"/>
            <w:vAlign w:val="center"/>
          </w:tcPr>
          <w:p>
            <w:pPr>
              <w:widowControl/>
              <w:jc w:val="center"/>
              <w:rPr>
                <w:rFonts w:hint="eastAsia" w:hAnsi="宋体" w:eastAsia="宋体" w:cs="宋体"/>
                <w:bCs w:val="0"/>
                <w:color w:val="auto"/>
                <w:kern w:val="0"/>
                <w:sz w:val="21"/>
                <w:szCs w:val="21"/>
                <w:highlight w:val="none"/>
                <w:lang w:eastAsia="zh-CN"/>
              </w:rPr>
            </w:pPr>
            <w:r>
              <w:rPr>
                <w:rFonts w:hint="eastAsia" w:hAnsi="宋体" w:eastAsia="宋体" w:cs="宋体"/>
                <w:bCs w:val="0"/>
                <w:color w:val="auto"/>
                <w:kern w:val="0"/>
                <w:sz w:val="21"/>
                <w:szCs w:val="21"/>
                <w:highlight w:val="none"/>
              </w:rPr>
              <w:t>上海松江</w:t>
            </w:r>
          </w:p>
        </w:tc>
        <w:tc>
          <w:tcPr>
            <w:tcW w:w="103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北京利达</w:t>
            </w:r>
          </w:p>
        </w:tc>
        <w:tc>
          <w:tcPr>
            <w:tcW w:w="1020" w:type="dxa"/>
            <w:noWrap w:val="0"/>
            <w:vAlign w:val="center"/>
          </w:tcPr>
          <w:p>
            <w:pPr>
              <w:widowControl/>
              <w:jc w:val="center"/>
              <w:rPr>
                <w:rFonts w:hint="eastAsia" w:hAnsi="宋体" w:eastAsia="宋体" w:cs="宋体"/>
                <w:bCs w:val="0"/>
                <w:color w:val="auto"/>
                <w:kern w:val="0"/>
                <w:sz w:val="21"/>
                <w:szCs w:val="21"/>
                <w:highlight w:val="none"/>
                <w:lang w:eastAsia="zh-CN"/>
              </w:rPr>
            </w:pPr>
            <w:r>
              <w:rPr>
                <w:rFonts w:hint="eastAsia" w:hAnsi="宋体" w:eastAsia="宋体" w:cs="宋体"/>
                <w:bCs w:val="0"/>
                <w:color w:val="auto"/>
                <w:kern w:val="0"/>
                <w:sz w:val="21"/>
                <w:szCs w:val="21"/>
                <w:highlight w:val="none"/>
              </w:rPr>
              <w:t>北大青鸟</w:t>
            </w:r>
          </w:p>
        </w:tc>
        <w:tc>
          <w:tcPr>
            <w:tcW w:w="94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秦皇岛海湾</w:t>
            </w:r>
          </w:p>
        </w:tc>
        <w:tc>
          <w:tcPr>
            <w:tcW w:w="825" w:type="dxa"/>
            <w:noWrap w:val="0"/>
            <w:vAlign w:val="center"/>
          </w:tcPr>
          <w:p>
            <w:pPr>
              <w:widowControl/>
              <w:jc w:val="center"/>
              <w:rPr>
                <w:rFonts w:hint="eastAsia" w:hAnsi="宋体" w:eastAsia="宋体" w:cs="宋体"/>
                <w:bCs w:val="0"/>
                <w:color w:val="auto"/>
                <w:kern w:val="0"/>
                <w:sz w:val="21"/>
                <w:szCs w:val="21"/>
                <w:highlight w:val="none"/>
              </w:rPr>
            </w:pP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12</w:t>
            </w:r>
          </w:p>
        </w:tc>
        <w:tc>
          <w:tcPr>
            <w:tcW w:w="2231"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智能应急照明系统</w:t>
            </w:r>
          </w:p>
        </w:tc>
        <w:tc>
          <w:tcPr>
            <w:tcW w:w="1140" w:type="dxa"/>
            <w:noWrap w:val="0"/>
            <w:vAlign w:val="center"/>
          </w:tcPr>
          <w:p>
            <w:pPr>
              <w:widowControl/>
              <w:jc w:val="center"/>
              <w:rPr>
                <w:rFonts w:hint="eastAsia"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rPr>
              <w:t>北京崇正</w:t>
            </w:r>
            <w:r>
              <w:rPr>
                <w:rFonts w:hint="eastAsia" w:hAnsi="宋体" w:eastAsia="宋体" w:cs="宋体"/>
                <w:bCs w:val="0"/>
                <w:color w:val="auto"/>
                <w:kern w:val="0"/>
                <w:sz w:val="21"/>
                <w:szCs w:val="21"/>
                <w:highlight w:val="none"/>
                <w:lang w:val="en-US" w:eastAsia="zh-CN"/>
              </w:rPr>
              <w:t>华盛</w:t>
            </w:r>
          </w:p>
        </w:tc>
        <w:tc>
          <w:tcPr>
            <w:tcW w:w="103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恒生智能</w:t>
            </w:r>
          </w:p>
        </w:tc>
        <w:tc>
          <w:tcPr>
            <w:tcW w:w="102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沈阳宏宇</w:t>
            </w:r>
          </w:p>
        </w:tc>
        <w:tc>
          <w:tcPr>
            <w:tcW w:w="94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西默电气　</w:t>
            </w:r>
          </w:p>
        </w:tc>
        <w:tc>
          <w:tcPr>
            <w:tcW w:w="82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　</w:t>
            </w: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9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13</w:t>
            </w:r>
          </w:p>
        </w:tc>
        <w:tc>
          <w:tcPr>
            <w:tcW w:w="2231"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风机、风口、风阀等</w:t>
            </w:r>
          </w:p>
        </w:tc>
        <w:tc>
          <w:tcPr>
            <w:tcW w:w="114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厦门好周到</w:t>
            </w:r>
          </w:p>
        </w:tc>
        <w:tc>
          <w:tcPr>
            <w:tcW w:w="103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厦门鹭江</w:t>
            </w:r>
          </w:p>
        </w:tc>
        <w:tc>
          <w:tcPr>
            <w:tcW w:w="102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浙江特风</w:t>
            </w:r>
          </w:p>
        </w:tc>
        <w:tc>
          <w:tcPr>
            <w:tcW w:w="94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　</w:t>
            </w:r>
          </w:p>
        </w:tc>
        <w:tc>
          <w:tcPr>
            <w:tcW w:w="82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　</w:t>
            </w: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14</w:t>
            </w:r>
          </w:p>
        </w:tc>
        <w:tc>
          <w:tcPr>
            <w:tcW w:w="2231" w:type="dxa"/>
            <w:noWrap w:val="0"/>
            <w:vAlign w:val="center"/>
          </w:tcPr>
          <w:p>
            <w:pPr>
              <w:widowControl/>
              <w:jc w:val="both"/>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lang w:val="en-US" w:eastAsia="zh-CN"/>
              </w:rPr>
              <w:t>复合型成品</w:t>
            </w:r>
            <w:r>
              <w:rPr>
                <w:rFonts w:hint="eastAsia" w:hAnsi="宋体" w:eastAsia="宋体" w:cs="宋体"/>
                <w:bCs w:val="0"/>
                <w:color w:val="auto"/>
                <w:kern w:val="0"/>
                <w:sz w:val="21"/>
                <w:szCs w:val="21"/>
                <w:highlight w:val="none"/>
              </w:rPr>
              <w:t>排烟风管</w:t>
            </w:r>
          </w:p>
        </w:tc>
        <w:tc>
          <w:tcPr>
            <w:tcW w:w="114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闽天利</w:t>
            </w:r>
          </w:p>
        </w:tc>
        <w:tc>
          <w:tcPr>
            <w:tcW w:w="1035" w:type="dxa"/>
            <w:noWrap w:val="0"/>
            <w:vAlign w:val="center"/>
          </w:tcPr>
          <w:p>
            <w:pPr>
              <w:widowControl/>
              <w:jc w:val="center"/>
              <w:rPr>
                <w:rFonts w:hint="eastAsia" w:hAnsi="宋体" w:eastAsia="宋体" w:cs="宋体"/>
                <w:bCs w:val="0"/>
                <w:color w:val="auto"/>
                <w:kern w:val="0"/>
                <w:sz w:val="21"/>
                <w:szCs w:val="21"/>
                <w:highlight w:val="none"/>
                <w:lang w:eastAsia="zh-CN"/>
              </w:rPr>
            </w:pPr>
            <w:r>
              <w:rPr>
                <w:rFonts w:hint="eastAsia" w:hAnsi="宋体" w:eastAsia="宋体" w:cs="宋体"/>
                <w:bCs w:val="0"/>
                <w:color w:val="auto"/>
                <w:kern w:val="0"/>
                <w:sz w:val="21"/>
                <w:szCs w:val="21"/>
                <w:highlight w:val="none"/>
                <w:lang w:val="en-US" w:eastAsia="zh-CN"/>
              </w:rPr>
              <w:t>软风科技</w:t>
            </w:r>
          </w:p>
        </w:tc>
        <w:tc>
          <w:tcPr>
            <w:tcW w:w="102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山东中威</w:t>
            </w:r>
          </w:p>
        </w:tc>
        <w:tc>
          <w:tcPr>
            <w:tcW w:w="94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 xml:space="preserve">厦门奇相 </w:t>
            </w:r>
          </w:p>
        </w:tc>
        <w:tc>
          <w:tcPr>
            <w:tcW w:w="82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 xml:space="preserve"> </w:t>
            </w: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15</w:t>
            </w:r>
          </w:p>
        </w:tc>
        <w:tc>
          <w:tcPr>
            <w:tcW w:w="2231"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抗震支吊架</w:t>
            </w:r>
          </w:p>
        </w:tc>
        <w:tc>
          <w:tcPr>
            <w:tcW w:w="114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 xml:space="preserve">喜立得 </w:t>
            </w:r>
          </w:p>
        </w:tc>
        <w:tc>
          <w:tcPr>
            <w:tcW w:w="1035" w:type="dxa"/>
            <w:noWrap w:val="0"/>
            <w:vAlign w:val="center"/>
          </w:tcPr>
          <w:p>
            <w:pPr>
              <w:widowControl/>
              <w:jc w:val="center"/>
              <w:rPr>
                <w:rFonts w:hint="eastAsia" w:ascii="宋体" w:hAnsi="宋体" w:eastAsia="宋体" w:cs="宋体"/>
                <w:bCs w:val="0"/>
                <w:color w:val="auto"/>
                <w:kern w:val="0"/>
                <w:sz w:val="21"/>
                <w:szCs w:val="21"/>
                <w:highlight w:val="none"/>
                <w:lang w:val="en-US" w:eastAsia="zh-CN" w:bidi="ar-SA"/>
              </w:rPr>
            </w:pPr>
            <w:r>
              <w:rPr>
                <w:rFonts w:hint="eastAsia" w:hAnsi="宋体" w:eastAsia="宋体" w:cs="宋体"/>
                <w:bCs w:val="0"/>
                <w:color w:val="auto"/>
                <w:kern w:val="0"/>
                <w:sz w:val="21"/>
                <w:szCs w:val="21"/>
                <w:highlight w:val="none"/>
              </w:rPr>
              <w:t>中奇立泰</w:t>
            </w:r>
          </w:p>
        </w:tc>
        <w:tc>
          <w:tcPr>
            <w:tcW w:w="1020" w:type="dxa"/>
            <w:noWrap w:val="0"/>
            <w:vAlign w:val="center"/>
          </w:tcPr>
          <w:p>
            <w:pPr>
              <w:widowControl/>
              <w:jc w:val="center"/>
              <w:rPr>
                <w:rFonts w:hint="eastAsia" w:ascii="宋体" w:hAnsi="宋体" w:eastAsia="宋体" w:cs="宋体"/>
                <w:bCs w:val="0"/>
                <w:color w:val="auto"/>
                <w:kern w:val="0"/>
                <w:sz w:val="21"/>
                <w:szCs w:val="21"/>
                <w:highlight w:val="none"/>
                <w:lang w:val="en-US" w:eastAsia="zh-CN" w:bidi="ar-SA"/>
              </w:rPr>
            </w:pPr>
            <w:r>
              <w:rPr>
                <w:rFonts w:hint="eastAsia" w:hAnsi="宋体" w:eastAsia="宋体" w:cs="宋体"/>
                <w:bCs w:val="0"/>
                <w:color w:val="auto"/>
                <w:kern w:val="0"/>
                <w:sz w:val="21"/>
                <w:szCs w:val="21"/>
                <w:highlight w:val="none"/>
                <w:lang w:val="en-US" w:eastAsia="zh-CN"/>
              </w:rPr>
              <w:t>康佳顺</w:t>
            </w:r>
          </w:p>
        </w:tc>
        <w:tc>
          <w:tcPr>
            <w:tcW w:w="945" w:type="dxa"/>
            <w:noWrap w:val="0"/>
            <w:vAlign w:val="center"/>
          </w:tcPr>
          <w:p>
            <w:pPr>
              <w:widowControl/>
              <w:jc w:val="center"/>
              <w:rPr>
                <w:rFonts w:hint="eastAsia" w:hAnsi="宋体" w:eastAsia="宋体" w:cs="宋体"/>
                <w:bCs w:val="0"/>
                <w:color w:val="auto"/>
                <w:kern w:val="0"/>
                <w:sz w:val="21"/>
                <w:szCs w:val="21"/>
                <w:highlight w:val="none"/>
              </w:rPr>
            </w:pPr>
          </w:p>
        </w:tc>
        <w:tc>
          <w:tcPr>
            <w:tcW w:w="825" w:type="dxa"/>
            <w:noWrap w:val="0"/>
            <w:vAlign w:val="center"/>
          </w:tcPr>
          <w:p>
            <w:pPr>
              <w:widowControl/>
              <w:jc w:val="center"/>
              <w:rPr>
                <w:rFonts w:hint="eastAsia" w:hAnsi="宋体" w:eastAsia="宋体" w:cs="宋体"/>
                <w:bCs w:val="0"/>
                <w:color w:val="auto"/>
                <w:kern w:val="0"/>
                <w:sz w:val="21"/>
                <w:szCs w:val="21"/>
                <w:highlight w:val="none"/>
              </w:rPr>
            </w:pP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9996" w:type="dxa"/>
            <w:gridSpan w:val="10"/>
            <w:noWrap w:val="0"/>
            <w:vAlign w:val="center"/>
          </w:tcPr>
          <w:p>
            <w:pPr>
              <w:widowControl/>
              <w:jc w:val="center"/>
              <w:rPr>
                <w:rFonts w:hint="eastAsia" w:hAnsi="宋体" w:eastAsia="宋体" w:cs="宋体"/>
                <w:b/>
                <w:color w:val="auto"/>
                <w:kern w:val="0"/>
                <w:sz w:val="21"/>
                <w:szCs w:val="21"/>
                <w:highlight w:val="none"/>
              </w:rPr>
            </w:pPr>
            <w:r>
              <w:rPr>
                <w:rFonts w:hint="eastAsia" w:hAnsi="宋体" w:eastAsia="宋体" w:cs="宋体"/>
                <w:b/>
                <w:color w:val="auto"/>
                <w:kern w:val="0"/>
                <w:sz w:val="21"/>
                <w:szCs w:val="21"/>
                <w:highlight w:val="none"/>
              </w:rPr>
              <w:t>给排水工程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ign w:val="center"/>
          </w:tcPr>
          <w:p>
            <w:pPr>
              <w:widowControl/>
              <w:jc w:val="center"/>
              <w:rPr>
                <w:rFonts w:hint="default" w:hAnsi="宋体" w:eastAsia="宋体" w:cs="宋体"/>
                <w:bCs/>
                <w:color w:val="auto"/>
                <w:kern w:val="0"/>
                <w:sz w:val="21"/>
                <w:szCs w:val="21"/>
                <w:highlight w:val="none"/>
                <w:lang w:val="en-US" w:eastAsia="zh-CN"/>
              </w:rPr>
            </w:pPr>
            <w:r>
              <w:rPr>
                <w:rFonts w:hint="eastAsia" w:hAnsi="宋体" w:eastAsia="宋体" w:cs="宋体"/>
                <w:bCs/>
                <w:color w:val="auto"/>
                <w:kern w:val="0"/>
                <w:sz w:val="21"/>
                <w:szCs w:val="21"/>
                <w:highlight w:val="none"/>
                <w:lang w:val="en-US" w:eastAsia="zh-CN"/>
              </w:rPr>
              <w:t>1</w:t>
            </w:r>
          </w:p>
        </w:tc>
        <w:tc>
          <w:tcPr>
            <w:tcW w:w="2231"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生活变频给水设备</w:t>
            </w:r>
          </w:p>
        </w:tc>
        <w:tc>
          <w:tcPr>
            <w:tcW w:w="114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val="0"/>
                <w:color w:val="auto"/>
                <w:kern w:val="0"/>
                <w:sz w:val="21"/>
                <w:szCs w:val="21"/>
                <w:highlight w:val="none"/>
                <w:lang w:val="en-US" w:eastAsia="zh-CN"/>
              </w:rPr>
              <w:t>凯泉水泵</w:t>
            </w:r>
          </w:p>
        </w:tc>
        <w:tc>
          <w:tcPr>
            <w:tcW w:w="103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val="0"/>
                <w:color w:val="auto"/>
                <w:kern w:val="0"/>
                <w:sz w:val="21"/>
                <w:szCs w:val="21"/>
                <w:highlight w:val="none"/>
              </w:rPr>
              <w:t>山东双轮</w:t>
            </w:r>
          </w:p>
        </w:tc>
        <w:tc>
          <w:tcPr>
            <w:tcW w:w="102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val="0"/>
                <w:color w:val="auto"/>
                <w:kern w:val="0"/>
                <w:sz w:val="21"/>
                <w:szCs w:val="21"/>
                <w:highlight w:val="none"/>
              </w:rPr>
              <w:t>广州第一水泵厂</w:t>
            </w:r>
          </w:p>
        </w:tc>
        <w:tc>
          <w:tcPr>
            <w:tcW w:w="945" w:type="dxa"/>
            <w:noWrap w:val="0"/>
            <w:vAlign w:val="center"/>
          </w:tcPr>
          <w:p>
            <w:pPr>
              <w:widowControl/>
              <w:jc w:val="center"/>
              <w:rPr>
                <w:rFonts w:hint="eastAsia" w:hAnsi="宋体" w:eastAsia="宋体" w:cs="宋体"/>
                <w:bCs/>
                <w:color w:val="auto"/>
                <w:kern w:val="0"/>
                <w:sz w:val="21"/>
                <w:szCs w:val="21"/>
                <w:highlight w:val="none"/>
              </w:rPr>
            </w:pPr>
          </w:p>
        </w:tc>
        <w:tc>
          <w:tcPr>
            <w:tcW w:w="825" w:type="dxa"/>
            <w:noWrap w:val="0"/>
            <w:vAlign w:val="center"/>
          </w:tcPr>
          <w:p>
            <w:pPr>
              <w:widowControl/>
              <w:jc w:val="center"/>
              <w:rPr>
                <w:rFonts w:hint="eastAsia" w:hAnsi="宋体" w:eastAsia="宋体" w:cs="宋体"/>
                <w:bCs/>
                <w:color w:val="auto"/>
                <w:kern w:val="0"/>
                <w:sz w:val="21"/>
                <w:szCs w:val="21"/>
                <w:highlight w:val="none"/>
              </w:rPr>
            </w:pPr>
          </w:p>
        </w:tc>
        <w:tc>
          <w:tcPr>
            <w:tcW w:w="735" w:type="dxa"/>
            <w:noWrap w:val="0"/>
            <w:vAlign w:val="center"/>
          </w:tcPr>
          <w:p>
            <w:pPr>
              <w:widowControl/>
              <w:jc w:val="center"/>
              <w:rPr>
                <w:rFonts w:hint="eastAsia" w:hAnsi="宋体" w:eastAsia="宋体" w:cs="宋体"/>
                <w:bCs/>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2</w:t>
            </w:r>
          </w:p>
        </w:tc>
        <w:tc>
          <w:tcPr>
            <w:tcW w:w="2231"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生活变频给水设备变频器</w:t>
            </w:r>
          </w:p>
        </w:tc>
        <w:tc>
          <w:tcPr>
            <w:tcW w:w="114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丹佛斯</w:t>
            </w:r>
          </w:p>
        </w:tc>
        <w:tc>
          <w:tcPr>
            <w:tcW w:w="103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ABB</w:t>
            </w:r>
          </w:p>
        </w:tc>
        <w:tc>
          <w:tcPr>
            <w:tcW w:w="102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西门子</w:t>
            </w:r>
          </w:p>
        </w:tc>
        <w:tc>
          <w:tcPr>
            <w:tcW w:w="94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　</w:t>
            </w:r>
          </w:p>
        </w:tc>
        <w:tc>
          <w:tcPr>
            <w:tcW w:w="82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　</w:t>
            </w:r>
          </w:p>
        </w:tc>
        <w:tc>
          <w:tcPr>
            <w:tcW w:w="735" w:type="dxa"/>
            <w:noWrap w:val="0"/>
            <w:vAlign w:val="center"/>
          </w:tcPr>
          <w:p>
            <w:pPr>
              <w:widowControl/>
              <w:jc w:val="center"/>
              <w:rPr>
                <w:rFonts w:hint="eastAsia" w:hAnsi="宋体" w:eastAsia="宋体" w:cs="宋体"/>
                <w:bCs/>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ign w:val="center"/>
          </w:tcPr>
          <w:p>
            <w:pPr>
              <w:widowControl/>
              <w:jc w:val="center"/>
              <w:rPr>
                <w:rFonts w:hint="default" w:cs="宋体"/>
                <w:bCs/>
                <w:color w:val="auto"/>
                <w:kern w:val="0"/>
                <w:sz w:val="21"/>
                <w:szCs w:val="21"/>
                <w:highlight w:val="none"/>
                <w:lang w:val="en-US" w:eastAsia="zh-CN"/>
              </w:rPr>
            </w:pPr>
            <w:r>
              <w:rPr>
                <w:rFonts w:hint="eastAsia" w:cs="宋体"/>
                <w:bCs/>
                <w:color w:val="auto"/>
                <w:kern w:val="0"/>
                <w:sz w:val="21"/>
                <w:szCs w:val="21"/>
                <w:highlight w:val="none"/>
                <w:lang w:val="en-US" w:eastAsia="zh-CN"/>
              </w:rPr>
              <w:t>3</w:t>
            </w:r>
          </w:p>
        </w:tc>
        <w:tc>
          <w:tcPr>
            <w:tcW w:w="2231" w:type="dxa"/>
            <w:noWrap w:val="0"/>
            <w:vAlign w:val="center"/>
          </w:tcPr>
          <w:p>
            <w:pPr>
              <w:widowControl/>
              <w:jc w:val="center"/>
              <w:rPr>
                <w:rFonts w:hint="eastAsia" w:hAnsi="宋体" w:eastAsia="宋体" w:cs="宋体"/>
                <w:bCs/>
                <w:color w:val="auto"/>
                <w:kern w:val="0"/>
                <w:sz w:val="21"/>
                <w:szCs w:val="21"/>
                <w:highlight w:val="none"/>
                <w:lang w:val="en-US" w:eastAsia="zh-CN"/>
              </w:rPr>
            </w:pPr>
            <w:r>
              <w:rPr>
                <w:rFonts w:hint="eastAsia" w:hAnsi="宋体" w:eastAsia="宋体" w:cs="宋体"/>
                <w:bCs/>
                <w:color w:val="auto"/>
                <w:kern w:val="0"/>
                <w:sz w:val="21"/>
                <w:szCs w:val="21"/>
                <w:highlight w:val="none"/>
              </w:rPr>
              <w:t>空气源热泵</w:t>
            </w:r>
          </w:p>
        </w:tc>
        <w:tc>
          <w:tcPr>
            <w:tcW w:w="1140" w:type="dxa"/>
            <w:noWrap w:val="0"/>
            <w:vAlign w:val="center"/>
          </w:tcPr>
          <w:p>
            <w:pPr>
              <w:widowControl/>
              <w:jc w:val="center"/>
              <w:rPr>
                <w:rFonts w:hint="eastAsia" w:hAnsi="宋体" w:eastAsia="宋体" w:cs="宋体"/>
                <w:bCs/>
                <w:color w:val="auto"/>
                <w:kern w:val="0"/>
                <w:sz w:val="21"/>
                <w:szCs w:val="21"/>
                <w:highlight w:val="none"/>
                <w:lang w:val="en-US" w:eastAsia="zh-CN"/>
              </w:rPr>
            </w:pPr>
            <w:r>
              <w:rPr>
                <w:rFonts w:hint="eastAsia" w:hAnsi="宋体" w:eastAsia="宋体" w:cs="宋体"/>
                <w:bCs/>
                <w:color w:val="auto"/>
                <w:kern w:val="0"/>
                <w:sz w:val="21"/>
                <w:szCs w:val="21"/>
                <w:highlight w:val="none"/>
              </w:rPr>
              <w:t>格力</w:t>
            </w:r>
          </w:p>
        </w:tc>
        <w:tc>
          <w:tcPr>
            <w:tcW w:w="1035" w:type="dxa"/>
            <w:noWrap w:val="0"/>
            <w:vAlign w:val="center"/>
          </w:tcPr>
          <w:p>
            <w:pPr>
              <w:widowControl/>
              <w:jc w:val="center"/>
              <w:rPr>
                <w:rFonts w:hint="eastAsia" w:hAnsi="宋体" w:eastAsia="宋体" w:cs="宋体"/>
                <w:bCs/>
                <w:color w:val="auto"/>
                <w:kern w:val="0"/>
                <w:sz w:val="21"/>
                <w:szCs w:val="21"/>
                <w:highlight w:val="none"/>
                <w:lang w:val="en-US" w:eastAsia="zh-CN"/>
              </w:rPr>
            </w:pPr>
            <w:r>
              <w:rPr>
                <w:rFonts w:hint="eastAsia" w:hAnsi="宋体" w:eastAsia="宋体" w:cs="宋体"/>
                <w:bCs/>
                <w:color w:val="auto"/>
                <w:kern w:val="0"/>
                <w:sz w:val="21"/>
                <w:szCs w:val="21"/>
                <w:highlight w:val="none"/>
              </w:rPr>
              <w:t>美的</w:t>
            </w:r>
          </w:p>
        </w:tc>
        <w:tc>
          <w:tcPr>
            <w:tcW w:w="1020" w:type="dxa"/>
            <w:noWrap w:val="0"/>
            <w:vAlign w:val="center"/>
          </w:tcPr>
          <w:p>
            <w:pPr>
              <w:widowControl/>
              <w:jc w:val="center"/>
              <w:rPr>
                <w:rFonts w:hint="eastAsia" w:hAnsi="宋体" w:eastAsia="宋体" w:cs="宋体"/>
                <w:bCs/>
                <w:color w:val="auto"/>
                <w:kern w:val="0"/>
                <w:sz w:val="21"/>
                <w:szCs w:val="21"/>
                <w:highlight w:val="none"/>
                <w:lang w:val="en-US" w:eastAsia="zh-CN"/>
              </w:rPr>
            </w:pPr>
            <w:r>
              <w:rPr>
                <w:rFonts w:hint="eastAsia" w:hAnsi="宋体" w:eastAsia="宋体" w:cs="宋体"/>
                <w:bCs/>
                <w:color w:val="auto"/>
                <w:kern w:val="0"/>
                <w:sz w:val="21"/>
                <w:szCs w:val="21"/>
                <w:highlight w:val="none"/>
              </w:rPr>
              <w:t>天舒</w:t>
            </w:r>
          </w:p>
        </w:tc>
        <w:tc>
          <w:tcPr>
            <w:tcW w:w="945" w:type="dxa"/>
            <w:noWrap w:val="0"/>
            <w:vAlign w:val="center"/>
          </w:tcPr>
          <w:p>
            <w:pPr>
              <w:widowControl/>
              <w:jc w:val="both"/>
              <w:rPr>
                <w:rFonts w:hint="eastAsia" w:hAnsi="宋体" w:eastAsia="宋体" w:cs="宋体"/>
                <w:bCs/>
                <w:color w:val="auto"/>
                <w:kern w:val="0"/>
                <w:sz w:val="21"/>
                <w:szCs w:val="21"/>
                <w:highlight w:val="none"/>
              </w:rPr>
            </w:pPr>
          </w:p>
        </w:tc>
        <w:tc>
          <w:tcPr>
            <w:tcW w:w="825" w:type="dxa"/>
            <w:noWrap w:val="0"/>
            <w:vAlign w:val="center"/>
          </w:tcPr>
          <w:p>
            <w:pPr>
              <w:widowControl/>
              <w:jc w:val="center"/>
              <w:rPr>
                <w:rFonts w:hint="eastAsia" w:hAnsi="宋体" w:eastAsia="宋体" w:cs="宋体"/>
                <w:bCs/>
                <w:color w:val="auto"/>
                <w:kern w:val="0"/>
                <w:sz w:val="21"/>
                <w:szCs w:val="21"/>
                <w:highlight w:val="none"/>
              </w:rPr>
            </w:pPr>
          </w:p>
        </w:tc>
        <w:tc>
          <w:tcPr>
            <w:tcW w:w="735" w:type="dxa"/>
            <w:noWrap w:val="0"/>
            <w:vAlign w:val="center"/>
          </w:tcPr>
          <w:p>
            <w:pPr>
              <w:widowControl/>
              <w:jc w:val="center"/>
              <w:rPr>
                <w:rFonts w:hint="eastAsia" w:hAnsi="宋体" w:eastAsia="宋体" w:cs="宋体"/>
                <w:bCs/>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ign w:val="center"/>
          </w:tcPr>
          <w:p>
            <w:pPr>
              <w:widowControl/>
              <w:jc w:val="center"/>
              <w:rPr>
                <w:rFonts w:hint="default" w:hAnsi="宋体" w:eastAsia="宋体" w:cs="宋体"/>
                <w:bCs/>
                <w:color w:val="auto"/>
                <w:kern w:val="0"/>
                <w:sz w:val="21"/>
                <w:szCs w:val="21"/>
                <w:highlight w:val="none"/>
                <w:lang w:val="en-US" w:eastAsia="zh-CN"/>
              </w:rPr>
            </w:pPr>
            <w:r>
              <w:rPr>
                <w:rFonts w:hint="eastAsia" w:cs="宋体"/>
                <w:bCs/>
                <w:color w:val="auto"/>
                <w:kern w:val="0"/>
                <w:sz w:val="21"/>
                <w:szCs w:val="21"/>
                <w:highlight w:val="none"/>
                <w:lang w:val="en-US" w:eastAsia="zh-CN"/>
              </w:rPr>
              <w:t>4</w:t>
            </w:r>
          </w:p>
        </w:tc>
        <w:tc>
          <w:tcPr>
            <w:tcW w:w="2231" w:type="dxa"/>
            <w:noWrap w:val="0"/>
            <w:vAlign w:val="center"/>
          </w:tcPr>
          <w:p>
            <w:pPr>
              <w:widowControl/>
              <w:jc w:val="center"/>
              <w:rPr>
                <w:rFonts w:hint="eastAsia" w:ascii="宋体" w:hAnsi="宋体" w:eastAsia="宋体" w:cs="宋体"/>
                <w:bCs/>
                <w:color w:val="auto"/>
                <w:kern w:val="0"/>
                <w:sz w:val="20"/>
                <w:highlight w:val="none"/>
                <w:lang w:val="en-US" w:eastAsia="zh-CN" w:bidi="ar-SA"/>
              </w:rPr>
            </w:pPr>
            <w:r>
              <w:rPr>
                <w:rFonts w:hint="eastAsia" w:hAnsi="宋体" w:eastAsia="宋体" w:cs="宋体"/>
                <w:bCs/>
                <w:color w:val="auto"/>
                <w:kern w:val="0"/>
                <w:sz w:val="20"/>
                <w:highlight w:val="none"/>
              </w:rPr>
              <w:t>污水泵</w:t>
            </w:r>
            <w:r>
              <w:rPr>
                <w:rFonts w:hint="eastAsia" w:hAnsi="宋体" w:eastAsia="宋体" w:cs="宋体"/>
                <w:bCs/>
                <w:color w:val="auto"/>
                <w:kern w:val="0"/>
                <w:sz w:val="20"/>
                <w:highlight w:val="none"/>
                <w:lang w:eastAsia="zh-CN"/>
              </w:rPr>
              <w:t>、</w:t>
            </w:r>
            <w:r>
              <w:rPr>
                <w:rFonts w:hint="eastAsia" w:hAnsi="宋体" w:eastAsia="宋体" w:cs="宋体"/>
                <w:bCs/>
                <w:color w:val="auto"/>
                <w:kern w:val="0"/>
                <w:sz w:val="20"/>
                <w:highlight w:val="none"/>
                <w:lang w:val="en-US" w:eastAsia="zh-CN"/>
              </w:rPr>
              <w:t>雨水提升泵</w:t>
            </w:r>
          </w:p>
        </w:tc>
        <w:tc>
          <w:tcPr>
            <w:tcW w:w="1140" w:type="dxa"/>
            <w:noWrap w:val="0"/>
            <w:vAlign w:val="center"/>
          </w:tcPr>
          <w:p>
            <w:pPr>
              <w:widowControl/>
              <w:jc w:val="center"/>
              <w:rPr>
                <w:rFonts w:hint="eastAsia" w:ascii="宋体" w:hAnsi="宋体" w:eastAsia="宋体" w:cs="宋体"/>
                <w:bCs/>
                <w:color w:val="auto"/>
                <w:kern w:val="0"/>
                <w:sz w:val="20"/>
                <w:highlight w:val="none"/>
                <w:lang w:val="en-US" w:eastAsia="zh-CN" w:bidi="ar-SA"/>
              </w:rPr>
            </w:pPr>
            <w:r>
              <w:rPr>
                <w:rFonts w:hint="eastAsia" w:hAnsi="宋体" w:cs="宋体"/>
                <w:bCs w:val="0"/>
                <w:color w:val="auto"/>
                <w:kern w:val="0"/>
                <w:sz w:val="20"/>
                <w:highlight w:val="none"/>
                <w:lang w:val="en-US" w:eastAsia="zh-CN"/>
              </w:rPr>
              <w:t>凯泉水泵</w:t>
            </w:r>
          </w:p>
        </w:tc>
        <w:tc>
          <w:tcPr>
            <w:tcW w:w="1035" w:type="dxa"/>
            <w:noWrap w:val="0"/>
            <w:vAlign w:val="center"/>
          </w:tcPr>
          <w:p>
            <w:pPr>
              <w:widowControl/>
              <w:jc w:val="center"/>
              <w:rPr>
                <w:rFonts w:hint="eastAsia" w:ascii="宋体" w:hAnsi="宋体" w:eastAsia="宋体" w:cs="宋体"/>
                <w:bCs/>
                <w:color w:val="auto"/>
                <w:kern w:val="0"/>
                <w:sz w:val="20"/>
                <w:highlight w:val="none"/>
                <w:lang w:val="en-US" w:eastAsia="zh-CN" w:bidi="ar-SA"/>
              </w:rPr>
            </w:pPr>
            <w:r>
              <w:rPr>
                <w:rFonts w:hint="eastAsia" w:hAnsi="宋体" w:cs="宋体"/>
                <w:bCs w:val="0"/>
                <w:color w:val="auto"/>
                <w:kern w:val="0"/>
                <w:sz w:val="20"/>
                <w:highlight w:val="none"/>
              </w:rPr>
              <w:t>山东双轮</w:t>
            </w:r>
          </w:p>
        </w:tc>
        <w:tc>
          <w:tcPr>
            <w:tcW w:w="1020" w:type="dxa"/>
            <w:noWrap w:val="0"/>
            <w:vAlign w:val="center"/>
          </w:tcPr>
          <w:p>
            <w:pPr>
              <w:widowControl/>
              <w:jc w:val="center"/>
              <w:rPr>
                <w:rFonts w:hint="eastAsia" w:ascii="宋体" w:hAnsi="宋体" w:eastAsia="宋体" w:cs="宋体"/>
                <w:bCs/>
                <w:color w:val="auto"/>
                <w:kern w:val="0"/>
                <w:sz w:val="20"/>
                <w:highlight w:val="none"/>
                <w:lang w:val="en-US" w:eastAsia="zh-CN" w:bidi="ar-SA"/>
              </w:rPr>
            </w:pPr>
            <w:r>
              <w:rPr>
                <w:rFonts w:hint="eastAsia" w:hAnsi="宋体" w:cs="宋体"/>
                <w:bCs w:val="0"/>
                <w:color w:val="auto"/>
                <w:kern w:val="0"/>
                <w:sz w:val="20"/>
                <w:highlight w:val="none"/>
              </w:rPr>
              <w:t>广州第一水泵厂</w:t>
            </w:r>
          </w:p>
        </w:tc>
        <w:tc>
          <w:tcPr>
            <w:tcW w:w="945" w:type="dxa"/>
            <w:noWrap w:val="0"/>
            <w:vAlign w:val="center"/>
          </w:tcPr>
          <w:p>
            <w:pPr>
              <w:widowControl/>
              <w:jc w:val="both"/>
              <w:rPr>
                <w:rFonts w:hint="eastAsia" w:hAnsi="宋体" w:eastAsia="宋体" w:cs="宋体"/>
                <w:bCs/>
                <w:color w:val="auto"/>
                <w:kern w:val="0"/>
                <w:sz w:val="21"/>
                <w:szCs w:val="21"/>
                <w:highlight w:val="none"/>
              </w:rPr>
            </w:pPr>
          </w:p>
        </w:tc>
        <w:tc>
          <w:tcPr>
            <w:tcW w:w="825" w:type="dxa"/>
            <w:noWrap w:val="0"/>
            <w:vAlign w:val="center"/>
          </w:tcPr>
          <w:p>
            <w:pPr>
              <w:widowControl/>
              <w:jc w:val="center"/>
              <w:rPr>
                <w:rFonts w:hint="eastAsia" w:hAnsi="宋体" w:eastAsia="宋体" w:cs="宋体"/>
                <w:bCs/>
                <w:color w:val="auto"/>
                <w:kern w:val="0"/>
                <w:sz w:val="21"/>
                <w:szCs w:val="21"/>
                <w:highlight w:val="none"/>
              </w:rPr>
            </w:pPr>
          </w:p>
        </w:tc>
        <w:tc>
          <w:tcPr>
            <w:tcW w:w="735" w:type="dxa"/>
            <w:noWrap w:val="0"/>
            <w:vAlign w:val="center"/>
          </w:tcPr>
          <w:p>
            <w:pPr>
              <w:widowControl/>
              <w:jc w:val="center"/>
              <w:rPr>
                <w:rFonts w:hint="eastAsia" w:hAnsi="宋体" w:eastAsia="宋体" w:cs="宋体"/>
                <w:bCs/>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ign w:val="center"/>
          </w:tcPr>
          <w:p>
            <w:pPr>
              <w:widowControl/>
              <w:jc w:val="center"/>
              <w:rPr>
                <w:rFonts w:hint="default" w:hAnsi="宋体" w:eastAsia="宋体" w:cs="宋体"/>
                <w:bCs/>
                <w:color w:val="auto"/>
                <w:kern w:val="0"/>
                <w:sz w:val="21"/>
                <w:szCs w:val="21"/>
                <w:highlight w:val="none"/>
                <w:lang w:val="en-US" w:eastAsia="zh-CN"/>
              </w:rPr>
            </w:pPr>
            <w:r>
              <w:rPr>
                <w:rFonts w:hint="eastAsia" w:cs="宋体"/>
                <w:bCs/>
                <w:color w:val="auto"/>
                <w:kern w:val="0"/>
                <w:sz w:val="21"/>
                <w:szCs w:val="21"/>
                <w:highlight w:val="none"/>
                <w:lang w:val="en-US" w:eastAsia="zh-CN"/>
              </w:rPr>
              <w:t>5</w:t>
            </w:r>
          </w:p>
        </w:tc>
        <w:tc>
          <w:tcPr>
            <w:tcW w:w="2231" w:type="dxa"/>
            <w:noWrap w:val="0"/>
            <w:vAlign w:val="center"/>
          </w:tcPr>
          <w:p>
            <w:pPr>
              <w:widowControl/>
              <w:jc w:val="center"/>
              <w:rPr>
                <w:rFonts w:hint="eastAsia" w:ascii="宋体" w:hAnsi="宋体" w:eastAsia="宋体" w:cs="宋体"/>
                <w:bCs/>
                <w:color w:val="auto"/>
                <w:kern w:val="0"/>
                <w:sz w:val="20"/>
                <w:highlight w:val="none"/>
                <w:lang w:val="en-US" w:eastAsia="zh-CN" w:bidi="ar-SA"/>
              </w:rPr>
            </w:pPr>
            <w:r>
              <w:rPr>
                <w:rFonts w:hint="eastAsia" w:hAnsi="宋体" w:eastAsia="宋体" w:cs="宋体"/>
                <w:bCs/>
                <w:color w:val="auto"/>
                <w:kern w:val="0"/>
                <w:sz w:val="20"/>
                <w:highlight w:val="none"/>
              </w:rPr>
              <w:t>不锈钢水箱</w:t>
            </w:r>
          </w:p>
        </w:tc>
        <w:tc>
          <w:tcPr>
            <w:tcW w:w="1140" w:type="dxa"/>
            <w:noWrap w:val="0"/>
            <w:vAlign w:val="center"/>
          </w:tcPr>
          <w:p>
            <w:pPr>
              <w:widowControl/>
              <w:jc w:val="center"/>
              <w:rPr>
                <w:rFonts w:hint="eastAsia" w:ascii="宋体" w:hAnsi="宋体" w:eastAsia="宋体" w:cs="宋体"/>
                <w:bCs/>
                <w:color w:val="auto"/>
                <w:kern w:val="0"/>
                <w:sz w:val="20"/>
                <w:highlight w:val="none"/>
                <w:lang w:val="en-US" w:eastAsia="zh-CN" w:bidi="ar-SA"/>
              </w:rPr>
            </w:pPr>
            <w:r>
              <w:rPr>
                <w:rFonts w:hint="eastAsia" w:hAnsi="宋体" w:eastAsia="宋体" w:cs="宋体"/>
                <w:bCs/>
                <w:color w:val="auto"/>
                <w:kern w:val="0"/>
                <w:sz w:val="20"/>
                <w:highlight w:val="none"/>
              </w:rPr>
              <w:t>厦门蓝博</w:t>
            </w:r>
          </w:p>
        </w:tc>
        <w:tc>
          <w:tcPr>
            <w:tcW w:w="1035" w:type="dxa"/>
            <w:noWrap w:val="0"/>
            <w:vAlign w:val="center"/>
          </w:tcPr>
          <w:p>
            <w:pPr>
              <w:widowControl/>
              <w:jc w:val="center"/>
              <w:rPr>
                <w:rFonts w:hint="eastAsia" w:ascii="宋体" w:hAnsi="宋体" w:eastAsia="宋体" w:cs="宋体"/>
                <w:bCs/>
                <w:color w:val="auto"/>
                <w:kern w:val="0"/>
                <w:sz w:val="20"/>
                <w:highlight w:val="none"/>
                <w:lang w:val="en-US" w:eastAsia="zh-CN" w:bidi="ar-SA"/>
              </w:rPr>
            </w:pPr>
            <w:r>
              <w:rPr>
                <w:rFonts w:hint="eastAsia" w:hAnsi="宋体" w:eastAsia="宋体" w:cs="宋体"/>
                <w:bCs/>
                <w:color w:val="auto"/>
                <w:kern w:val="0"/>
                <w:sz w:val="20"/>
                <w:highlight w:val="none"/>
              </w:rPr>
              <w:t>厦门鑫三角</w:t>
            </w:r>
          </w:p>
        </w:tc>
        <w:tc>
          <w:tcPr>
            <w:tcW w:w="1020" w:type="dxa"/>
            <w:noWrap w:val="0"/>
            <w:vAlign w:val="center"/>
          </w:tcPr>
          <w:p>
            <w:pPr>
              <w:widowControl/>
              <w:jc w:val="center"/>
              <w:rPr>
                <w:rFonts w:hint="eastAsia" w:ascii="宋体" w:hAnsi="宋体" w:eastAsia="宋体" w:cs="宋体"/>
                <w:bCs/>
                <w:color w:val="auto"/>
                <w:kern w:val="0"/>
                <w:sz w:val="20"/>
                <w:highlight w:val="none"/>
                <w:lang w:val="en-US" w:eastAsia="zh-CN" w:bidi="ar-SA"/>
              </w:rPr>
            </w:pPr>
            <w:r>
              <w:rPr>
                <w:rFonts w:hint="eastAsia" w:hAnsi="宋体" w:eastAsia="宋体" w:cs="宋体"/>
                <w:bCs/>
                <w:color w:val="auto"/>
                <w:kern w:val="0"/>
                <w:sz w:val="20"/>
                <w:highlight w:val="none"/>
              </w:rPr>
              <w:t>厦门建宏毅</w:t>
            </w:r>
          </w:p>
        </w:tc>
        <w:tc>
          <w:tcPr>
            <w:tcW w:w="945" w:type="dxa"/>
            <w:noWrap w:val="0"/>
            <w:vAlign w:val="center"/>
          </w:tcPr>
          <w:p>
            <w:pPr>
              <w:widowControl/>
              <w:jc w:val="both"/>
              <w:rPr>
                <w:rFonts w:hint="eastAsia" w:hAnsi="宋体" w:eastAsia="宋体" w:cs="宋体"/>
                <w:bCs/>
                <w:color w:val="auto"/>
                <w:kern w:val="0"/>
                <w:sz w:val="21"/>
                <w:szCs w:val="21"/>
                <w:highlight w:val="none"/>
              </w:rPr>
            </w:pPr>
          </w:p>
        </w:tc>
        <w:tc>
          <w:tcPr>
            <w:tcW w:w="825" w:type="dxa"/>
            <w:noWrap w:val="0"/>
            <w:vAlign w:val="center"/>
          </w:tcPr>
          <w:p>
            <w:pPr>
              <w:widowControl/>
              <w:jc w:val="center"/>
              <w:rPr>
                <w:rFonts w:hint="eastAsia" w:hAnsi="宋体" w:eastAsia="宋体" w:cs="宋体"/>
                <w:bCs/>
                <w:color w:val="auto"/>
                <w:kern w:val="0"/>
                <w:sz w:val="21"/>
                <w:szCs w:val="21"/>
                <w:highlight w:val="none"/>
              </w:rPr>
            </w:pPr>
          </w:p>
        </w:tc>
        <w:tc>
          <w:tcPr>
            <w:tcW w:w="735" w:type="dxa"/>
            <w:noWrap w:val="0"/>
            <w:vAlign w:val="center"/>
          </w:tcPr>
          <w:p>
            <w:pPr>
              <w:widowControl/>
              <w:jc w:val="center"/>
              <w:rPr>
                <w:rFonts w:hint="eastAsia" w:hAnsi="宋体" w:eastAsia="宋体" w:cs="宋体"/>
                <w:bCs/>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ign w:val="center"/>
          </w:tcPr>
          <w:p>
            <w:pPr>
              <w:widowControl/>
              <w:jc w:val="center"/>
              <w:rPr>
                <w:rFonts w:hint="eastAsia" w:hAnsi="宋体" w:eastAsia="宋体" w:cs="宋体"/>
                <w:bCs/>
                <w:color w:val="auto"/>
                <w:kern w:val="0"/>
                <w:sz w:val="21"/>
                <w:szCs w:val="21"/>
                <w:highlight w:val="none"/>
              </w:rPr>
            </w:pPr>
            <w:r>
              <w:rPr>
                <w:rFonts w:hint="eastAsia" w:cs="宋体"/>
                <w:bCs/>
                <w:color w:val="auto"/>
                <w:kern w:val="0"/>
                <w:sz w:val="21"/>
                <w:szCs w:val="21"/>
                <w:highlight w:val="none"/>
                <w:lang w:val="en-US" w:eastAsia="zh-CN"/>
              </w:rPr>
              <w:t>6</w:t>
            </w:r>
          </w:p>
        </w:tc>
        <w:tc>
          <w:tcPr>
            <w:tcW w:w="2231"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污水泵</w:t>
            </w:r>
            <w:r>
              <w:rPr>
                <w:rFonts w:hint="eastAsia" w:hAnsi="宋体" w:eastAsia="宋体" w:cs="宋体"/>
                <w:bCs/>
                <w:color w:val="auto"/>
                <w:kern w:val="0"/>
                <w:sz w:val="21"/>
                <w:szCs w:val="21"/>
                <w:highlight w:val="none"/>
                <w:lang w:eastAsia="zh-CN"/>
              </w:rPr>
              <w:t>、</w:t>
            </w:r>
            <w:r>
              <w:rPr>
                <w:rFonts w:hint="eastAsia" w:hAnsi="宋体" w:eastAsia="宋体" w:cs="宋体"/>
                <w:bCs/>
                <w:color w:val="auto"/>
                <w:kern w:val="0"/>
                <w:sz w:val="21"/>
                <w:szCs w:val="21"/>
                <w:highlight w:val="none"/>
                <w:lang w:val="en-US" w:eastAsia="zh-CN"/>
              </w:rPr>
              <w:t>雨水提升泵</w:t>
            </w:r>
          </w:p>
        </w:tc>
        <w:tc>
          <w:tcPr>
            <w:tcW w:w="114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val="0"/>
                <w:color w:val="auto"/>
                <w:kern w:val="0"/>
                <w:sz w:val="21"/>
                <w:szCs w:val="21"/>
                <w:highlight w:val="none"/>
                <w:lang w:val="en-US" w:eastAsia="zh-CN"/>
              </w:rPr>
              <w:t>凯泉水泵</w:t>
            </w:r>
          </w:p>
        </w:tc>
        <w:tc>
          <w:tcPr>
            <w:tcW w:w="103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val="0"/>
                <w:color w:val="auto"/>
                <w:kern w:val="0"/>
                <w:sz w:val="21"/>
                <w:szCs w:val="21"/>
                <w:highlight w:val="none"/>
              </w:rPr>
              <w:t>山东双轮</w:t>
            </w:r>
          </w:p>
        </w:tc>
        <w:tc>
          <w:tcPr>
            <w:tcW w:w="102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val="0"/>
                <w:color w:val="auto"/>
                <w:kern w:val="0"/>
                <w:sz w:val="21"/>
                <w:szCs w:val="21"/>
                <w:highlight w:val="none"/>
              </w:rPr>
              <w:t>广州第一水泵厂</w:t>
            </w:r>
          </w:p>
        </w:tc>
        <w:tc>
          <w:tcPr>
            <w:tcW w:w="945" w:type="dxa"/>
            <w:noWrap w:val="0"/>
            <w:vAlign w:val="center"/>
          </w:tcPr>
          <w:p>
            <w:pPr>
              <w:widowControl/>
              <w:jc w:val="both"/>
              <w:rPr>
                <w:rFonts w:hint="eastAsia" w:hAnsi="宋体" w:eastAsia="宋体" w:cs="宋体"/>
                <w:bCs/>
                <w:color w:val="auto"/>
                <w:kern w:val="0"/>
                <w:sz w:val="21"/>
                <w:szCs w:val="21"/>
                <w:highlight w:val="none"/>
              </w:rPr>
            </w:pPr>
          </w:p>
        </w:tc>
        <w:tc>
          <w:tcPr>
            <w:tcW w:w="82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　</w:t>
            </w:r>
          </w:p>
        </w:tc>
        <w:tc>
          <w:tcPr>
            <w:tcW w:w="735" w:type="dxa"/>
            <w:noWrap w:val="0"/>
            <w:vAlign w:val="center"/>
          </w:tcPr>
          <w:p>
            <w:pPr>
              <w:widowControl/>
              <w:jc w:val="center"/>
              <w:rPr>
                <w:rFonts w:hint="eastAsia" w:hAnsi="宋体" w:eastAsia="宋体" w:cs="宋体"/>
                <w:bCs/>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590" w:type="dxa"/>
            <w:noWrap/>
            <w:vAlign w:val="center"/>
          </w:tcPr>
          <w:p>
            <w:pPr>
              <w:widowControl/>
              <w:jc w:val="center"/>
              <w:rPr>
                <w:rFonts w:hint="eastAsia" w:hAnsi="宋体" w:eastAsia="宋体" w:cs="宋体"/>
                <w:bCs/>
                <w:color w:val="auto"/>
                <w:kern w:val="0"/>
                <w:sz w:val="21"/>
                <w:szCs w:val="21"/>
                <w:highlight w:val="none"/>
                <w:lang w:val="en-US" w:eastAsia="zh-CN"/>
              </w:rPr>
            </w:pPr>
            <w:r>
              <w:rPr>
                <w:rFonts w:hint="eastAsia" w:cs="宋体"/>
                <w:bCs/>
                <w:color w:val="auto"/>
                <w:kern w:val="0"/>
                <w:sz w:val="21"/>
                <w:szCs w:val="21"/>
                <w:highlight w:val="none"/>
                <w:lang w:val="en-US" w:eastAsia="zh-CN"/>
              </w:rPr>
              <w:t>7</w:t>
            </w:r>
          </w:p>
        </w:tc>
        <w:tc>
          <w:tcPr>
            <w:tcW w:w="2231"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不锈钢水箱</w:t>
            </w:r>
          </w:p>
        </w:tc>
        <w:tc>
          <w:tcPr>
            <w:tcW w:w="114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厦门蓝博</w:t>
            </w:r>
          </w:p>
        </w:tc>
        <w:tc>
          <w:tcPr>
            <w:tcW w:w="103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厦门鑫三角</w:t>
            </w:r>
          </w:p>
        </w:tc>
        <w:tc>
          <w:tcPr>
            <w:tcW w:w="102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厦门建宏毅</w:t>
            </w:r>
          </w:p>
        </w:tc>
        <w:tc>
          <w:tcPr>
            <w:tcW w:w="94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　</w:t>
            </w:r>
          </w:p>
        </w:tc>
        <w:tc>
          <w:tcPr>
            <w:tcW w:w="82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　</w:t>
            </w:r>
          </w:p>
        </w:tc>
        <w:tc>
          <w:tcPr>
            <w:tcW w:w="735" w:type="dxa"/>
            <w:noWrap w:val="0"/>
            <w:vAlign w:val="center"/>
          </w:tcPr>
          <w:p>
            <w:pPr>
              <w:widowControl/>
              <w:jc w:val="center"/>
              <w:rPr>
                <w:rFonts w:hint="eastAsia" w:hAnsi="宋体" w:eastAsia="宋体" w:cs="宋体"/>
                <w:bCs/>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ign w:val="center"/>
          </w:tcPr>
          <w:p>
            <w:pPr>
              <w:widowControl/>
              <w:jc w:val="center"/>
              <w:rPr>
                <w:rFonts w:hint="eastAsia" w:hAnsi="宋体" w:eastAsia="宋体" w:cs="宋体"/>
                <w:bCs/>
                <w:color w:val="auto"/>
                <w:kern w:val="0"/>
                <w:sz w:val="21"/>
                <w:szCs w:val="21"/>
                <w:highlight w:val="none"/>
                <w:lang w:eastAsia="zh-CN"/>
              </w:rPr>
            </w:pPr>
            <w:r>
              <w:rPr>
                <w:rFonts w:hint="eastAsia" w:cs="宋体"/>
                <w:bCs/>
                <w:color w:val="auto"/>
                <w:kern w:val="0"/>
                <w:sz w:val="21"/>
                <w:szCs w:val="21"/>
                <w:highlight w:val="none"/>
                <w:lang w:val="en-US" w:eastAsia="zh-CN"/>
              </w:rPr>
              <w:t>8</w:t>
            </w:r>
          </w:p>
        </w:tc>
        <w:tc>
          <w:tcPr>
            <w:tcW w:w="2231"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阀门（过滤器、铜阀、截止阀）DN﹤50</w:t>
            </w:r>
          </w:p>
        </w:tc>
        <w:tc>
          <w:tcPr>
            <w:tcW w:w="114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宁波埃美柯</w:t>
            </w:r>
          </w:p>
        </w:tc>
        <w:tc>
          <w:tcPr>
            <w:tcW w:w="103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宁波杰克龙</w:t>
            </w:r>
          </w:p>
        </w:tc>
        <w:tc>
          <w:tcPr>
            <w:tcW w:w="102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江苏盾安</w:t>
            </w:r>
          </w:p>
        </w:tc>
        <w:tc>
          <w:tcPr>
            <w:tcW w:w="94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lang w:val="en-US" w:eastAsia="zh-CN"/>
              </w:rPr>
              <w:t>厦门丹佛思</w:t>
            </w:r>
          </w:p>
        </w:tc>
        <w:tc>
          <w:tcPr>
            <w:tcW w:w="82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 xml:space="preserve"> </w:t>
            </w:r>
          </w:p>
        </w:tc>
        <w:tc>
          <w:tcPr>
            <w:tcW w:w="735" w:type="dxa"/>
            <w:noWrap w:val="0"/>
            <w:vAlign w:val="center"/>
          </w:tcPr>
          <w:p>
            <w:pPr>
              <w:widowControl/>
              <w:jc w:val="center"/>
              <w:rPr>
                <w:rFonts w:hint="eastAsia" w:hAnsi="宋体" w:eastAsia="宋体" w:cs="宋体"/>
                <w:bCs/>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90" w:type="dxa"/>
            <w:noWrap/>
            <w:vAlign w:val="center"/>
          </w:tcPr>
          <w:p>
            <w:pPr>
              <w:widowControl/>
              <w:jc w:val="center"/>
              <w:rPr>
                <w:rFonts w:hint="default" w:hAnsi="宋体" w:eastAsia="宋体" w:cs="宋体"/>
                <w:bCs/>
                <w:color w:val="auto"/>
                <w:kern w:val="0"/>
                <w:sz w:val="21"/>
                <w:szCs w:val="21"/>
                <w:highlight w:val="none"/>
                <w:lang w:val="en-US" w:eastAsia="zh-CN"/>
              </w:rPr>
            </w:pPr>
            <w:r>
              <w:rPr>
                <w:rFonts w:hint="eastAsia" w:cs="宋体"/>
                <w:bCs/>
                <w:color w:val="auto"/>
                <w:kern w:val="0"/>
                <w:sz w:val="21"/>
                <w:szCs w:val="21"/>
                <w:highlight w:val="none"/>
                <w:lang w:val="en-US" w:eastAsia="zh-CN"/>
              </w:rPr>
              <w:t>9</w:t>
            </w:r>
          </w:p>
        </w:tc>
        <w:tc>
          <w:tcPr>
            <w:tcW w:w="2231"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阀门（过滤器、铜阀、蝶阀、截止阀、闸阀、防爆波阀、过滤器、止回阀、浮球阀、自动排气阀、压差控制阀、减压阀）DN≥50,阀体球墨铸铁</w:t>
            </w:r>
          </w:p>
        </w:tc>
        <w:tc>
          <w:tcPr>
            <w:tcW w:w="114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上海凯斯特</w:t>
            </w:r>
          </w:p>
        </w:tc>
        <w:tc>
          <w:tcPr>
            <w:tcW w:w="103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天津凯世通</w:t>
            </w:r>
          </w:p>
        </w:tc>
        <w:tc>
          <w:tcPr>
            <w:tcW w:w="102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上海欧特莱</w:t>
            </w:r>
          </w:p>
        </w:tc>
        <w:tc>
          <w:tcPr>
            <w:tcW w:w="94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lang w:val="en-US" w:eastAsia="zh-CN"/>
              </w:rPr>
              <w:t>厦门丹佛思</w:t>
            </w:r>
          </w:p>
        </w:tc>
        <w:tc>
          <w:tcPr>
            <w:tcW w:w="82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　</w:t>
            </w:r>
          </w:p>
        </w:tc>
        <w:tc>
          <w:tcPr>
            <w:tcW w:w="735" w:type="dxa"/>
            <w:noWrap w:val="0"/>
            <w:vAlign w:val="center"/>
          </w:tcPr>
          <w:p>
            <w:pPr>
              <w:widowControl/>
              <w:jc w:val="center"/>
              <w:rPr>
                <w:rFonts w:hint="eastAsia" w:hAnsi="宋体" w:eastAsia="宋体" w:cs="宋体"/>
                <w:bCs/>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ign w:val="center"/>
          </w:tcPr>
          <w:p>
            <w:pPr>
              <w:widowControl/>
              <w:jc w:val="center"/>
              <w:rPr>
                <w:rFonts w:hint="default" w:hAnsi="宋体" w:eastAsia="宋体" w:cs="宋体"/>
                <w:bCs/>
                <w:color w:val="auto"/>
                <w:kern w:val="0"/>
                <w:sz w:val="21"/>
                <w:szCs w:val="21"/>
                <w:highlight w:val="none"/>
                <w:lang w:val="en-US" w:eastAsia="zh-CN"/>
              </w:rPr>
            </w:pPr>
            <w:r>
              <w:rPr>
                <w:rFonts w:hint="eastAsia" w:cs="宋体"/>
                <w:bCs/>
                <w:color w:val="auto"/>
                <w:kern w:val="0"/>
                <w:sz w:val="21"/>
                <w:szCs w:val="21"/>
                <w:highlight w:val="none"/>
                <w:lang w:val="en-US" w:eastAsia="zh-CN"/>
              </w:rPr>
              <w:t>10</w:t>
            </w:r>
          </w:p>
        </w:tc>
        <w:tc>
          <w:tcPr>
            <w:tcW w:w="2231"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钢丝网骨架塑料(HDPE)复合管</w:t>
            </w:r>
          </w:p>
        </w:tc>
        <w:tc>
          <w:tcPr>
            <w:tcW w:w="114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常熟沙家浜</w:t>
            </w:r>
          </w:p>
        </w:tc>
        <w:tc>
          <w:tcPr>
            <w:tcW w:w="103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广东联塑</w:t>
            </w:r>
          </w:p>
        </w:tc>
        <w:tc>
          <w:tcPr>
            <w:tcW w:w="102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杭州纯源</w:t>
            </w:r>
          </w:p>
        </w:tc>
        <w:tc>
          <w:tcPr>
            <w:tcW w:w="94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　</w:t>
            </w:r>
          </w:p>
        </w:tc>
        <w:tc>
          <w:tcPr>
            <w:tcW w:w="82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　</w:t>
            </w:r>
          </w:p>
        </w:tc>
        <w:tc>
          <w:tcPr>
            <w:tcW w:w="735" w:type="dxa"/>
            <w:noWrap w:val="0"/>
            <w:vAlign w:val="center"/>
          </w:tcPr>
          <w:p>
            <w:pPr>
              <w:widowControl/>
              <w:jc w:val="center"/>
              <w:rPr>
                <w:rFonts w:hint="eastAsia" w:hAnsi="宋体" w:eastAsia="宋体" w:cs="宋体"/>
                <w:bCs/>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ign w:val="center"/>
          </w:tcPr>
          <w:p>
            <w:pPr>
              <w:widowControl/>
              <w:jc w:val="center"/>
              <w:rPr>
                <w:rFonts w:hint="default" w:hAnsi="宋体" w:eastAsia="宋体" w:cs="宋体"/>
                <w:bCs/>
                <w:color w:val="auto"/>
                <w:kern w:val="0"/>
                <w:sz w:val="21"/>
                <w:szCs w:val="21"/>
                <w:highlight w:val="none"/>
                <w:lang w:val="en-US" w:eastAsia="zh-CN"/>
              </w:rPr>
            </w:pPr>
            <w:r>
              <w:rPr>
                <w:rFonts w:hint="eastAsia" w:cs="宋体"/>
                <w:bCs/>
                <w:color w:val="auto"/>
                <w:kern w:val="0"/>
                <w:sz w:val="21"/>
                <w:szCs w:val="21"/>
                <w:highlight w:val="none"/>
                <w:lang w:val="en-US" w:eastAsia="zh-CN"/>
              </w:rPr>
              <w:t>11</w:t>
            </w:r>
          </w:p>
        </w:tc>
        <w:tc>
          <w:tcPr>
            <w:tcW w:w="2231"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涂塑复合钢管、涂覆钢管</w:t>
            </w:r>
          </w:p>
        </w:tc>
        <w:tc>
          <w:tcPr>
            <w:tcW w:w="114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广东联塑</w:t>
            </w:r>
          </w:p>
        </w:tc>
        <w:tc>
          <w:tcPr>
            <w:tcW w:w="103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杭州纯源</w:t>
            </w:r>
          </w:p>
        </w:tc>
        <w:tc>
          <w:tcPr>
            <w:tcW w:w="102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天津友发</w:t>
            </w:r>
          </w:p>
        </w:tc>
        <w:tc>
          <w:tcPr>
            <w:tcW w:w="94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　</w:t>
            </w:r>
          </w:p>
        </w:tc>
        <w:tc>
          <w:tcPr>
            <w:tcW w:w="82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　</w:t>
            </w:r>
          </w:p>
        </w:tc>
        <w:tc>
          <w:tcPr>
            <w:tcW w:w="735" w:type="dxa"/>
            <w:noWrap w:val="0"/>
            <w:vAlign w:val="center"/>
          </w:tcPr>
          <w:p>
            <w:pPr>
              <w:widowControl/>
              <w:jc w:val="center"/>
              <w:rPr>
                <w:rFonts w:hint="eastAsia" w:hAnsi="宋体" w:eastAsia="宋体" w:cs="宋体"/>
                <w:bCs/>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ign w:val="center"/>
          </w:tcPr>
          <w:p>
            <w:pPr>
              <w:widowControl/>
              <w:jc w:val="center"/>
              <w:rPr>
                <w:rFonts w:hint="default" w:hAnsi="宋体" w:eastAsia="宋体" w:cs="宋体"/>
                <w:bCs/>
                <w:color w:val="auto"/>
                <w:kern w:val="0"/>
                <w:sz w:val="21"/>
                <w:szCs w:val="21"/>
                <w:highlight w:val="none"/>
                <w:lang w:val="en-US" w:eastAsia="zh-CN"/>
              </w:rPr>
            </w:pPr>
            <w:r>
              <w:rPr>
                <w:rFonts w:hint="eastAsia" w:cs="宋体"/>
                <w:bCs/>
                <w:color w:val="auto"/>
                <w:kern w:val="0"/>
                <w:sz w:val="21"/>
                <w:szCs w:val="21"/>
                <w:highlight w:val="none"/>
                <w:lang w:val="en-US" w:eastAsia="zh-CN"/>
              </w:rPr>
              <w:t>12</w:t>
            </w:r>
          </w:p>
        </w:tc>
        <w:tc>
          <w:tcPr>
            <w:tcW w:w="2231"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PPR管</w:t>
            </w:r>
          </w:p>
        </w:tc>
        <w:tc>
          <w:tcPr>
            <w:tcW w:w="114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佛山顾地</w:t>
            </w:r>
          </w:p>
        </w:tc>
        <w:tc>
          <w:tcPr>
            <w:tcW w:w="103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广东联塑</w:t>
            </w:r>
          </w:p>
        </w:tc>
        <w:tc>
          <w:tcPr>
            <w:tcW w:w="102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成都川路</w:t>
            </w:r>
          </w:p>
        </w:tc>
        <w:tc>
          <w:tcPr>
            <w:tcW w:w="94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　</w:t>
            </w:r>
          </w:p>
        </w:tc>
        <w:tc>
          <w:tcPr>
            <w:tcW w:w="82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　</w:t>
            </w:r>
          </w:p>
        </w:tc>
        <w:tc>
          <w:tcPr>
            <w:tcW w:w="735" w:type="dxa"/>
            <w:noWrap w:val="0"/>
            <w:vAlign w:val="center"/>
          </w:tcPr>
          <w:p>
            <w:pPr>
              <w:widowControl/>
              <w:jc w:val="center"/>
              <w:rPr>
                <w:rFonts w:hint="eastAsia" w:hAnsi="宋体" w:eastAsia="宋体" w:cs="宋体"/>
                <w:bCs/>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ign w:val="center"/>
          </w:tcPr>
          <w:p>
            <w:pPr>
              <w:widowControl/>
              <w:jc w:val="center"/>
              <w:rPr>
                <w:rFonts w:hint="default" w:hAnsi="宋体" w:eastAsia="宋体" w:cs="宋体"/>
                <w:bCs/>
                <w:color w:val="auto"/>
                <w:kern w:val="0"/>
                <w:sz w:val="21"/>
                <w:szCs w:val="21"/>
                <w:highlight w:val="none"/>
                <w:lang w:val="en-US" w:eastAsia="zh-CN"/>
              </w:rPr>
            </w:pPr>
            <w:r>
              <w:rPr>
                <w:rFonts w:hint="eastAsia" w:cs="宋体"/>
                <w:bCs/>
                <w:color w:val="auto"/>
                <w:kern w:val="0"/>
                <w:sz w:val="21"/>
                <w:szCs w:val="21"/>
                <w:highlight w:val="none"/>
                <w:lang w:val="en-US" w:eastAsia="zh-CN"/>
              </w:rPr>
              <w:t>13</w:t>
            </w:r>
          </w:p>
        </w:tc>
        <w:tc>
          <w:tcPr>
            <w:tcW w:w="2231"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镀锌钢管、无缝钢管</w:t>
            </w:r>
          </w:p>
        </w:tc>
        <w:tc>
          <w:tcPr>
            <w:tcW w:w="114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浙江金洲</w:t>
            </w:r>
          </w:p>
        </w:tc>
        <w:tc>
          <w:tcPr>
            <w:tcW w:w="103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天津银泽</w:t>
            </w:r>
          </w:p>
        </w:tc>
        <w:tc>
          <w:tcPr>
            <w:tcW w:w="102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广州华岐</w:t>
            </w:r>
          </w:p>
        </w:tc>
        <w:tc>
          <w:tcPr>
            <w:tcW w:w="94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　</w:t>
            </w:r>
          </w:p>
        </w:tc>
        <w:tc>
          <w:tcPr>
            <w:tcW w:w="82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　</w:t>
            </w:r>
          </w:p>
        </w:tc>
        <w:tc>
          <w:tcPr>
            <w:tcW w:w="735" w:type="dxa"/>
            <w:noWrap w:val="0"/>
            <w:vAlign w:val="center"/>
          </w:tcPr>
          <w:p>
            <w:pPr>
              <w:widowControl/>
              <w:jc w:val="center"/>
              <w:rPr>
                <w:rFonts w:hint="eastAsia" w:hAnsi="宋体" w:eastAsia="宋体" w:cs="宋体"/>
                <w:bCs/>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ign w:val="center"/>
          </w:tcPr>
          <w:p>
            <w:pPr>
              <w:widowControl/>
              <w:jc w:val="center"/>
              <w:rPr>
                <w:rFonts w:hint="default" w:hAnsi="宋体" w:eastAsia="宋体" w:cs="宋体"/>
                <w:bCs/>
                <w:color w:val="auto"/>
                <w:kern w:val="0"/>
                <w:sz w:val="21"/>
                <w:szCs w:val="21"/>
                <w:highlight w:val="none"/>
                <w:lang w:val="en-US" w:eastAsia="zh-CN"/>
              </w:rPr>
            </w:pPr>
            <w:r>
              <w:rPr>
                <w:rFonts w:hint="eastAsia" w:cs="宋体"/>
                <w:bCs/>
                <w:color w:val="auto"/>
                <w:kern w:val="0"/>
                <w:sz w:val="21"/>
                <w:szCs w:val="21"/>
                <w:highlight w:val="none"/>
                <w:lang w:val="en-US" w:eastAsia="zh-CN"/>
              </w:rPr>
              <w:t>14</w:t>
            </w:r>
          </w:p>
        </w:tc>
        <w:tc>
          <w:tcPr>
            <w:tcW w:w="2231"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不锈钢管（双卡压）</w:t>
            </w:r>
          </w:p>
        </w:tc>
        <w:tc>
          <w:tcPr>
            <w:tcW w:w="114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深圳雅昌</w:t>
            </w:r>
          </w:p>
        </w:tc>
        <w:tc>
          <w:tcPr>
            <w:tcW w:w="103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广东美亚</w:t>
            </w:r>
          </w:p>
        </w:tc>
        <w:tc>
          <w:tcPr>
            <w:tcW w:w="102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浙江正康</w:t>
            </w:r>
          </w:p>
        </w:tc>
        <w:tc>
          <w:tcPr>
            <w:tcW w:w="945" w:type="dxa"/>
            <w:noWrap w:val="0"/>
            <w:vAlign w:val="center"/>
          </w:tcPr>
          <w:p>
            <w:pPr>
              <w:widowControl/>
              <w:jc w:val="center"/>
              <w:rPr>
                <w:rFonts w:hint="eastAsia" w:hAnsi="宋体" w:eastAsia="宋体" w:cs="宋体"/>
                <w:bCs/>
                <w:color w:val="auto"/>
                <w:kern w:val="0"/>
                <w:sz w:val="21"/>
                <w:szCs w:val="21"/>
                <w:highlight w:val="none"/>
              </w:rPr>
            </w:pPr>
          </w:p>
        </w:tc>
        <w:tc>
          <w:tcPr>
            <w:tcW w:w="82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　</w:t>
            </w:r>
          </w:p>
        </w:tc>
        <w:tc>
          <w:tcPr>
            <w:tcW w:w="735" w:type="dxa"/>
            <w:noWrap w:val="0"/>
            <w:vAlign w:val="center"/>
          </w:tcPr>
          <w:p>
            <w:pPr>
              <w:widowControl/>
              <w:jc w:val="center"/>
              <w:rPr>
                <w:rFonts w:hint="eastAsia" w:hAnsi="宋体" w:eastAsia="宋体" w:cs="宋体"/>
                <w:bCs/>
                <w:color w:val="auto"/>
                <w:kern w:val="0"/>
                <w:sz w:val="21"/>
                <w:szCs w:val="21"/>
                <w:highlight w:val="none"/>
              </w:rPr>
            </w:pPr>
          </w:p>
        </w:tc>
        <w:tc>
          <w:tcPr>
            <w:tcW w:w="764" w:type="dxa"/>
            <w:noWrap w:val="0"/>
            <w:vAlign w:val="center"/>
          </w:tcPr>
          <w:p>
            <w:pPr>
              <w:widowControl/>
              <w:rPr>
                <w:rFonts w:hint="eastAsia" w:hAnsi="宋体" w:eastAsia="宋体" w:cs="宋体"/>
                <w:bCs w:val="0"/>
                <w:color w:val="auto"/>
                <w:kern w:val="0"/>
                <w:sz w:val="21"/>
                <w:szCs w:val="21"/>
                <w:highlight w:val="none"/>
              </w:rPr>
            </w:pPr>
          </w:p>
        </w:tc>
        <w:tc>
          <w:tcPr>
            <w:tcW w:w="711" w:type="dxa"/>
            <w:noWrap w:val="0"/>
            <w:vAlign w:val="center"/>
          </w:tcPr>
          <w:p>
            <w:pPr>
              <w:widowControl/>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590" w:type="dxa"/>
            <w:noWrap/>
            <w:vAlign w:val="center"/>
          </w:tcPr>
          <w:p>
            <w:pPr>
              <w:widowControl/>
              <w:jc w:val="center"/>
              <w:rPr>
                <w:rFonts w:hint="default" w:hAnsi="宋体" w:eastAsia="宋体" w:cs="宋体"/>
                <w:bCs/>
                <w:color w:val="auto"/>
                <w:kern w:val="0"/>
                <w:sz w:val="21"/>
                <w:szCs w:val="21"/>
                <w:highlight w:val="none"/>
                <w:lang w:val="en-US" w:eastAsia="zh-CN"/>
              </w:rPr>
            </w:pPr>
            <w:r>
              <w:rPr>
                <w:rFonts w:hint="eastAsia" w:cs="宋体"/>
                <w:bCs/>
                <w:color w:val="auto"/>
                <w:kern w:val="0"/>
                <w:sz w:val="21"/>
                <w:szCs w:val="21"/>
                <w:highlight w:val="none"/>
                <w:lang w:val="en-US" w:eastAsia="zh-CN"/>
              </w:rPr>
              <w:t>15</w:t>
            </w:r>
          </w:p>
        </w:tc>
        <w:tc>
          <w:tcPr>
            <w:tcW w:w="2231"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铸铁排水管</w:t>
            </w:r>
          </w:p>
        </w:tc>
        <w:tc>
          <w:tcPr>
            <w:tcW w:w="114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新兴铸管</w:t>
            </w:r>
          </w:p>
        </w:tc>
        <w:tc>
          <w:tcPr>
            <w:tcW w:w="103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河北兴华</w:t>
            </w:r>
          </w:p>
        </w:tc>
        <w:tc>
          <w:tcPr>
            <w:tcW w:w="102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山西泫氏</w:t>
            </w:r>
          </w:p>
        </w:tc>
        <w:tc>
          <w:tcPr>
            <w:tcW w:w="94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　</w:t>
            </w:r>
          </w:p>
        </w:tc>
        <w:tc>
          <w:tcPr>
            <w:tcW w:w="82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　</w:t>
            </w:r>
          </w:p>
        </w:tc>
        <w:tc>
          <w:tcPr>
            <w:tcW w:w="735" w:type="dxa"/>
            <w:noWrap w:val="0"/>
            <w:vAlign w:val="center"/>
          </w:tcPr>
          <w:p>
            <w:pPr>
              <w:widowControl/>
              <w:jc w:val="center"/>
              <w:rPr>
                <w:rFonts w:hint="eastAsia" w:hAnsi="宋体" w:eastAsia="宋体" w:cs="宋体"/>
                <w:bCs/>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ign w:val="center"/>
          </w:tcPr>
          <w:p>
            <w:pPr>
              <w:widowControl/>
              <w:jc w:val="center"/>
              <w:rPr>
                <w:rFonts w:hint="default" w:hAnsi="宋体" w:eastAsia="宋体" w:cs="宋体"/>
                <w:bCs/>
                <w:color w:val="auto"/>
                <w:kern w:val="0"/>
                <w:sz w:val="21"/>
                <w:szCs w:val="21"/>
                <w:highlight w:val="none"/>
                <w:lang w:val="en-US" w:eastAsia="zh-CN"/>
              </w:rPr>
            </w:pPr>
            <w:r>
              <w:rPr>
                <w:rFonts w:hint="eastAsia" w:cs="宋体"/>
                <w:bCs/>
                <w:color w:val="auto"/>
                <w:kern w:val="0"/>
                <w:sz w:val="21"/>
                <w:szCs w:val="21"/>
                <w:highlight w:val="none"/>
                <w:lang w:val="en-US" w:eastAsia="zh-CN"/>
              </w:rPr>
              <w:t>16</w:t>
            </w:r>
          </w:p>
        </w:tc>
        <w:tc>
          <w:tcPr>
            <w:tcW w:w="2231"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UPVC排水管、HDPE双壁波纹管、PVC给水管</w:t>
            </w:r>
          </w:p>
        </w:tc>
        <w:tc>
          <w:tcPr>
            <w:tcW w:w="114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佛山顾地</w:t>
            </w:r>
          </w:p>
        </w:tc>
        <w:tc>
          <w:tcPr>
            <w:tcW w:w="103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广东联塑</w:t>
            </w:r>
          </w:p>
        </w:tc>
        <w:tc>
          <w:tcPr>
            <w:tcW w:w="102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亚通　</w:t>
            </w:r>
          </w:p>
        </w:tc>
        <w:tc>
          <w:tcPr>
            <w:tcW w:w="945" w:type="dxa"/>
            <w:noWrap w:val="0"/>
            <w:vAlign w:val="center"/>
          </w:tcPr>
          <w:p>
            <w:pPr>
              <w:widowControl/>
              <w:jc w:val="center"/>
              <w:rPr>
                <w:rFonts w:hint="eastAsia" w:hAnsi="宋体" w:eastAsia="宋体" w:cs="宋体"/>
                <w:bCs/>
                <w:color w:val="auto"/>
                <w:kern w:val="0"/>
                <w:sz w:val="21"/>
                <w:szCs w:val="21"/>
                <w:highlight w:val="none"/>
              </w:rPr>
            </w:pPr>
          </w:p>
        </w:tc>
        <w:tc>
          <w:tcPr>
            <w:tcW w:w="82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　</w:t>
            </w:r>
          </w:p>
        </w:tc>
        <w:tc>
          <w:tcPr>
            <w:tcW w:w="735" w:type="dxa"/>
            <w:noWrap w:val="0"/>
            <w:vAlign w:val="center"/>
          </w:tcPr>
          <w:p>
            <w:pPr>
              <w:widowControl/>
              <w:jc w:val="center"/>
              <w:rPr>
                <w:rFonts w:hint="eastAsia" w:hAnsi="宋体" w:eastAsia="宋体" w:cs="宋体"/>
                <w:bCs/>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590" w:type="dxa"/>
            <w:noWrap/>
            <w:vAlign w:val="center"/>
          </w:tcPr>
          <w:p>
            <w:pPr>
              <w:widowControl/>
              <w:jc w:val="center"/>
              <w:rPr>
                <w:rFonts w:hint="default" w:hAnsi="宋体" w:eastAsia="宋体" w:cs="宋体"/>
                <w:bCs/>
                <w:color w:val="auto"/>
                <w:kern w:val="0"/>
                <w:sz w:val="21"/>
                <w:szCs w:val="21"/>
                <w:highlight w:val="none"/>
                <w:lang w:val="en-US" w:eastAsia="zh-CN"/>
              </w:rPr>
            </w:pPr>
            <w:r>
              <w:rPr>
                <w:rFonts w:hint="eastAsia" w:cs="宋体"/>
                <w:bCs/>
                <w:color w:val="auto"/>
                <w:kern w:val="0"/>
                <w:sz w:val="21"/>
                <w:szCs w:val="21"/>
                <w:highlight w:val="none"/>
                <w:lang w:val="en-US" w:eastAsia="zh-CN"/>
              </w:rPr>
              <w:t>17</w:t>
            </w:r>
          </w:p>
        </w:tc>
        <w:tc>
          <w:tcPr>
            <w:tcW w:w="2231"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沟槽管件</w:t>
            </w:r>
          </w:p>
        </w:tc>
        <w:tc>
          <w:tcPr>
            <w:tcW w:w="114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山东亿佰通</w:t>
            </w:r>
          </w:p>
        </w:tc>
        <w:tc>
          <w:tcPr>
            <w:tcW w:w="103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上海威逊</w:t>
            </w:r>
          </w:p>
        </w:tc>
        <w:tc>
          <w:tcPr>
            <w:tcW w:w="102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山东莱德</w:t>
            </w:r>
          </w:p>
        </w:tc>
        <w:tc>
          <w:tcPr>
            <w:tcW w:w="94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　</w:t>
            </w:r>
          </w:p>
        </w:tc>
        <w:tc>
          <w:tcPr>
            <w:tcW w:w="82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　</w:t>
            </w:r>
          </w:p>
        </w:tc>
        <w:tc>
          <w:tcPr>
            <w:tcW w:w="735" w:type="dxa"/>
            <w:noWrap w:val="0"/>
            <w:vAlign w:val="center"/>
          </w:tcPr>
          <w:p>
            <w:pPr>
              <w:widowControl/>
              <w:jc w:val="center"/>
              <w:rPr>
                <w:rFonts w:hint="eastAsia" w:hAnsi="宋体" w:eastAsia="宋体" w:cs="宋体"/>
                <w:bCs/>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90" w:type="dxa"/>
            <w:noWrap/>
            <w:vAlign w:val="center"/>
          </w:tcPr>
          <w:p>
            <w:pPr>
              <w:widowControl/>
              <w:jc w:val="center"/>
              <w:rPr>
                <w:rFonts w:hint="default" w:hAnsi="宋体" w:eastAsia="宋体" w:cs="宋体"/>
                <w:bCs/>
                <w:color w:val="auto"/>
                <w:kern w:val="0"/>
                <w:sz w:val="21"/>
                <w:szCs w:val="21"/>
                <w:highlight w:val="none"/>
                <w:lang w:val="en-US" w:eastAsia="zh-CN"/>
              </w:rPr>
            </w:pPr>
            <w:r>
              <w:rPr>
                <w:rFonts w:hint="eastAsia" w:cs="宋体"/>
                <w:bCs/>
                <w:color w:val="auto"/>
                <w:kern w:val="0"/>
                <w:sz w:val="21"/>
                <w:szCs w:val="21"/>
                <w:highlight w:val="none"/>
                <w:lang w:val="en-US" w:eastAsia="zh-CN"/>
              </w:rPr>
              <w:t>18</w:t>
            </w:r>
          </w:p>
        </w:tc>
        <w:tc>
          <w:tcPr>
            <w:tcW w:w="2231"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塑料检查井</w:t>
            </w:r>
          </w:p>
        </w:tc>
        <w:tc>
          <w:tcPr>
            <w:tcW w:w="114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常州河马</w:t>
            </w:r>
          </w:p>
        </w:tc>
        <w:tc>
          <w:tcPr>
            <w:tcW w:w="103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浙江天井</w:t>
            </w:r>
          </w:p>
        </w:tc>
        <w:tc>
          <w:tcPr>
            <w:tcW w:w="1020"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山东文远</w:t>
            </w:r>
          </w:p>
        </w:tc>
        <w:tc>
          <w:tcPr>
            <w:tcW w:w="94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四川亚泰</w:t>
            </w:r>
          </w:p>
        </w:tc>
        <w:tc>
          <w:tcPr>
            <w:tcW w:w="825" w:type="dxa"/>
            <w:noWrap w:val="0"/>
            <w:vAlign w:val="center"/>
          </w:tcPr>
          <w:p>
            <w:pPr>
              <w:widowControl/>
              <w:jc w:val="center"/>
              <w:rPr>
                <w:rFonts w:hint="eastAsia" w:hAnsi="宋体" w:eastAsia="宋体" w:cs="宋体"/>
                <w:bCs/>
                <w:color w:val="auto"/>
                <w:kern w:val="0"/>
                <w:sz w:val="21"/>
                <w:szCs w:val="21"/>
                <w:highlight w:val="none"/>
              </w:rPr>
            </w:pPr>
            <w:r>
              <w:rPr>
                <w:rFonts w:hint="eastAsia" w:hAnsi="宋体" w:eastAsia="宋体" w:cs="宋体"/>
                <w:bCs/>
                <w:color w:val="auto"/>
                <w:kern w:val="0"/>
                <w:sz w:val="21"/>
                <w:szCs w:val="21"/>
                <w:highlight w:val="none"/>
              </w:rPr>
              <w:t>　</w:t>
            </w:r>
          </w:p>
        </w:tc>
        <w:tc>
          <w:tcPr>
            <w:tcW w:w="735" w:type="dxa"/>
            <w:noWrap w:val="0"/>
            <w:vAlign w:val="center"/>
          </w:tcPr>
          <w:p>
            <w:pPr>
              <w:widowControl/>
              <w:jc w:val="center"/>
              <w:rPr>
                <w:rFonts w:hint="eastAsia" w:hAnsi="宋体" w:eastAsia="宋体" w:cs="宋体"/>
                <w:bCs/>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590" w:type="dxa"/>
            <w:noWrap/>
            <w:vAlign w:val="center"/>
          </w:tcPr>
          <w:p>
            <w:pPr>
              <w:widowControl/>
              <w:jc w:val="center"/>
              <w:rPr>
                <w:rFonts w:hint="default" w:hAnsi="宋体" w:eastAsia="宋体" w:cs="宋体"/>
                <w:bCs w:val="0"/>
                <w:color w:val="auto"/>
                <w:kern w:val="0"/>
                <w:sz w:val="21"/>
                <w:szCs w:val="21"/>
                <w:highlight w:val="none"/>
                <w:lang w:val="en-US" w:eastAsia="zh-CN"/>
              </w:rPr>
            </w:pPr>
            <w:r>
              <w:rPr>
                <w:rFonts w:hint="eastAsia" w:cs="宋体"/>
                <w:bCs w:val="0"/>
                <w:color w:val="auto"/>
                <w:kern w:val="0"/>
                <w:sz w:val="21"/>
                <w:szCs w:val="21"/>
                <w:highlight w:val="none"/>
                <w:lang w:val="en-US" w:eastAsia="zh-CN"/>
              </w:rPr>
              <w:t>19</w:t>
            </w:r>
          </w:p>
        </w:tc>
        <w:tc>
          <w:tcPr>
            <w:tcW w:w="2231"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卫生洁具</w:t>
            </w:r>
          </w:p>
        </w:tc>
        <w:tc>
          <w:tcPr>
            <w:tcW w:w="114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惠达</w:t>
            </w:r>
          </w:p>
        </w:tc>
        <w:tc>
          <w:tcPr>
            <w:tcW w:w="103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九牧</w:t>
            </w:r>
          </w:p>
        </w:tc>
        <w:tc>
          <w:tcPr>
            <w:tcW w:w="102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恒洁</w:t>
            </w:r>
          </w:p>
        </w:tc>
        <w:tc>
          <w:tcPr>
            <w:tcW w:w="945" w:type="dxa"/>
            <w:noWrap w:val="0"/>
            <w:vAlign w:val="center"/>
          </w:tcPr>
          <w:p>
            <w:pPr>
              <w:widowControl/>
              <w:jc w:val="center"/>
              <w:rPr>
                <w:rFonts w:hint="eastAsia" w:hAnsi="宋体" w:eastAsia="宋体" w:cs="宋体"/>
                <w:bCs w:val="0"/>
                <w:color w:val="auto"/>
                <w:kern w:val="0"/>
                <w:sz w:val="21"/>
                <w:szCs w:val="21"/>
                <w:highlight w:val="none"/>
              </w:rPr>
            </w:pPr>
          </w:p>
        </w:tc>
        <w:tc>
          <w:tcPr>
            <w:tcW w:w="825" w:type="dxa"/>
            <w:noWrap w:val="0"/>
            <w:vAlign w:val="center"/>
          </w:tcPr>
          <w:p>
            <w:pPr>
              <w:widowControl/>
              <w:jc w:val="center"/>
              <w:rPr>
                <w:rFonts w:hint="eastAsia" w:hAnsi="宋体" w:eastAsia="宋体" w:cs="宋体"/>
                <w:b/>
                <w:color w:val="auto"/>
                <w:kern w:val="0"/>
                <w:sz w:val="21"/>
                <w:szCs w:val="21"/>
                <w:highlight w:val="none"/>
              </w:rPr>
            </w:pPr>
            <w:r>
              <w:rPr>
                <w:rFonts w:hint="eastAsia" w:hAnsi="宋体" w:eastAsia="宋体" w:cs="宋体"/>
                <w:b/>
                <w:color w:val="auto"/>
                <w:kern w:val="0"/>
                <w:sz w:val="21"/>
                <w:szCs w:val="21"/>
                <w:highlight w:val="none"/>
              </w:rPr>
              <w:t>　</w:t>
            </w:r>
          </w:p>
        </w:tc>
        <w:tc>
          <w:tcPr>
            <w:tcW w:w="735" w:type="dxa"/>
            <w:noWrap w:val="0"/>
            <w:vAlign w:val="center"/>
          </w:tcPr>
          <w:p>
            <w:pPr>
              <w:widowControl/>
              <w:jc w:val="center"/>
              <w:rPr>
                <w:rFonts w:hint="eastAsia" w:hAnsi="宋体" w:eastAsia="宋体" w:cs="宋体"/>
                <w:b/>
                <w:color w:val="auto"/>
                <w:kern w:val="0"/>
                <w:sz w:val="21"/>
                <w:szCs w:val="21"/>
                <w:highlight w:val="none"/>
              </w:rPr>
            </w:pPr>
          </w:p>
        </w:tc>
        <w:tc>
          <w:tcPr>
            <w:tcW w:w="764" w:type="dxa"/>
            <w:noWrap w:val="0"/>
            <w:vAlign w:val="center"/>
          </w:tcPr>
          <w:p>
            <w:pPr>
              <w:widowControl/>
              <w:jc w:val="center"/>
              <w:rPr>
                <w:rFonts w:hint="eastAsia" w:hAnsi="宋体" w:eastAsia="宋体" w:cs="宋体"/>
                <w:b/>
                <w:color w:val="auto"/>
                <w:kern w:val="0"/>
                <w:sz w:val="21"/>
                <w:szCs w:val="21"/>
                <w:highlight w:val="none"/>
              </w:rPr>
            </w:pPr>
          </w:p>
        </w:tc>
        <w:tc>
          <w:tcPr>
            <w:tcW w:w="711" w:type="dxa"/>
            <w:noWrap w:val="0"/>
            <w:vAlign w:val="center"/>
          </w:tcPr>
          <w:p>
            <w:pPr>
              <w:widowControl/>
              <w:jc w:val="center"/>
              <w:rPr>
                <w:rFonts w:hint="eastAsia" w:hAnsi="宋体" w:eastAsia="宋体" w:cs="宋体"/>
                <w:b/>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9996" w:type="dxa"/>
            <w:gridSpan w:val="10"/>
            <w:noWrap/>
            <w:vAlign w:val="center"/>
          </w:tcPr>
          <w:p>
            <w:pPr>
              <w:widowControl/>
              <w:jc w:val="center"/>
              <w:rPr>
                <w:rFonts w:hint="eastAsia" w:hAnsi="宋体" w:eastAsia="宋体" w:cs="宋体"/>
                <w:b/>
                <w:color w:val="auto"/>
                <w:kern w:val="0"/>
                <w:sz w:val="21"/>
                <w:szCs w:val="21"/>
                <w:highlight w:val="none"/>
              </w:rPr>
            </w:pPr>
            <w:r>
              <w:rPr>
                <w:rFonts w:hint="eastAsia" w:hAnsi="宋体" w:eastAsia="宋体" w:cs="宋体"/>
                <w:b/>
                <w:color w:val="auto"/>
                <w:kern w:val="0"/>
                <w:sz w:val="21"/>
                <w:szCs w:val="21"/>
                <w:highlight w:val="none"/>
              </w:rPr>
              <w:t>通风空调系统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590" w:type="dxa"/>
            <w:noWrap/>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1</w:t>
            </w:r>
          </w:p>
        </w:tc>
        <w:tc>
          <w:tcPr>
            <w:tcW w:w="2231" w:type="dxa"/>
            <w:noWrap w:val="0"/>
            <w:vAlign w:val="center"/>
          </w:tcPr>
          <w:p>
            <w:pPr>
              <w:widowControl/>
              <w:jc w:val="center"/>
              <w:rPr>
                <w:rFonts w:hint="default"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rPr>
              <w:t>空调冷水机组</w:t>
            </w:r>
            <w:r>
              <w:rPr>
                <w:rFonts w:hint="eastAsia" w:hAnsi="宋体" w:eastAsia="宋体" w:cs="宋体"/>
                <w:bCs w:val="0"/>
                <w:color w:val="auto"/>
                <w:kern w:val="0"/>
                <w:sz w:val="21"/>
                <w:szCs w:val="21"/>
                <w:highlight w:val="none"/>
                <w:lang w:val="en-US" w:eastAsia="zh-CN"/>
              </w:rPr>
              <w:t>/空调末端</w:t>
            </w:r>
          </w:p>
        </w:tc>
        <w:tc>
          <w:tcPr>
            <w:tcW w:w="114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约克</w:t>
            </w:r>
          </w:p>
        </w:tc>
        <w:tc>
          <w:tcPr>
            <w:tcW w:w="103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特灵</w:t>
            </w:r>
          </w:p>
        </w:tc>
        <w:tc>
          <w:tcPr>
            <w:tcW w:w="102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开利</w:t>
            </w:r>
          </w:p>
        </w:tc>
        <w:tc>
          <w:tcPr>
            <w:tcW w:w="945" w:type="dxa"/>
            <w:noWrap w:val="0"/>
            <w:vAlign w:val="center"/>
          </w:tcPr>
          <w:p>
            <w:pPr>
              <w:widowControl/>
              <w:jc w:val="center"/>
              <w:rPr>
                <w:rFonts w:hint="eastAsia" w:hAnsi="宋体" w:eastAsia="宋体" w:cs="宋体"/>
                <w:bCs w:val="0"/>
                <w:color w:val="auto"/>
                <w:kern w:val="0"/>
                <w:sz w:val="21"/>
                <w:szCs w:val="21"/>
                <w:highlight w:val="none"/>
              </w:rPr>
            </w:pPr>
          </w:p>
        </w:tc>
        <w:tc>
          <w:tcPr>
            <w:tcW w:w="825" w:type="dxa"/>
            <w:noWrap w:val="0"/>
            <w:vAlign w:val="center"/>
          </w:tcPr>
          <w:p>
            <w:pPr>
              <w:widowControl/>
              <w:jc w:val="center"/>
              <w:rPr>
                <w:rFonts w:hint="eastAsia" w:hAnsi="宋体" w:eastAsia="宋体" w:cs="宋体"/>
                <w:bCs w:val="0"/>
                <w:color w:val="auto"/>
                <w:kern w:val="0"/>
                <w:sz w:val="21"/>
                <w:szCs w:val="21"/>
                <w:highlight w:val="none"/>
              </w:rPr>
            </w:pP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590" w:type="dxa"/>
            <w:noWrap/>
            <w:vAlign w:val="center"/>
          </w:tcPr>
          <w:p>
            <w:pPr>
              <w:widowControl/>
              <w:jc w:val="center"/>
              <w:rPr>
                <w:rFonts w:hint="eastAsia"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rPr>
              <w:t>2</w:t>
            </w:r>
          </w:p>
        </w:tc>
        <w:tc>
          <w:tcPr>
            <w:tcW w:w="2231"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多联机空调设备</w:t>
            </w:r>
          </w:p>
        </w:tc>
        <w:tc>
          <w:tcPr>
            <w:tcW w:w="114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海尔</w:t>
            </w:r>
          </w:p>
        </w:tc>
        <w:tc>
          <w:tcPr>
            <w:tcW w:w="103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格力</w:t>
            </w:r>
          </w:p>
        </w:tc>
        <w:tc>
          <w:tcPr>
            <w:tcW w:w="102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松下</w:t>
            </w:r>
          </w:p>
        </w:tc>
        <w:tc>
          <w:tcPr>
            <w:tcW w:w="945" w:type="dxa"/>
            <w:noWrap w:val="0"/>
            <w:vAlign w:val="center"/>
          </w:tcPr>
          <w:p>
            <w:pPr>
              <w:widowControl/>
              <w:jc w:val="center"/>
              <w:rPr>
                <w:rFonts w:hint="eastAsia" w:hAnsi="宋体" w:eastAsia="宋体" w:cs="宋体"/>
                <w:bCs w:val="0"/>
                <w:color w:val="auto"/>
                <w:kern w:val="0"/>
                <w:sz w:val="21"/>
                <w:szCs w:val="21"/>
                <w:highlight w:val="none"/>
              </w:rPr>
            </w:pPr>
          </w:p>
        </w:tc>
        <w:tc>
          <w:tcPr>
            <w:tcW w:w="825" w:type="dxa"/>
            <w:noWrap w:val="0"/>
            <w:vAlign w:val="center"/>
          </w:tcPr>
          <w:p>
            <w:pPr>
              <w:widowControl/>
              <w:jc w:val="center"/>
              <w:rPr>
                <w:rFonts w:hint="eastAsia" w:hAnsi="宋体" w:eastAsia="宋体" w:cs="宋体"/>
                <w:bCs w:val="0"/>
                <w:color w:val="auto"/>
                <w:kern w:val="0"/>
                <w:sz w:val="21"/>
                <w:szCs w:val="21"/>
                <w:highlight w:val="none"/>
              </w:rPr>
            </w:pP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590" w:type="dxa"/>
            <w:noWrap/>
            <w:vAlign w:val="center"/>
          </w:tcPr>
          <w:p>
            <w:pPr>
              <w:widowControl/>
              <w:jc w:val="center"/>
              <w:rPr>
                <w:rFonts w:hint="default" w:cs="宋体"/>
                <w:bCs w:val="0"/>
                <w:color w:val="auto"/>
                <w:kern w:val="0"/>
                <w:sz w:val="21"/>
                <w:szCs w:val="21"/>
                <w:highlight w:val="none"/>
                <w:lang w:val="en-US" w:eastAsia="zh-CN"/>
              </w:rPr>
            </w:pPr>
            <w:r>
              <w:rPr>
                <w:rFonts w:hint="eastAsia" w:cs="宋体"/>
                <w:bCs w:val="0"/>
                <w:color w:val="auto"/>
                <w:kern w:val="0"/>
                <w:sz w:val="21"/>
                <w:szCs w:val="21"/>
                <w:highlight w:val="none"/>
                <w:lang w:val="en-US" w:eastAsia="zh-CN"/>
              </w:rPr>
              <w:t>3</w:t>
            </w:r>
          </w:p>
        </w:tc>
        <w:tc>
          <w:tcPr>
            <w:tcW w:w="2231" w:type="dxa"/>
            <w:noWrap w:val="0"/>
            <w:vAlign w:val="center"/>
          </w:tcPr>
          <w:p>
            <w:pPr>
              <w:widowControl/>
              <w:jc w:val="center"/>
              <w:rPr>
                <w:rFonts w:hint="eastAsia"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rPr>
              <w:t>分体空调设备</w:t>
            </w:r>
          </w:p>
        </w:tc>
        <w:tc>
          <w:tcPr>
            <w:tcW w:w="1140" w:type="dxa"/>
            <w:noWrap w:val="0"/>
            <w:vAlign w:val="center"/>
          </w:tcPr>
          <w:p>
            <w:pPr>
              <w:widowControl/>
              <w:jc w:val="center"/>
              <w:rPr>
                <w:rFonts w:hint="eastAsia"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rPr>
              <w:t>海尔</w:t>
            </w:r>
          </w:p>
        </w:tc>
        <w:tc>
          <w:tcPr>
            <w:tcW w:w="1035" w:type="dxa"/>
            <w:noWrap w:val="0"/>
            <w:vAlign w:val="center"/>
          </w:tcPr>
          <w:p>
            <w:pPr>
              <w:widowControl/>
              <w:jc w:val="center"/>
              <w:rPr>
                <w:rFonts w:hint="eastAsia"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rPr>
              <w:t>格力</w:t>
            </w:r>
          </w:p>
        </w:tc>
        <w:tc>
          <w:tcPr>
            <w:tcW w:w="1020" w:type="dxa"/>
            <w:noWrap w:val="0"/>
            <w:vAlign w:val="center"/>
          </w:tcPr>
          <w:p>
            <w:pPr>
              <w:widowControl/>
              <w:jc w:val="center"/>
              <w:rPr>
                <w:rFonts w:hint="eastAsia"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rPr>
              <w:t>松下</w:t>
            </w:r>
          </w:p>
        </w:tc>
        <w:tc>
          <w:tcPr>
            <w:tcW w:w="945" w:type="dxa"/>
            <w:noWrap w:val="0"/>
            <w:vAlign w:val="center"/>
          </w:tcPr>
          <w:p>
            <w:pPr>
              <w:widowControl/>
              <w:jc w:val="center"/>
              <w:rPr>
                <w:rFonts w:hint="eastAsia" w:hAnsi="宋体" w:eastAsia="宋体" w:cs="宋体"/>
                <w:bCs w:val="0"/>
                <w:color w:val="auto"/>
                <w:kern w:val="0"/>
                <w:sz w:val="21"/>
                <w:szCs w:val="21"/>
                <w:highlight w:val="none"/>
              </w:rPr>
            </w:pPr>
          </w:p>
        </w:tc>
        <w:tc>
          <w:tcPr>
            <w:tcW w:w="825" w:type="dxa"/>
            <w:noWrap w:val="0"/>
            <w:vAlign w:val="center"/>
          </w:tcPr>
          <w:p>
            <w:pPr>
              <w:widowControl/>
              <w:jc w:val="center"/>
              <w:rPr>
                <w:rFonts w:hint="eastAsia" w:hAnsi="宋体" w:eastAsia="宋体" w:cs="宋体"/>
                <w:bCs w:val="0"/>
                <w:color w:val="auto"/>
                <w:kern w:val="0"/>
                <w:sz w:val="21"/>
                <w:szCs w:val="21"/>
                <w:highlight w:val="none"/>
              </w:rPr>
            </w:pP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590" w:type="dxa"/>
            <w:noWrap/>
            <w:vAlign w:val="center"/>
          </w:tcPr>
          <w:p>
            <w:pPr>
              <w:widowControl/>
              <w:jc w:val="center"/>
              <w:rPr>
                <w:rFonts w:hint="eastAsia" w:hAnsi="宋体" w:eastAsia="宋体" w:cs="宋体"/>
                <w:bCs w:val="0"/>
                <w:color w:val="auto"/>
                <w:kern w:val="0"/>
                <w:sz w:val="21"/>
                <w:szCs w:val="21"/>
                <w:highlight w:val="none"/>
                <w:lang w:eastAsia="zh-CN"/>
              </w:rPr>
            </w:pPr>
            <w:r>
              <w:rPr>
                <w:rFonts w:hint="eastAsia" w:cs="宋体"/>
                <w:bCs w:val="0"/>
                <w:color w:val="auto"/>
                <w:kern w:val="0"/>
                <w:sz w:val="21"/>
                <w:szCs w:val="21"/>
                <w:highlight w:val="none"/>
                <w:lang w:val="en-US" w:eastAsia="zh-CN"/>
              </w:rPr>
              <w:t>4</w:t>
            </w:r>
          </w:p>
        </w:tc>
        <w:tc>
          <w:tcPr>
            <w:tcW w:w="2231"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全热交换器</w:t>
            </w:r>
          </w:p>
        </w:tc>
        <w:tc>
          <w:tcPr>
            <w:tcW w:w="114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上海惠林</w:t>
            </w:r>
          </w:p>
        </w:tc>
        <w:tc>
          <w:tcPr>
            <w:tcW w:w="103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环都拓普</w:t>
            </w:r>
          </w:p>
        </w:tc>
        <w:tc>
          <w:tcPr>
            <w:tcW w:w="102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广东沃森</w:t>
            </w:r>
          </w:p>
        </w:tc>
        <w:tc>
          <w:tcPr>
            <w:tcW w:w="945" w:type="dxa"/>
            <w:noWrap w:val="0"/>
            <w:vAlign w:val="center"/>
          </w:tcPr>
          <w:p>
            <w:pPr>
              <w:widowControl/>
              <w:jc w:val="center"/>
              <w:rPr>
                <w:rFonts w:hint="eastAsia" w:hAnsi="宋体" w:eastAsia="宋体" w:cs="宋体"/>
                <w:bCs w:val="0"/>
                <w:color w:val="auto"/>
                <w:kern w:val="0"/>
                <w:sz w:val="21"/>
                <w:szCs w:val="21"/>
                <w:highlight w:val="none"/>
              </w:rPr>
            </w:pPr>
          </w:p>
        </w:tc>
        <w:tc>
          <w:tcPr>
            <w:tcW w:w="825" w:type="dxa"/>
            <w:noWrap w:val="0"/>
            <w:vAlign w:val="center"/>
          </w:tcPr>
          <w:p>
            <w:pPr>
              <w:widowControl/>
              <w:jc w:val="center"/>
              <w:rPr>
                <w:rFonts w:hint="eastAsia" w:hAnsi="宋体" w:eastAsia="宋体" w:cs="宋体"/>
                <w:bCs w:val="0"/>
                <w:color w:val="auto"/>
                <w:kern w:val="0"/>
                <w:sz w:val="21"/>
                <w:szCs w:val="21"/>
                <w:highlight w:val="none"/>
              </w:rPr>
            </w:pP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590" w:type="dxa"/>
            <w:noWrap/>
            <w:vAlign w:val="center"/>
          </w:tcPr>
          <w:p>
            <w:pPr>
              <w:widowControl/>
              <w:jc w:val="center"/>
              <w:rPr>
                <w:rFonts w:hint="eastAsia" w:hAnsi="宋体" w:eastAsia="宋体" w:cs="宋体"/>
                <w:bCs w:val="0"/>
                <w:color w:val="auto"/>
                <w:kern w:val="0"/>
                <w:sz w:val="21"/>
                <w:szCs w:val="21"/>
                <w:highlight w:val="none"/>
                <w:lang w:eastAsia="zh-CN"/>
              </w:rPr>
            </w:pPr>
            <w:r>
              <w:rPr>
                <w:rFonts w:hint="eastAsia" w:cs="宋体"/>
                <w:bCs w:val="0"/>
                <w:color w:val="auto"/>
                <w:kern w:val="0"/>
                <w:sz w:val="21"/>
                <w:szCs w:val="21"/>
                <w:highlight w:val="none"/>
                <w:lang w:val="en-US" w:eastAsia="zh-CN"/>
              </w:rPr>
              <w:t>5</w:t>
            </w:r>
          </w:p>
        </w:tc>
        <w:tc>
          <w:tcPr>
            <w:tcW w:w="2231"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排气扇</w:t>
            </w:r>
          </w:p>
        </w:tc>
        <w:tc>
          <w:tcPr>
            <w:tcW w:w="1140" w:type="dxa"/>
            <w:noWrap w:val="0"/>
            <w:vAlign w:val="center"/>
          </w:tcPr>
          <w:p>
            <w:pPr>
              <w:widowControl/>
              <w:jc w:val="center"/>
              <w:rPr>
                <w:rFonts w:hint="eastAsia" w:hAnsi="宋体" w:eastAsia="宋体" w:cs="宋体"/>
                <w:bCs w:val="0"/>
                <w:color w:val="auto"/>
                <w:kern w:val="0"/>
                <w:sz w:val="21"/>
                <w:szCs w:val="21"/>
                <w:highlight w:val="none"/>
                <w:lang w:eastAsia="zh-CN"/>
              </w:rPr>
            </w:pPr>
            <w:r>
              <w:rPr>
                <w:rFonts w:hint="eastAsia" w:hAnsi="宋体" w:eastAsia="宋体" w:cs="宋体"/>
                <w:bCs w:val="0"/>
                <w:color w:val="auto"/>
                <w:kern w:val="0"/>
                <w:sz w:val="21"/>
                <w:szCs w:val="21"/>
                <w:highlight w:val="none"/>
                <w:lang w:val="en-US" w:eastAsia="zh-CN"/>
              </w:rPr>
              <w:t>美的</w:t>
            </w:r>
          </w:p>
        </w:tc>
        <w:tc>
          <w:tcPr>
            <w:tcW w:w="1035" w:type="dxa"/>
            <w:noWrap w:val="0"/>
            <w:vAlign w:val="center"/>
          </w:tcPr>
          <w:p>
            <w:pPr>
              <w:widowControl/>
              <w:jc w:val="center"/>
              <w:rPr>
                <w:rFonts w:hint="eastAsia" w:hAnsi="宋体" w:eastAsia="宋体" w:cs="宋体"/>
                <w:bCs w:val="0"/>
                <w:color w:val="auto"/>
                <w:kern w:val="0"/>
                <w:sz w:val="21"/>
                <w:szCs w:val="21"/>
                <w:highlight w:val="none"/>
                <w:lang w:eastAsia="zh-CN"/>
              </w:rPr>
            </w:pPr>
            <w:r>
              <w:rPr>
                <w:rFonts w:hint="eastAsia" w:hAnsi="宋体" w:eastAsia="宋体" w:cs="宋体"/>
                <w:bCs w:val="0"/>
                <w:color w:val="auto"/>
                <w:kern w:val="0"/>
                <w:sz w:val="21"/>
                <w:szCs w:val="21"/>
                <w:highlight w:val="none"/>
                <w:lang w:val="en-US" w:eastAsia="zh-CN"/>
              </w:rPr>
              <w:t>艾美特</w:t>
            </w:r>
          </w:p>
        </w:tc>
        <w:tc>
          <w:tcPr>
            <w:tcW w:w="102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百朗</w:t>
            </w:r>
          </w:p>
        </w:tc>
        <w:tc>
          <w:tcPr>
            <w:tcW w:w="94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　</w:t>
            </w:r>
          </w:p>
        </w:tc>
        <w:tc>
          <w:tcPr>
            <w:tcW w:w="82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　</w:t>
            </w: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590" w:type="dxa"/>
            <w:noWrap/>
            <w:vAlign w:val="center"/>
          </w:tcPr>
          <w:p>
            <w:pPr>
              <w:widowControl/>
              <w:jc w:val="center"/>
              <w:rPr>
                <w:rFonts w:hint="eastAsia" w:hAnsi="宋体" w:eastAsia="宋体" w:cs="宋体"/>
                <w:bCs w:val="0"/>
                <w:color w:val="auto"/>
                <w:kern w:val="0"/>
                <w:sz w:val="21"/>
                <w:szCs w:val="21"/>
                <w:highlight w:val="none"/>
                <w:lang w:eastAsia="zh-CN"/>
              </w:rPr>
            </w:pPr>
            <w:r>
              <w:rPr>
                <w:rFonts w:hint="eastAsia" w:cs="宋体"/>
                <w:bCs w:val="0"/>
                <w:color w:val="auto"/>
                <w:kern w:val="0"/>
                <w:sz w:val="21"/>
                <w:szCs w:val="21"/>
                <w:highlight w:val="none"/>
                <w:lang w:val="en-US" w:eastAsia="zh-CN"/>
              </w:rPr>
              <w:t>6</w:t>
            </w:r>
          </w:p>
        </w:tc>
        <w:tc>
          <w:tcPr>
            <w:tcW w:w="2231"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镀锌钢板、不锈钢板</w:t>
            </w:r>
          </w:p>
        </w:tc>
        <w:tc>
          <w:tcPr>
            <w:tcW w:w="114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三钢</w:t>
            </w:r>
          </w:p>
        </w:tc>
        <w:tc>
          <w:tcPr>
            <w:tcW w:w="103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首钢</w:t>
            </w:r>
          </w:p>
        </w:tc>
        <w:tc>
          <w:tcPr>
            <w:tcW w:w="102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宝</w:t>
            </w:r>
            <w:r>
              <w:rPr>
                <w:rFonts w:hint="eastAsia" w:hAnsi="宋体" w:eastAsia="宋体" w:cs="宋体"/>
                <w:bCs w:val="0"/>
                <w:color w:val="auto"/>
                <w:kern w:val="0"/>
                <w:sz w:val="21"/>
                <w:szCs w:val="21"/>
                <w:highlight w:val="none"/>
                <w:lang w:val="en-US" w:eastAsia="zh-CN"/>
              </w:rPr>
              <w:t>武</w:t>
            </w:r>
          </w:p>
        </w:tc>
        <w:tc>
          <w:tcPr>
            <w:tcW w:w="945" w:type="dxa"/>
            <w:noWrap w:val="0"/>
            <w:vAlign w:val="center"/>
          </w:tcPr>
          <w:p>
            <w:pPr>
              <w:widowControl/>
              <w:jc w:val="center"/>
              <w:rPr>
                <w:rFonts w:hint="eastAsia" w:hAnsi="宋体" w:eastAsia="宋体" w:cs="宋体"/>
                <w:bCs w:val="0"/>
                <w:color w:val="auto"/>
                <w:kern w:val="0"/>
                <w:sz w:val="21"/>
                <w:szCs w:val="21"/>
                <w:highlight w:val="none"/>
              </w:rPr>
            </w:pPr>
          </w:p>
        </w:tc>
        <w:tc>
          <w:tcPr>
            <w:tcW w:w="825" w:type="dxa"/>
            <w:noWrap w:val="0"/>
            <w:vAlign w:val="center"/>
          </w:tcPr>
          <w:p>
            <w:pPr>
              <w:widowControl/>
              <w:jc w:val="center"/>
              <w:rPr>
                <w:rFonts w:hint="eastAsia" w:hAnsi="宋体" w:eastAsia="宋体" w:cs="宋体"/>
                <w:bCs w:val="0"/>
                <w:color w:val="auto"/>
                <w:kern w:val="0"/>
                <w:sz w:val="21"/>
                <w:szCs w:val="21"/>
                <w:highlight w:val="none"/>
              </w:rPr>
            </w:pP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590" w:type="dxa"/>
            <w:noWrap/>
            <w:vAlign w:val="center"/>
          </w:tcPr>
          <w:p>
            <w:pPr>
              <w:widowControl/>
              <w:jc w:val="center"/>
              <w:rPr>
                <w:rFonts w:hint="eastAsia" w:hAnsi="宋体" w:eastAsia="宋体" w:cs="宋体"/>
                <w:bCs w:val="0"/>
                <w:color w:val="auto"/>
                <w:kern w:val="0"/>
                <w:sz w:val="21"/>
                <w:szCs w:val="21"/>
                <w:highlight w:val="none"/>
                <w:lang w:eastAsia="zh-CN"/>
              </w:rPr>
            </w:pPr>
            <w:r>
              <w:rPr>
                <w:rFonts w:hint="eastAsia" w:cs="宋体"/>
                <w:bCs w:val="0"/>
                <w:color w:val="auto"/>
                <w:kern w:val="0"/>
                <w:sz w:val="21"/>
                <w:szCs w:val="21"/>
                <w:highlight w:val="none"/>
                <w:lang w:val="en-US" w:eastAsia="zh-CN"/>
              </w:rPr>
              <w:t>7</w:t>
            </w:r>
          </w:p>
        </w:tc>
        <w:tc>
          <w:tcPr>
            <w:tcW w:w="2231"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橡塑保温材料</w:t>
            </w:r>
          </w:p>
        </w:tc>
        <w:tc>
          <w:tcPr>
            <w:tcW w:w="114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lang w:val="en-US" w:eastAsia="zh-CN"/>
              </w:rPr>
              <w:t>赢胜</w:t>
            </w:r>
          </w:p>
        </w:tc>
        <w:tc>
          <w:tcPr>
            <w:tcW w:w="1035" w:type="dxa"/>
            <w:noWrap w:val="0"/>
            <w:vAlign w:val="center"/>
          </w:tcPr>
          <w:p>
            <w:pPr>
              <w:widowControl/>
              <w:jc w:val="center"/>
              <w:rPr>
                <w:rFonts w:hint="default" w:hAnsi="宋体" w:eastAsia="宋体" w:cs="宋体"/>
                <w:bCs w:val="0"/>
                <w:color w:val="auto"/>
                <w:kern w:val="0"/>
                <w:sz w:val="21"/>
                <w:szCs w:val="21"/>
                <w:highlight w:val="none"/>
                <w:lang w:val="en-US" w:eastAsia="zh-CN"/>
              </w:rPr>
            </w:pPr>
            <w:r>
              <w:rPr>
                <w:rFonts w:hint="eastAsia" w:hAnsi="宋体" w:eastAsia="宋体" w:cs="宋体"/>
                <w:bCs w:val="0"/>
                <w:color w:val="auto"/>
                <w:kern w:val="0"/>
                <w:sz w:val="21"/>
                <w:szCs w:val="21"/>
                <w:highlight w:val="none"/>
                <w:lang w:val="en-US" w:eastAsia="zh-CN"/>
              </w:rPr>
              <w:t>华美B1</w:t>
            </w:r>
          </w:p>
        </w:tc>
        <w:tc>
          <w:tcPr>
            <w:tcW w:w="1020"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伯乐尔</w:t>
            </w:r>
          </w:p>
        </w:tc>
        <w:tc>
          <w:tcPr>
            <w:tcW w:w="945" w:type="dxa"/>
            <w:noWrap w:val="0"/>
            <w:vAlign w:val="center"/>
          </w:tcPr>
          <w:p>
            <w:pPr>
              <w:widowControl/>
              <w:jc w:val="center"/>
              <w:rPr>
                <w:rFonts w:hint="eastAsia" w:hAnsi="宋体" w:eastAsia="宋体" w:cs="宋体"/>
                <w:bCs w:val="0"/>
                <w:color w:val="auto"/>
                <w:kern w:val="0"/>
                <w:sz w:val="21"/>
                <w:szCs w:val="21"/>
                <w:highlight w:val="none"/>
              </w:rPr>
            </w:pPr>
          </w:p>
        </w:tc>
        <w:tc>
          <w:tcPr>
            <w:tcW w:w="825" w:type="dxa"/>
            <w:noWrap w:val="0"/>
            <w:vAlign w:val="center"/>
          </w:tcPr>
          <w:p>
            <w:pPr>
              <w:widowControl/>
              <w:jc w:val="center"/>
              <w:rPr>
                <w:rFonts w:hint="eastAsia" w:hAnsi="宋体" w:eastAsia="宋体" w:cs="宋体"/>
                <w:bCs w:val="0"/>
                <w:color w:val="auto"/>
                <w:kern w:val="0"/>
                <w:sz w:val="21"/>
                <w:szCs w:val="21"/>
                <w:highlight w:val="none"/>
              </w:rPr>
            </w:pPr>
            <w:r>
              <w:rPr>
                <w:rFonts w:hint="eastAsia" w:hAnsi="宋体" w:eastAsia="宋体" w:cs="宋体"/>
                <w:bCs w:val="0"/>
                <w:color w:val="auto"/>
                <w:kern w:val="0"/>
                <w:sz w:val="21"/>
                <w:szCs w:val="21"/>
                <w:highlight w:val="none"/>
              </w:rPr>
              <w:t>　</w:t>
            </w: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590" w:type="dxa"/>
            <w:noWrap/>
            <w:vAlign w:val="center"/>
          </w:tcPr>
          <w:p>
            <w:pPr>
              <w:widowControl/>
              <w:jc w:val="center"/>
              <w:rPr>
                <w:rFonts w:hint="eastAsia" w:ascii="宋体" w:hAnsi="宋体" w:eastAsia="宋体" w:cs="宋体"/>
                <w:bCs w:val="0"/>
                <w:color w:val="auto"/>
                <w:kern w:val="0"/>
                <w:sz w:val="21"/>
                <w:szCs w:val="21"/>
                <w:highlight w:val="none"/>
                <w:lang w:val="en-US" w:eastAsia="zh-CN" w:bidi="ar-SA"/>
              </w:rPr>
            </w:pPr>
            <w:r>
              <w:rPr>
                <w:rFonts w:hint="eastAsia" w:hAnsi="宋体" w:eastAsia="宋体" w:cs="宋体"/>
                <w:bCs w:val="0"/>
                <w:color w:val="auto"/>
                <w:kern w:val="0"/>
                <w:sz w:val="21"/>
                <w:szCs w:val="21"/>
                <w:highlight w:val="none"/>
                <w:lang w:val="en-US" w:eastAsia="zh-CN"/>
              </w:rPr>
              <w:t>8</w:t>
            </w:r>
          </w:p>
        </w:tc>
        <w:tc>
          <w:tcPr>
            <w:tcW w:w="2231" w:type="dxa"/>
            <w:noWrap w:val="0"/>
            <w:vAlign w:val="center"/>
          </w:tcPr>
          <w:p>
            <w:pPr>
              <w:widowControl/>
              <w:jc w:val="center"/>
              <w:rPr>
                <w:rFonts w:hint="eastAsia" w:ascii="宋体" w:hAnsi="宋体" w:eastAsia="宋体" w:cs="宋体"/>
                <w:bCs w:val="0"/>
                <w:color w:val="000000" w:themeColor="text1"/>
                <w:kern w:val="0"/>
                <w:sz w:val="21"/>
                <w:szCs w:val="21"/>
                <w:highlight w:val="none"/>
                <w:lang w:val="en-US" w:eastAsia="zh-CN" w:bidi="ar-SA"/>
                <w14:textFill>
                  <w14:solidFill>
                    <w14:schemeClr w14:val="tx1"/>
                  </w14:solidFill>
                </w14:textFill>
              </w:rPr>
            </w:pPr>
            <w:r>
              <w:rPr>
                <w:rFonts w:hint="eastAsia" w:ascii="宋体" w:hAnsi="宋体" w:eastAsia="宋体" w:cs="宋体"/>
                <w:bCs w:val="0"/>
                <w:color w:val="000000" w:themeColor="text1"/>
                <w:kern w:val="0"/>
                <w:sz w:val="21"/>
                <w:szCs w:val="21"/>
                <w:highlight w:val="none"/>
                <w:lang w:val="en-US" w:eastAsia="zh-CN"/>
                <w14:textFill>
                  <w14:solidFill>
                    <w14:schemeClr w14:val="tx1"/>
                  </w14:solidFill>
                </w14:textFill>
              </w:rPr>
              <w:t>冷却塔</w:t>
            </w:r>
          </w:p>
        </w:tc>
        <w:tc>
          <w:tcPr>
            <w:tcW w:w="1140" w:type="dxa"/>
            <w:noWrap w:val="0"/>
            <w:vAlign w:val="center"/>
          </w:tcPr>
          <w:p>
            <w:pPr>
              <w:widowControl/>
              <w:jc w:val="center"/>
              <w:rPr>
                <w:rFonts w:hint="eastAsia" w:ascii="宋体" w:hAnsi="宋体" w:eastAsia="宋体" w:cs="宋体"/>
                <w:bCs/>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广州马利</w:t>
            </w:r>
          </w:p>
        </w:tc>
        <w:tc>
          <w:tcPr>
            <w:tcW w:w="1035" w:type="dxa"/>
            <w:noWrap w:val="0"/>
            <w:vAlign w:val="center"/>
          </w:tcPr>
          <w:p>
            <w:pPr>
              <w:widowControl/>
              <w:jc w:val="center"/>
              <w:rPr>
                <w:rFonts w:hint="eastAsia" w:ascii="宋体" w:hAnsi="宋体" w:eastAsia="宋体" w:cs="宋体"/>
                <w:bCs/>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大连BAC</w:t>
            </w:r>
          </w:p>
        </w:tc>
        <w:tc>
          <w:tcPr>
            <w:tcW w:w="1020" w:type="dxa"/>
            <w:noWrap w:val="0"/>
            <w:vAlign w:val="center"/>
          </w:tcPr>
          <w:p>
            <w:pPr>
              <w:widowControl/>
              <w:jc w:val="center"/>
              <w:rPr>
                <w:rFonts w:hint="eastAsia" w:ascii="宋体" w:hAnsi="宋体" w:eastAsia="宋体" w:cs="宋体"/>
                <w:bCs/>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益美高</w:t>
            </w:r>
          </w:p>
        </w:tc>
        <w:tc>
          <w:tcPr>
            <w:tcW w:w="945" w:type="dxa"/>
            <w:noWrap w:val="0"/>
            <w:vAlign w:val="center"/>
          </w:tcPr>
          <w:p>
            <w:pPr>
              <w:widowControl/>
              <w:jc w:val="center"/>
              <w:rPr>
                <w:rFonts w:hint="eastAsia" w:hAnsi="宋体" w:eastAsia="宋体" w:cs="宋体"/>
                <w:bCs w:val="0"/>
                <w:color w:val="auto"/>
                <w:kern w:val="0"/>
                <w:sz w:val="21"/>
                <w:szCs w:val="21"/>
                <w:highlight w:val="none"/>
              </w:rPr>
            </w:pPr>
          </w:p>
        </w:tc>
        <w:tc>
          <w:tcPr>
            <w:tcW w:w="825" w:type="dxa"/>
            <w:noWrap w:val="0"/>
            <w:vAlign w:val="center"/>
          </w:tcPr>
          <w:p>
            <w:pPr>
              <w:widowControl/>
              <w:jc w:val="center"/>
              <w:rPr>
                <w:rFonts w:hint="eastAsia" w:hAnsi="宋体" w:eastAsia="宋体" w:cs="宋体"/>
                <w:bCs w:val="0"/>
                <w:color w:val="auto"/>
                <w:kern w:val="0"/>
                <w:sz w:val="21"/>
                <w:szCs w:val="21"/>
                <w:highlight w:val="none"/>
              </w:rPr>
            </w:pP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590" w:type="dxa"/>
            <w:noWrap/>
            <w:vAlign w:val="center"/>
          </w:tcPr>
          <w:p>
            <w:pPr>
              <w:widowControl/>
              <w:jc w:val="center"/>
              <w:rPr>
                <w:rFonts w:hint="eastAsia" w:ascii="宋体" w:hAnsi="宋体" w:eastAsia="宋体" w:cs="宋体"/>
                <w:bCs w:val="0"/>
                <w:color w:val="auto"/>
                <w:kern w:val="0"/>
                <w:sz w:val="21"/>
                <w:szCs w:val="21"/>
                <w:highlight w:val="none"/>
                <w:lang w:val="en-US" w:eastAsia="zh-CN" w:bidi="ar-SA"/>
              </w:rPr>
            </w:pPr>
            <w:r>
              <w:rPr>
                <w:rFonts w:hint="eastAsia" w:hAnsi="宋体" w:eastAsia="宋体" w:cs="宋体"/>
                <w:bCs w:val="0"/>
                <w:color w:val="auto"/>
                <w:kern w:val="0"/>
                <w:sz w:val="21"/>
                <w:szCs w:val="21"/>
                <w:highlight w:val="none"/>
                <w:lang w:val="en-US" w:eastAsia="zh-CN"/>
              </w:rPr>
              <w:t>9</w:t>
            </w:r>
          </w:p>
        </w:tc>
        <w:tc>
          <w:tcPr>
            <w:tcW w:w="2231" w:type="dxa"/>
            <w:noWrap w:val="0"/>
            <w:vAlign w:val="center"/>
          </w:tcPr>
          <w:p>
            <w:pPr>
              <w:widowControl/>
              <w:jc w:val="center"/>
              <w:rPr>
                <w:rFonts w:hint="eastAsia" w:ascii="宋体" w:hAnsi="宋体" w:eastAsia="宋体" w:cs="宋体"/>
                <w:bCs/>
                <w:color w:val="000000" w:themeColor="text1"/>
                <w:kern w:val="0"/>
                <w:sz w:val="21"/>
                <w:szCs w:val="21"/>
                <w:highlight w:val="none"/>
                <w:lang w:val="en-US" w:eastAsia="zh-CN" w:bidi="ar-SA"/>
                <w14:textFill>
                  <w14:solidFill>
                    <w14:schemeClr w14:val="tx1"/>
                  </w14:solidFill>
                </w14:textFill>
              </w:rPr>
            </w:pPr>
            <w:r>
              <w:rPr>
                <w:rFonts w:hint="eastAsia" w:cs="宋体"/>
                <w:bCs/>
                <w:color w:val="000000" w:themeColor="text1"/>
                <w:kern w:val="0"/>
                <w:sz w:val="21"/>
                <w:szCs w:val="21"/>
                <w:highlight w:val="none"/>
                <w:lang w:val="en-US" w:eastAsia="zh-CN"/>
                <w14:textFill>
                  <w14:solidFill>
                    <w14:schemeClr w14:val="tx1"/>
                  </w14:solidFill>
                </w14:textFill>
              </w:rPr>
              <w:t>空调水</w:t>
            </w:r>
            <w:r>
              <w:rPr>
                <w:rFonts w:hint="eastAsia" w:ascii="宋体" w:hAnsi="宋体" w:eastAsia="宋体" w:cs="宋体"/>
                <w:bCs/>
                <w:color w:val="000000" w:themeColor="text1"/>
                <w:kern w:val="0"/>
                <w:sz w:val="21"/>
                <w:szCs w:val="21"/>
                <w:highlight w:val="none"/>
                <w14:textFill>
                  <w14:solidFill>
                    <w14:schemeClr w14:val="tx1"/>
                  </w14:solidFill>
                </w14:textFill>
              </w:rPr>
              <w:t>泵</w:t>
            </w:r>
          </w:p>
        </w:tc>
        <w:tc>
          <w:tcPr>
            <w:tcW w:w="1140" w:type="dxa"/>
            <w:noWrap w:val="0"/>
            <w:vAlign w:val="center"/>
          </w:tcPr>
          <w:p>
            <w:pPr>
              <w:widowControl/>
              <w:jc w:val="center"/>
              <w:rPr>
                <w:rFonts w:hint="eastAsia" w:ascii="宋体" w:hAnsi="宋体" w:eastAsia="宋体" w:cs="宋体"/>
                <w:bCs/>
                <w:color w:val="000000" w:themeColor="text1"/>
                <w:kern w:val="0"/>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德国凯士比</w:t>
            </w:r>
          </w:p>
        </w:tc>
        <w:tc>
          <w:tcPr>
            <w:tcW w:w="1035" w:type="dxa"/>
            <w:noWrap w:val="0"/>
            <w:vAlign w:val="center"/>
          </w:tcPr>
          <w:p>
            <w:pPr>
              <w:widowControl/>
              <w:jc w:val="center"/>
              <w:rPr>
                <w:rFonts w:hint="eastAsia" w:ascii="宋体" w:hAnsi="宋体" w:eastAsia="宋体" w:cs="宋体"/>
                <w:bCs/>
                <w:color w:val="000000" w:themeColor="text1"/>
                <w:kern w:val="0"/>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丹麦格兰富</w:t>
            </w:r>
          </w:p>
        </w:tc>
        <w:tc>
          <w:tcPr>
            <w:tcW w:w="1020" w:type="dxa"/>
            <w:noWrap w:val="0"/>
            <w:vAlign w:val="center"/>
          </w:tcPr>
          <w:p>
            <w:pPr>
              <w:widowControl/>
              <w:jc w:val="center"/>
              <w:rPr>
                <w:rFonts w:hint="eastAsia" w:ascii="宋体" w:hAnsi="宋体" w:eastAsia="宋体" w:cs="宋体"/>
                <w:bCs/>
                <w:color w:val="000000" w:themeColor="text1"/>
                <w:kern w:val="0"/>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德国威乐</w:t>
            </w:r>
          </w:p>
        </w:tc>
        <w:tc>
          <w:tcPr>
            <w:tcW w:w="945" w:type="dxa"/>
            <w:noWrap w:val="0"/>
            <w:vAlign w:val="center"/>
          </w:tcPr>
          <w:p>
            <w:pPr>
              <w:widowControl/>
              <w:jc w:val="center"/>
              <w:rPr>
                <w:rFonts w:hint="eastAsia" w:hAnsi="宋体" w:eastAsia="宋体" w:cs="宋体"/>
                <w:bCs w:val="0"/>
                <w:color w:val="auto"/>
                <w:kern w:val="0"/>
                <w:sz w:val="21"/>
                <w:szCs w:val="21"/>
                <w:highlight w:val="none"/>
              </w:rPr>
            </w:pPr>
          </w:p>
        </w:tc>
        <w:tc>
          <w:tcPr>
            <w:tcW w:w="825" w:type="dxa"/>
            <w:noWrap w:val="0"/>
            <w:vAlign w:val="center"/>
          </w:tcPr>
          <w:p>
            <w:pPr>
              <w:widowControl/>
              <w:jc w:val="center"/>
              <w:rPr>
                <w:rFonts w:hint="eastAsia" w:hAnsi="宋体" w:eastAsia="宋体" w:cs="宋体"/>
                <w:bCs w:val="0"/>
                <w:color w:val="auto"/>
                <w:kern w:val="0"/>
                <w:sz w:val="21"/>
                <w:szCs w:val="21"/>
                <w:highlight w:val="none"/>
              </w:rPr>
            </w:pP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590" w:type="dxa"/>
            <w:noWrap/>
            <w:vAlign w:val="center"/>
          </w:tcPr>
          <w:p>
            <w:pPr>
              <w:widowControl/>
              <w:jc w:val="center"/>
              <w:rPr>
                <w:rFonts w:hint="eastAsia" w:ascii="宋体" w:hAnsi="宋体" w:eastAsia="宋体" w:cs="宋体"/>
                <w:bCs w:val="0"/>
                <w:color w:val="auto"/>
                <w:kern w:val="0"/>
                <w:sz w:val="21"/>
                <w:szCs w:val="21"/>
                <w:highlight w:val="none"/>
                <w:lang w:val="en-US" w:eastAsia="zh-CN" w:bidi="ar-SA"/>
              </w:rPr>
            </w:pPr>
            <w:r>
              <w:rPr>
                <w:rFonts w:hint="eastAsia" w:hAnsi="宋体" w:eastAsia="宋体" w:cs="宋体"/>
                <w:bCs w:val="0"/>
                <w:color w:val="auto"/>
                <w:kern w:val="0"/>
                <w:sz w:val="21"/>
                <w:szCs w:val="21"/>
                <w:highlight w:val="none"/>
                <w:lang w:val="en-US" w:eastAsia="zh-CN"/>
              </w:rPr>
              <w:t>10</w:t>
            </w:r>
          </w:p>
        </w:tc>
        <w:tc>
          <w:tcPr>
            <w:tcW w:w="2231" w:type="dxa"/>
            <w:noWrap w:val="0"/>
            <w:vAlign w:val="center"/>
          </w:tcPr>
          <w:p>
            <w:pPr>
              <w:widowControl/>
              <w:jc w:val="center"/>
              <w:rPr>
                <w:rFonts w:hint="eastAsia" w:ascii="宋体" w:hAnsi="宋体" w:eastAsia="宋体" w:cs="宋体"/>
                <w:bCs/>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水处理器</w:t>
            </w:r>
          </w:p>
        </w:tc>
        <w:tc>
          <w:tcPr>
            <w:tcW w:w="1140" w:type="dxa"/>
            <w:noWrap w:val="0"/>
            <w:vAlign w:val="center"/>
          </w:tcPr>
          <w:p>
            <w:pPr>
              <w:widowControl/>
              <w:jc w:val="center"/>
              <w:rPr>
                <w:rFonts w:hint="eastAsia" w:ascii="宋体" w:hAnsi="宋体" w:eastAsia="宋体" w:cs="宋体"/>
                <w:bCs/>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广州粤新</w:t>
            </w:r>
          </w:p>
        </w:tc>
        <w:tc>
          <w:tcPr>
            <w:tcW w:w="1035" w:type="dxa"/>
            <w:noWrap w:val="0"/>
            <w:vAlign w:val="center"/>
          </w:tcPr>
          <w:p>
            <w:pPr>
              <w:widowControl/>
              <w:jc w:val="center"/>
              <w:rPr>
                <w:rFonts w:hint="eastAsia" w:ascii="宋体" w:hAnsi="宋体" w:eastAsia="宋体" w:cs="宋体"/>
                <w:bCs/>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上海富茵</w:t>
            </w:r>
          </w:p>
        </w:tc>
        <w:tc>
          <w:tcPr>
            <w:tcW w:w="1020" w:type="dxa"/>
            <w:noWrap w:val="0"/>
            <w:vAlign w:val="center"/>
          </w:tcPr>
          <w:p>
            <w:pPr>
              <w:widowControl/>
              <w:jc w:val="center"/>
              <w:rPr>
                <w:rFonts w:hint="eastAsia" w:ascii="宋体" w:hAnsi="宋体" w:eastAsia="宋体" w:cs="宋体"/>
                <w:bCs/>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同济水处理</w:t>
            </w:r>
          </w:p>
        </w:tc>
        <w:tc>
          <w:tcPr>
            <w:tcW w:w="945" w:type="dxa"/>
            <w:noWrap w:val="0"/>
            <w:vAlign w:val="center"/>
          </w:tcPr>
          <w:p>
            <w:pPr>
              <w:widowControl/>
              <w:jc w:val="center"/>
              <w:rPr>
                <w:rFonts w:hint="eastAsia" w:hAnsi="宋体" w:eastAsia="宋体" w:cs="宋体"/>
                <w:bCs w:val="0"/>
                <w:color w:val="auto"/>
                <w:kern w:val="0"/>
                <w:sz w:val="21"/>
                <w:szCs w:val="21"/>
                <w:highlight w:val="none"/>
              </w:rPr>
            </w:pPr>
          </w:p>
        </w:tc>
        <w:tc>
          <w:tcPr>
            <w:tcW w:w="825" w:type="dxa"/>
            <w:noWrap w:val="0"/>
            <w:vAlign w:val="center"/>
          </w:tcPr>
          <w:p>
            <w:pPr>
              <w:widowControl/>
              <w:jc w:val="center"/>
              <w:rPr>
                <w:rFonts w:hint="eastAsia" w:hAnsi="宋体" w:eastAsia="宋体" w:cs="宋体"/>
                <w:bCs w:val="0"/>
                <w:color w:val="auto"/>
                <w:kern w:val="0"/>
                <w:sz w:val="21"/>
                <w:szCs w:val="21"/>
                <w:highlight w:val="none"/>
              </w:rPr>
            </w:pP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9996" w:type="dxa"/>
            <w:gridSpan w:val="10"/>
            <w:noWrap/>
            <w:vAlign w:val="center"/>
          </w:tcPr>
          <w:p>
            <w:pPr>
              <w:widowControl/>
              <w:jc w:val="center"/>
              <w:rPr>
                <w:rFonts w:hint="default" w:hAnsi="宋体" w:eastAsia="宋体" w:cs="宋体"/>
                <w:bCs w:val="0"/>
                <w:color w:val="auto"/>
                <w:kern w:val="0"/>
                <w:sz w:val="21"/>
                <w:szCs w:val="21"/>
                <w:highlight w:val="none"/>
                <w:lang w:val="en-US" w:eastAsia="zh-CN"/>
              </w:rPr>
            </w:pPr>
            <w:r>
              <w:rPr>
                <w:rFonts w:hint="eastAsia" w:hAnsi="宋体" w:eastAsia="宋体" w:cs="宋体"/>
                <w:b/>
                <w:bCs/>
                <w:color w:val="auto"/>
                <w:kern w:val="0"/>
                <w:sz w:val="21"/>
                <w:szCs w:val="21"/>
                <w:highlight w:val="none"/>
                <w:lang w:val="en-US" w:eastAsia="zh-CN"/>
              </w:rPr>
              <w:t>厨房设备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ign w:val="center"/>
          </w:tcPr>
          <w:p>
            <w:pPr>
              <w:keepNext w:val="0"/>
              <w:keepLines w:val="0"/>
              <w:widowControl/>
              <w:suppressLineNumbers w:val="0"/>
              <w:jc w:val="center"/>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1</w:t>
            </w:r>
          </w:p>
        </w:tc>
        <w:tc>
          <w:tcPr>
            <w:tcW w:w="2231" w:type="dxa"/>
            <w:noWrap w:val="0"/>
            <w:vAlign w:val="center"/>
          </w:tcPr>
          <w:p>
            <w:pPr>
              <w:keepNext w:val="0"/>
              <w:keepLines w:val="0"/>
              <w:widowControl/>
              <w:suppressLineNumbers w:val="0"/>
              <w:jc w:val="left"/>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厂制品不锈钢</w:t>
            </w:r>
          </w:p>
        </w:tc>
        <w:tc>
          <w:tcPr>
            <w:tcW w:w="1140" w:type="dxa"/>
            <w:noWrap w:val="0"/>
            <w:vAlign w:val="center"/>
          </w:tcPr>
          <w:p>
            <w:pPr>
              <w:keepNext w:val="0"/>
              <w:keepLines w:val="0"/>
              <w:widowControl/>
              <w:suppressLineNumbers w:val="0"/>
              <w:jc w:val="center"/>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蒲项</w:t>
            </w:r>
          </w:p>
        </w:tc>
        <w:tc>
          <w:tcPr>
            <w:tcW w:w="1035" w:type="dxa"/>
            <w:noWrap w:val="0"/>
            <w:vAlign w:val="center"/>
          </w:tcPr>
          <w:p>
            <w:pPr>
              <w:keepNext w:val="0"/>
              <w:keepLines w:val="0"/>
              <w:widowControl/>
              <w:suppressLineNumbers w:val="0"/>
              <w:jc w:val="center"/>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联众</w:t>
            </w:r>
          </w:p>
        </w:tc>
        <w:tc>
          <w:tcPr>
            <w:tcW w:w="1020" w:type="dxa"/>
            <w:noWrap w:val="0"/>
            <w:vAlign w:val="center"/>
          </w:tcPr>
          <w:p>
            <w:pPr>
              <w:keepNext w:val="0"/>
              <w:keepLines w:val="0"/>
              <w:widowControl/>
              <w:suppressLineNumbers w:val="0"/>
              <w:jc w:val="center"/>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太钢</w:t>
            </w:r>
          </w:p>
        </w:tc>
        <w:tc>
          <w:tcPr>
            <w:tcW w:w="945" w:type="dxa"/>
            <w:noWrap w:val="0"/>
            <w:vAlign w:val="center"/>
          </w:tcPr>
          <w:p>
            <w:pPr>
              <w:keepNext w:val="0"/>
              <w:keepLines w:val="0"/>
              <w:widowControl/>
              <w:suppressLineNumbers w:val="0"/>
              <w:jc w:val="center"/>
              <w:textAlignment w:val="center"/>
              <w:rPr>
                <w:rFonts w:hint="eastAsia" w:ascii="宋体" w:hAnsi="宋体" w:eastAsia="宋体" w:cs="宋体"/>
                <w:bCs/>
                <w:i w:val="0"/>
                <w:iCs w:val="0"/>
                <w:color w:val="auto"/>
                <w:kern w:val="0"/>
                <w:sz w:val="21"/>
                <w:szCs w:val="21"/>
                <w:highlight w:val="none"/>
                <w:u w:val="none"/>
                <w:lang w:val="en-US" w:eastAsia="zh-CN" w:bidi="ar"/>
              </w:rPr>
            </w:pPr>
          </w:p>
        </w:tc>
        <w:tc>
          <w:tcPr>
            <w:tcW w:w="825" w:type="dxa"/>
            <w:noWrap w:val="0"/>
            <w:vAlign w:val="center"/>
          </w:tcPr>
          <w:p>
            <w:pPr>
              <w:widowControl/>
              <w:jc w:val="center"/>
              <w:rPr>
                <w:rFonts w:hint="eastAsia" w:hAnsi="宋体" w:eastAsia="宋体" w:cs="宋体"/>
                <w:bCs w:val="0"/>
                <w:color w:val="auto"/>
                <w:kern w:val="0"/>
                <w:sz w:val="21"/>
                <w:szCs w:val="21"/>
                <w:highlight w:val="none"/>
              </w:rPr>
            </w:pP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ign w:val="center"/>
          </w:tcPr>
          <w:p>
            <w:pPr>
              <w:keepNext w:val="0"/>
              <w:keepLines w:val="0"/>
              <w:widowControl/>
              <w:suppressLineNumbers w:val="0"/>
              <w:jc w:val="center"/>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2</w:t>
            </w:r>
          </w:p>
        </w:tc>
        <w:tc>
          <w:tcPr>
            <w:tcW w:w="2231" w:type="dxa"/>
            <w:noWrap w:val="0"/>
            <w:vAlign w:val="center"/>
          </w:tcPr>
          <w:p>
            <w:pPr>
              <w:keepNext w:val="0"/>
              <w:keepLines w:val="0"/>
              <w:widowControl/>
              <w:suppressLineNumbers w:val="0"/>
              <w:jc w:val="left"/>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四门冷藏冰箱、四门冷冻冰箱、四门双机双温冰</w:t>
            </w:r>
            <w:r>
              <w:rPr>
                <w:rStyle w:val="74"/>
                <w:rFonts w:hint="eastAsia" w:ascii="宋体" w:hAnsi="宋体" w:eastAsia="宋体" w:cs="宋体"/>
                <w:i w:val="0"/>
                <w:iCs w:val="0"/>
                <w:color w:val="auto"/>
                <w:kern w:val="0"/>
                <w:sz w:val="21"/>
                <w:szCs w:val="21"/>
                <w:highlight w:val="none"/>
                <w:u w:val="none"/>
                <w:lang w:val="en-US" w:eastAsia="zh-CN" w:bidi="ar"/>
              </w:rPr>
              <w:footnoteReference w:id="27"/>
            </w:r>
            <w:r>
              <w:rPr>
                <w:rFonts w:hint="eastAsia" w:ascii="宋体" w:hAnsi="宋体" w:eastAsia="宋体" w:cs="宋体"/>
                <w:i w:val="0"/>
                <w:iCs w:val="0"/>
                <w:color w:val="auto"/>
                <w:kern w:val="0"/>
                <w:sz w:val="21"/>
                <w:szCs w:val="21"/>
                <w:highlight w:val="none"/>
                <w:u w:val="none"/>
                <w:lang w:val="en-US" w:eastAsia="zh-CN" w:bidi="ar"/>
              </w:rPr>
              <w:t>箱、冷藏工作柜、留样柜、冷藏工作柜</w:t>
            </w:r>
          </w:p>
        </w:tc>
        <w:tc>
          <w:tcPr>
            <w:tcW w:w="1140" w:type="dxa"/>
            <w:noWrap w:val="0"/>
            <w:vAlign w:val="center"/>
          </w:tcPr>
          <w:p>
            <w:pPr>
              <w:keepNext w:val="0"/>
              <w:keepLines w:val="0"/>
              <w:widowControl/>
              <w:suppressLineNumbers w:val="0"/>
              <w:jc w:val="center"/>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 xml:space="preserve">容声  </w:t>
            </w:r>
          </w:p>
        </w:tc>
        <w:tc>
          <w:tcPr>
            <w:tcW w:w="1035" w:type="dxa"/>
            <w:noWrap w:val="0"/>
            <w:vAlign w:val="center"/>
          </w:tcPr>
          <w:p>
            <w:pPr>
              <w:keepNext w:val="0"/>
              <w:keepLines w:val="0"/>
              <w:widowControl/>
              <w:suppressLineNumbers w:val="0"/>
              <w:jc w:val="center"/>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tcl</w:t>
            </w:r>
          </w:p>
        </w:tc>
        <w:tc>
          <w:tcPr>
            <w:tcW w:w="1020" w:type="dxa"/>
            <w:noWrap w:val="0"/>
            <w:vAlign w:val="center"/>
          </w:tcPr>
          <w:p>
            <w:pPr>
              <w:keepNext w:val="0"/>
              <w:keepLines w:val="0"/>
              <w:widowControl/>
              <w:suppressLineNumbers w:val="0"/>
              <w:jc w:val="center"/>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FOSTER</w:t>
            </w:r>
          </w:p>
        </w:tc>
        <w:tc>
          <w:tcPr>
            <w:tcW w:w="945" w:type="dxa"/>
            <w:noWrap w:val="0"/>
            <w:vAlign w:val="center"/>
          </w:tcPr>
          <w:p>
            <w:pPr>
              <w:keepNext w:val="0"/>
              <w:keepLines w:val="0"/>
              <w:widowControl/>
              <w:suppressLineNumbers w:val="0"/>
              <w:jc w:val="center"/>
              <w:textAlignment w:val="center"/>
              <w:rPr>
                <w:rFonts w:hint="eastAsia" w:ascii="宋体" w:hAnsi="宋体" w:eastAsia="宋体" w:cs="宋体"/>
                <w:bCs/>
                <w:i w:val="0"/>
                <w:iCs w:val="0"/>
                <w:color w:val="auto"/>
                <w:kern w:val="0"/>
                <w:sz w:val="21"/>
                <w:szCs w:val="21"/>
                <w:highlight w:val="none"/>
                <w:u w:val="none"/>
                <w:lang w:val="en-US" w:eastAsia="zh-CN" w:bidi="ar"/>
              </w:rPr>
            </w:pPr>
          </w:p>
        </w:tc>
        <w:tc>
          <w:tcPr>
            <w:tcW w:w="825" w:type="dxa"/>
            <w:noWrap w:val="0"/>
            <w:vAlign w:val="center"/>
          </w:tcPr>
          <w:p>
            <w:pPr>
              <w:widowControl/>
              <w:jc w:val="center"/>
              <w:rPr>
                <w:rFonts w:hint="eastAsia" w:hAnsi="宋体" w:eastAsia="宋体" w:cs="宋体"/>
                <w:bCs w:val="0"/>
                <w:color w:val="auto"/>
                <w:kern w:val="0"/>
                <w:sz w:val="21"/>
                <w:szCs w:val="21"/>
                <w:highlight w:val="none"/>
              </w:rPr>
            </w:pP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ign w:val="center"/>
          </w:tcPr>
          <w:p>
            <w:pPr>
              <w:keepNext w:val="0"/>
              <w:keepLines w:val="0"/>
              <w:widowControl/>
              <w:suppressLineNumbers w:val="0"/>
              <w:jc w:val="center"/>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3</w:t>
            </w:r>
          </w:p>
        </w:tc>
        <w:tc>
          <w:tcPr>
            <w:tcW w:w="2231" w:type="dxa"/>
            <w:noWrap w:val="0"/>
            <w:vAlign w:val="center"/>
          </w:tcPr>
          <w:p>
            <w:pPr>
              <w:keepNext w:val="0"/>
              <w:keepLines w:val="0"/>
              <w:widowControl/>
              <w:suppressLineNumbers w:val="0"/>
              <w:jc w:val="left"/>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单头单尾炒炉</w:t>
            </w:r>
          </w:p>
        </w:tc>
        <w:tc>
          <w:tcPr>
            <w:tcW w:w="1140" w:type="dxa"/>
            <w:noWrap w:val="0"/>
            <w:vAlign w:val="center"/>
          </w:tcPr>
          <w:p>
            <w:pPr>
              <w:keepNext w:val="0"/>
              <w:keepLines w:val="0"/>
              <w:widowControl/>
              <w:suppressLineNumbers w:val="0"/>
              <w:jc w:val="center"/>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名厨</w:t>
            </w:r>
          </w:p>
        </w:tc>
        <w:tc>
          <w:tcPr>
            <w:tcW w:w="1035" w:type="dxa"/>
            <w:noWrap w:val="0"/>
            <w:vAlign w:val="center"/>
          </w:tcPr>
          <w:p>
            <w:pPr>
              <w:keepNext w:val="0"/>
              <w:keepLines w:val="0"/>
              <w:widowControl/>
              <w:suppressLineNumbers w:val="0"/>
              <w:jc w:val="center"/>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美的</w:t>
            </w:r>
          </w:p>
        </w:tc>
        <w:tc>
          <w:tcPr>
            <w:tcW w:w="1020" w:type="dxa"/>
            <w:noWrap w:val="0"/>
            <w:vAlign w:val="center"/>
          </w:tcPr>
          <w:p>
            <w:pPr>
              <w:keepNext w:val="0"/>
              <w:keepLines w:val="0"/>
              <w:widowControl/>
              <w:suppressLineNumbers w:val="0"/>
              <w:jc w:val="center"/>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沁鑫</w:t>
            </w:r>
          </w:p>
        </w:tc>
        <w:tc>
          <w:tcPr>
            <w:tcW w:w="945" w:type="dxa"/>
            <w:noWrap w:val="0"/>
            <w:vAlign w:val="center"/>
          </w:tcPr>
          <w:p>
            <w:pPr>
              <w:keepNext w:val="0"/>
              <w:keepLines w:val="0"/>
              <w:widowControl/>
              <w:suppressLineNumbers w:val="0"/>
              <w:jc w:val="center"/>
              <w:textAlignment w:val="center"/>
              <w:rPr>
                <w:rFonts w:hint="eastAsia" w:ascii="宋体" w:hAnsi="宋体" w:eastAsia="宋体" w:cs="宋体"/>
                <w:bCs/>
                <w:i w:val="0"/>
                <w:iCs w:val="0"/>
                <w:color w:val="auto"/>
                <w:kern w:val="0"/>
                <w:sz w:val="21"/>
                <w:szCs w:val="21"/>
                <w:highlight w:val="none"/>
                <w:u w:val="none"/>
                <w:lang w:val="en-US" w:eastAsia="zh-CN" w:bidi="ar"/>
              </w:rPr>
            </w:pPr>
          </w:p>
        </w:tc>
        <w:tc>
          <w:tcPr>
            <w:tcW w:w="825" w:type="dxa"/>
            <w:noWrap w:val="0"/>
            <w:vAlign w:val="center"/>
          </w:tcPr>
          <w:p>
            <w:pPr>
              <w:widowControl/>
              <w:jc w:val="center"/>
              <w:rPr>
                <w:rFonts w:hint="eastAsia" w:hAnsi="宋体" w:eastAsia="宋体" w:cs="宋体"/>
                <w:bCs w:val="0"/>
                <w:color w:val="auto"/>
                <w:kern w:val="0"/>
                <w:sz w:val="21"/>
                <w:szCs w:val="21"/>
                <w:highlight w:val="none"/>
              </w:rPr>
            </w:pP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ign w:val="center"/>
          </w:tcPr>
          <w:p>
            <w:pPr>
              <w:keepNext w:val="0"/>
              <w:keepLines w:val="0"/>
              <w:widowControl/>
              <w:suppressLineNumbers w:val="0"/>
              <w:jc w:val="center"/>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4</w:t>
            </w:r>
          </w:p>
        </w:tc>
        <w:tc>
          <w:tcPr>
            <w:tcW w:w="2231" w:type="dxa"/>
            <w:noWrap w:val="0"/>
            <w:vAlign w:val="center"/>
          </w:tcPr>
          <w:p>
            <w:pPr>
              <w:keepNext w:val="0"/>
              <w:keepLines w:val="0"/>
              <w:widowControl/>
              <w:suppressLineNumbers w:val="0"/>
              <w:jc w:val="left"/>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单头大锅灶</w:t>
            </w:r>
          </w:p>
        </w:tc>
        <w:tc>
          <w:tcPr>
            <w:tcW w:w="1140" w:type="dxa"/>
            <w:noWrap w:val="0"/>
            <w:vAlign w:val="center"/>
          </w:tcPr>
          <w:p>
            <w:pPr>
              <w:keepNext w:val="0"/>
              <w:keepLines w:val="0"/>
              <w:widowControl/>
              <w:suppressLineNumbers w:val="0"/>
              <w:jc w:val="center"/>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名厨</w:t>
            </w:r>
          </w:p>
        </w:tc>
        <w:tc>
          <w:tcPr>
            <w:tcW w:w="1035" w:type="dxa"/>
            <w:noWrap w:val="0"/>
            <w:vAlign w:val="center"/>
          </w:tcPr>
          <w:p>
            <w:pPr>
              <w:keepNext w:val="0"/>
              <w:keepLines w:val="0"/>
              <w:widowControl/>
              <w:suppressLineNumbers w:val="0"/>
              <w:jc w:val="center"/>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美的</w:t>
            </w:r>
          </w:p>
        </w:tc>
        <w:tc>
          <w:tcPr>
            <w:tcW w:w="1020" w:type="dxa"/>
            <w:noWrap w:val="0"/>
            <w:vAlign w:val="center"/>
          </w:tcPr>
          <w:p>
            <w:pPr>
              <w:keepNext w:val="0"/>
              <w:keepLines w:val="0"/>
              <w:widowControl/>
              <w:suppressLineNumbers w:val="0"/>
              <w:jc w:val="center"/>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沁鑫</w:t>
            </w:r>
          </w:p>
        </w:tc>
        <w:tc>
          <w:tcPr>
            <w:tcW w:w="945" w:type="dxa"/>
            <w:noWrap w:val="0"/>
            <w:vAlign w:val="center"/>
          </w:tcPr>
          <w:p>
            <w:pPr>
              <w:keepNext w:val="0"/>
              <w:keepLines w:val="0"/>
              <w:widowControl/>
              <w:suppressLineNumbers w:val="0"/>
              <w:jc w:val="center"/>
              <w:textAlignment w:val="center"/>
              <w:rPr>
                <w:rFonts w:hint="eastAsia" w:ascii="宋体" w:hAnsi="宋体" w:eastAsia="宋体" w:cs="宋体"/>
                <w:bCs/>
                <w:i w:val="0"/>
                <w:iCs w:val="0"/>
                <w:color w:val="auto"/>
                <w:kern w:val="0"/>
                <w:sz w:val="21"/>
                <w:szCs w:val="21"/>
                <w:highlight w:val="none"/>
                <w:u w:val="none"/>
                <w:lang w:val="en-US" w:eastAsia="zh-CN" w:bidi="ar"/>
              </w:rPr>
            </w:pPr>
          </w:p>
        </w:tc>
        <w:tc>
          <w:tcPr>
            <w:tcW w:w="825" w:type="dxa"/>
            <w:noWrap w:val="0"/>
            <w:vAlign w:val="center"/>
          </w:tcPr>
          <w:p>
            <w:pPr>
              <w:widowControl/>
              <w:jc w:val="center"/>
              <w:rPr>
                <w:rFonts w:hint="eastAsia" w:hAnsi="宋体" w:eastAsia="宋体" w:cs="宋体"/>
                <w:bCs w:val="0"/>
                <w:color w:val="auto"/>
                <w:kern w:val="0"/>
                <w:sz w:val="21"/>
                <w:szCs w:val="21"/>
                <w:highlight w:val="none"/>
              </w:rPr>
            </w:pP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ign w:val="center"/>
          </w:tcPr>
          <w:p>
            <w:pPr>
              <w:keepNext w:val="0"/>
              <w:keepLines w:val="0"/>
              <w:widowControl/>
              <w:suppressLineNumbers w:val="0"/>
              <w:jc w:val="center"/>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5</w:t>
            </w:r>
          </w:p>
        </w:tc>
        <w:tc>
          <w:tcPr>
            <w:tcW w:w="2231" w:type="dxa"/>
            <w:noWrap w:val="0"/>
            <w:vAlign w:val="center"/>
          </w:tcPr>
          <w:p>
            <w:pPr>
              <w:keepNext w:val="0"/>
              <w:keepLines w:val="0"/>
              <w:widowControl/>
              <w:suppressLineNumbers w:val="0"/>
              <w:jc w:val="left"/>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单头汤炉</w:t>
            </w:r>
          </w:p>
        </w:tc>
        <w:tc>
          <w:tcPr>
            <w:tcW w:w="1140" w:type="dxa"/>
            <w:noWrap w:val="0"/>
            <w:vAlign w:val="center"/>
          </w:tcPr>
          <w:p>
            <w:pPr>
              <w:keepNext w:val="0"/>
              <w:keepLines w:val="0"/>
              <w:widowControl/>
              <w:suppressLineNumbers w:val="0"/>
              <w:jc w:val="center"/>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名厨</w:t>
            </w:r>
          </w:p>
        </w:tc>
        <w:tc>
          <w:tcPr>
            <w:tcW w:w="1035" w:type="dxa"/>
            <w:noWrap w:val="0"/>
            <w:vAlign w:val="center"/>
          </w:tcPr>
          <w:p>
            <w:pPr>
              <w:keepNext w:val="0"/>
              <w:keepLines w:val="0"/>
              <w:widowControl/>
              <w:suppressLineNumbers w:val="0"/>
              <w:jc w:val="center"/>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美的</w:t>
            </w:r>
          </w:p>
        </w:tc>
        <w:tc>
          <w:tcPr>
            <w:tcW w:w="1020" w:type="dxa"/>
            <w:noWrap w:val="0"/>
            <w:vAlign w:val="center"/>
          </w:tcPr>
          <w:p>
            <w:pPr>
              <w:keepNext w:val="0"/>
              <w:keepLines w:val="0"/>
              <w:widowControl/>
              <w:suppressLineNumbers w:val="0"/>
              <w:jc w:val="center"/>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沁鑫</w:t>
            </w:r>
          </w:p>
        </w:tc>
        <w:tc>
          <w:tcPr>
            <w:tcW w:w="945" w:type="dxa"/>
            <w:noWrap w:val="0"/>
            <w:vAlign w:val="center"/>
          </w:tcPr>
          <w:p>
            <w:pPr>
              <w:keepNext w:val="0"/>
              <w:keepLines w:val="0"/>
              <w:widowControl/>
              <w:suppressLineNumbers w:val="0"/>
              <w:jc w:val="center"/>
              <w:textAlignment w:val="center"/>
              <w:rPr>
                <w:rFonts w:hint="eastAsia" w:ascii="宋体" w:hAnsi="宋体" w:eastAsia="宋体" w:cs="宋体"/>
                <w:bCs/>
                <w:i w:val="0"/>
                <w:iCs w:val="0"/>
                <w:color w:val="auto"/>
                <w:kern w:val="0"/>
                <w:sz w:val="21"/>
                <w:szCs w:val="21"/>
                <w:highlight w:val="none"/>
                <w:u w:val="none"/>
                <w:lang w:val="en-US" w:eastAsia="zh-CN" w:bidi="ar"/>
              </w:rPr>
            </w:pPr>
          </w:p>
        </w:tc>
        <w:tc>
          <w:tcPr>
            <w:tcW w:w="825" w:type="dxa"/>
            <w:noWrap w:val="0"/>
            <w:vAlign w:val="center"/>
          </w:tcPr>
          <w:p>
            <w:pPr>
              <w:widowControl/>
              <w:jc w:val="center"/>
              <w:rPr>
                <w:rFonts w:hint="eastAsia" w:hAnsi="宋体" w:eastAsia="宋体" w:cs="宋体"/>
                <w:bCs w:val="0"/>
                <w:color w:val="auto"/>
                <w:kern w:val="0"/>
                <w:sz w:val="21"/>
                <w:szCs w:val="21"/>
                <w:highlight w:val="none"/>
              </w:rPr>
            </w:pP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590" w:type="dxa"/>
            <w:noWrap/>
            <w:vAlign w:val="center"/>
          </w:tcPr>
          <w:p>
            <w:pPr>
              <w:keepNext w:val="0"/>
              <w:keepLines w:val="0"/>
              <w:widowControl/>
              <w:suppressLineNumbers w:val="0"/>
              <w:jc w:val="center"/>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6</w:t>
            </w:r>
          </w:p>
        </w:tc>
        <w:tc>
          <w:tcPr>
            <w:tcW w:w="2231" w:type="dxa"/>
            <w:noWrap w:val="0"/>
            <w:vAlign w:val="center"/>
          </w:tcPr>
          <w:p>
            <w:pPr>
              <w:keepNext w:val="0"/>
              <w:keepLines w:val="0"/>
              <w:widowControl/>
              <w:suppressLineNumbers w:val="0"/>
              <w:jc w:val="left"/>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电热蒸饭车</w:t>
            </w:r>
          </w:p>
        </w:tc>
        <w:tc>
          <w:tcPr>
            <w:tcW w:w="11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名厨磁电</w:t>
            </w:r>
          </w:p>
          <w:p>
            <w:pPr>
              <w:keepNext w:val="0"/>
              <w:keepLines w:val="0"/>
              <w:widowControl/>
              <w:suppressLineNumbers w:val="0"/>
              <w:jc w:val="center"/>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Mantru.e</w:t>
            </w:r>
          </w:p>
        </w:tc>
        <w:tc>
          <w:tcPr>
            <w:tcW w:w="103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科能</w:t>
            </w:r>
          </w:p>
          <w:p>
            <w:pPr>
              <w:keepNext w:val="0"/>
              <w:keepLines w:val="0"/>
              <w:widowControl/>
              <w:suppressLineNumbers w:val="0"/>
              <w:jc w:val="center"/>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INTECH</w:t>
            </w:r>
          </w:p>
        </w:tc>
        <w:tc>
          <w:tcPr>
            <w:tcW w:w="102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玛克</w:t>
            </w:r>
          </w:p>
          <w:p>
            <w:pPr>
              <w:keepNext w:val="0"/>
              <w:keepLines w:val="0"/>
              <w:widowControl/>
              <w:suppressLineNumbers w:val="0"/>
              <w:jc w:val="center"/>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Elite Flame</w:t>
            </w:r>
          </w:p>
        </w:tc>
        <w:tc>
          <w:tcPr>
            <w:tcW w:w="945" w:type="dxa"/>
            <w:noWrap w:val="0"/>
            <w:vAlign w:val="center"/>
          </w:tcPr>
          <w:p>
            <w:pPr>
              <w:keepNext w:val="0"/>
              <w:keepLines w:val="0"/>
              <w:widowControl/>
              <w:suppressLineNumbers w:val="0"/>
              <w:jc w:val="center"/>
              <w:textAlignment w:val="center"/>
              <w:rPr>
                <w:rFonts w:hint="eastAsia" w:ascii="宋体" w:hAnsi="宋体" w:eastAsia="宋体" w:cs="宋体"/>
                <w:bCs/>
                <w:i w:val="0"/>
                <w:iCs w:val="0"/>
                <w:color w:val="auto"/>
                <w:kern w:val="0"/>
                <w:sz w:val="21"/>
                <w:szCs w:val="21"/>
                <w:highlight w:val="none"/>
                <w:u w:val="none"/>
                <w:lang w:val="en-US" w:eastAsia="zh-CN" w:bidi="ar"/>
              </w:rPr>
            </w:pPr>
          </w:p>
        </w:tc>
        <w:tc>
          <w:tcPr>
            <w:tcW w:w="825" w:type="dxa"/>
            <w:noWrap w:val="0"/>
            <w:vAlign w:val="center"/>
          </w:tcPr>
          <w:p>
            <w:pPr>
              <w:widowControl/>
              <w:jc w:val="center"/>
              <w:rPr>
                <w:rFonts w:hint="eastAsia" w:hAnsi="宋体" w:eastAsia="宋体" w:cs="宋体"/>
                <w:bCs w:val="0"/>
                <w:color w:val="auto"/>
                <w:kern w:val="0"/>
                <w:sz w:val="21"/>
                <w:szCs w:val="21"/>
                <w:highlight w:val="none"/>
              </w:rPr>
            </w:pP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590" w:type="dxa"/>
            <w:noWrap/>
            <w:vAlign w:val="center"/>
          </w:tcPr>
          <w:p>
            <w:pPr>
              <w:keepNext w:val="0"/>
              <w:keepLines w:val="0"/>
              <w:widowControl/>
              <w:suppressLineNumbers w:val="0"/>
              <w:jc w:val="center"/>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7</w:t>
            </w:r>
          </w:p>
        </w:tc>
        <w:tc>
          <w:tcPr>
            <w:tcW w:w="2231" w:type="dxa"/>
            <w:noWrap w:val="0"/>
            <w:vAlign w:val="center"/>
          </w:tcPr>
          <w:p>
            <w:pPr>
              <w:keepNext w:val="0"/>
              <w:keepLines w:val="0"/>
              <w:widowControl/>
              <w:suppressLineNumbers w:val="0"/>
              <w:jc w:val="left"/>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双门不锈钢门消毒柜</w:t>
            </w:r>
          </w:p>
        </w:tc>
        <w:tc>
          <w:tcPr>
            <w:tcW w:w="1140" w:type="dxa"/>
            <w:noWrap w:val="0"/>
            <w:vAlign w:val="center"/>
          </w:tcPr>
          <w:p>
            <w:pPr>
              <w:keepNext w:val="0"/>
              <w:keepLines w:val="0"/>
              <w:widowControl/>
              <w:suppressLineNumbers w:val="0"/>
              <w:jc w:val="center"/>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美厨</w:t>
            </w:r>
          </w:p>
        </w:tc>
        <w:tc>
          <w:tcPr>
            <w:tcW w:w="1035" w:type="dxa"/>
            <w:noWrap w:val="0"/>
            <w:vAlign w:val="center"/>
          </w:tcPr>
          <w:p>
            <w:pPr>
              <w:keepNext w:val="0"/>
              <w:keepLines w:val="0"/>
              <w:widowControl/>
              <w:suppressLineNumbers w:val="0"/>
              <w:jc w:val="center"/>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康宝</w:t>
            </w:r>
          </w:p>
        </w:tc>
        <w:tc>
          <w:tcPr>
            <w:tcW w:w="1020" w:type="dxa"/>
            <w:noWrap w:val="0"/>
            <w:vAlign w:val="center"/>
          </w:tcPr>
          <w:p>
            <w:pPr>
              <w:keepNext w:val="0"/>
              <w:keepLines w:val="0"/>
              <w:widowControl/>
              <w:suppressLineNumbers w:val="0"/>
              <w:jc w:val="center"/>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美的</w:t>
            </w:r>
          </w:p>
        </w:tc>
        <w:tc>
          <w:tcPr>
            <w:tcW w:w="945" w:type="dxa"/>
            <w:noWrap w:val="0"/>
            <w:vAlign w:val="center"/>
          </w:tcPr>
          <w:p>
            <w:pPr>
              <w:keepNext w:val="0"/>
              <w:keepLines w:val="0"/>
              <w:widowControl/>
              <w:suppressLineNumbers w:val="0"/>
              <w:jc w:val="center"/>
              <w:textAlignment w:val="center"/>
              <w:rPr>
                <w:rFonts w:hint="eastAsia" w:ascii="宋体" w:hAnsi="宋体" w:eastAsia="宋体" w:cs="宋体"/>
                <w:bCs/>
                <w:i w:val="0"/>
                <w:iCs w:val="0"/>
                <w:color w:val="auto"/>
                <w:kern w:val="0"/>
                <w:sz w:val="21"/>
                <w:szCs w:val="21"/>
                <w:highlight w:val="none"/>
                <w:u w:val="none"/>
                <w:lang w:val="en-US" w:eastAsia="zh-CN" w:bidi="ar"/>
              </w:rPr>
            </w:pPr>
          </w:p>
        </w:tc>
        <w:tc>
          <w:tcPr>
            <w:tcW w:w="825" w:type="dxa"/>
            <w:noWrap w:val="0"/>
            <w:vAlign w:val="center"/>
          </w:tcPr>
          <w:p>
            <w:pPr>
              <w:widowControl/>
              <w:jc w:val="center"/>
              <w:rPr>
                <w:rFonts w:hint="eastAsia" w:hAnsi="宋体" w:eastAsia="宋体" w:cs="宋体"/>
                <w:bCs w:val="0"/>
                <w:color w:val="auto"/>
                <w:kern w:val="0"/>
                <w:sz w:val="21"/>
                <w:szCs w:val="21"/>
                <w:highlight w:val="none"/>
              </w:rPr>
            </w:pP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ign w:val="center"/>
          </w:tcPr>
          <w:p>
            <w:pPr>
              <w:keepNext w:val="0"/>
              <w:keepLines w:val="0"/>
              <w:widowControl/>
              <w:suppressLineNumbers w:val="0"/>
              <w:jc w:val="center"/>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8</w:t>
            </w:r>
          </w:p>
        </w:tc>
        <w:tc>
          <w:tcPr>
            <w:tcW w:w="2231" w:type="dxa"/>
            <w:noWrap w:val="0"/>
            <w:vAlign w:val="center"/>
          </w:tcPr>
          <w:p>
            <w:pPr>
              <w:keepNext w:val="0"/>
              <w:keepLines w:val="0"/>
              <w:widowControl/>
              <w:suppressLineNumbers w:val="0"/>
              <w:jc w:val="left"/>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抽油烟柜、鲜风机、新风柜</w:t>
            </w:r>
          </w:p>
        </w:tc>
        <w:tc>
          <w:tcPr>
            <w:tcW w:w="1140" w:type="dxa"/>
            <w:noWrap w:val="0"/>
            <w:vAlign w:val="center"/>
          </w:tcPr>
          <w:p>
            <w:pPr>
              <w:keepNext w:val="0"/>
              <w:keepLines w:val="0"/>
              <w:widowControl/>
              <w:suppressLineNumbers w:val="0"/>
              <w:jc w:val="center"/>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林发</w:t>
            </w:r>
          </w:p>
        </w:tc>
        <w:tc>
          <w:tcPr>
            <w:tcW w:w="1035" w:type="dxa"/>
            <w:noWrap w:val="0"/>
            <w:vAlign w:val="center"/>
          </w:tcPr>
          <w:p>
            <w:pPr>
              <w:keepNext w:val="0"/>
              <w:keepLines w:val="0"/>
              <w:widowControl/>
              <w:suppressLineNumbers w:val="0"/>
              <w:jc w:val="center"/>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德通</w:t>
            </w:r>
          </w:p>
        </w:tc>
        <w:tc>
          <w:tcPr>
            <w:tcW w:w="1020" w:type="dxa"/>
            <w:noWrap w:val="0"/>
            <w:vAlign w:val="center"/>
          </w:tcPr>
          <w:p>
            <w:pPr>
              <w:keepNext w:val="0"/>
              <w:keepLines w:val="0"/>
              <w:widowControl/>
              <w:suppressLineNumbers w:val="0"/>
              <w:jc w:val="center"/>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格利达</w:t>
            </w:r>
          </w:p>
        </w:tc>
        <w:tc>
          <w:tcPr>
            <w:tcW w:w="945" w:type="dxa"/>
            <w:noWrap w:val="0"/>
            <w:vAlign w:val="center"/>
          </w:tcPr>
          <w:p>
            <w:pPr>
              <w:keepNext w:val="0"/>
              <w:keepLines w:val="0"/>
              <w:widowControl/>
              <w:suppressLineNumbers w:val="0"/>
              <w:jc w:val="center"/>
              <w:textAlignment w:val="center"/>
              <w:rPr>
                <w:rFonts w:hint="eastAsia" w:ascii="宋体" w:hAnsi="宋体" w:eastAsia="宋体" w:cs="宋体"/>
                <w:bCs/>
                <w:i w:val="0"/>
                <w:iCs w:val="0"/>
                <w:color w:val="auto"/>
                <w:kern w:val="0"/>
                <w:sz w:val="21"/>
                <w:szCs w:val="21"/>
                <w:highlight w:val="none"/>
                <w:u w:val="none"/>
                <w:lang w:val="en-US" w:eastAsia="zh-CN" w:bidi="ar"/>
              </w:rPr>
            </w:pPr>
          </w:p>
        </w:tc>
        <w:tc>
          <w:tcPr>
            <w:tcW w:w="825" w:type="dxa"/>
            <w:noWrap w:val="0"/>
            <w:vAlign w:val="center"/>
          </w:tcPr>
          <w:p>
            <w:pPr>
              <w:widowControl/>
              <w:jc w:val="center"/>
              <w:rPr>
                <w:rFonts w:hint="eastAsia" w:hAnsi="宋体" w:eastAsia="宋体" w:cs="宋体"/>
                <w:bCs w:val="0"/>
                <w:color w:val="auto"/>
                <w:kern w:val="0"/>
                <w:sz w:val="21"/>
                <w:szCs w:val="21"/>
                <w:highlight w:val="none"/>
              </w:rPr>
            </w:pP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ign w:val="center"/>
          </w:tcPr>
          <w:p>
            <w:pPr>
              <w:keepNext w:val="0"/>
              <w:keepLines w:val="0"/>
              <w:widowControl/>
              <w:suppressLineNumbers w:val="0"/>
              <w:jc w:val="center"/>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9</w:t>
            </w:r>
          </w:p>
        </w:tc>
        <w:tc>
          <w:tcPr>
            <w:tcW w:w="2231" w:type="dxa"/>
            <w:noWrap w:val="0"/>
            <w:vAlign w:val="center"/>
          </w:tcPr>
          <w:p>
            <w:pPr>
              <w:keepNext w:val="0"/>
              <w:keepLines w:val="0"/>
              <w:widowControl/>
              <w:suppressLineNumbers w:val="0"/>
              <w:jc w:val="left"/>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bCs/>
                <w:i w:val="0"/>
                <w:iCs w:val="0"/>
                <w:color w:val="auto"/>
                <w:kern w:val="0"/>
                <w:sz w:val="21"/>
                <w:szCs w:val="21"/>
                <w:highlight w:val="none"/>
                <w:u w:val="none"/>
                <w:lang w:val="en-US" w:eastAsia="zh-CN" w:bidi="ar"/>
              </w:rPr>
              <w:t>油烟净化设备</w:t>
            </w:r>
          </w:p>
        </w:tc>
        <w:tc>
          <w:tcPr>
            <w:tcW w:w="1140" w:type="dxa"/>
            <w:noWrap w:val="0"/>
            <w:vAlign w:val="center"/>
          </w:tcPr>
          <w:p>
            <w:pPr>
              <w:keepNext w:val="0"/>
              <w:keepLines w:val="0"/>
              <w:widowControl/>
              <w:suppressLineNumbers w:val="0"/>
              <w:jc w:val="center"/>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b w:val="0"/>
                <w:bCs/>
                <w:color w:val="auto"/>
                <w:kern w:val="0"/>
                <w:sz w:val="21"/>
                <w:szCs w:val="21"/>
                <w:highlight w:val="none"/>
                <w:u w:val="none"/>
                <w:lang w:bidi="ar"/>
              </w:rPr>
              <w:t>爱优特</w:t>
            </w:r>
          </w:p>
        </w:tc>
        <w:tc>
          <w:tcPr>
            <w:tcW w:w="1035" w:type="dxa"/>
            <w:noWrap w:val="0"/>
            <w:vAlign w:val="center"/>
          </w:tcPr>
          <w:p>
            <w:pPr>
              <w:keepNext w:val="0"/>
              <w:keepLines w:val="0"/>
              <w:widowControl/>
              <w:suppressLineNumbers w:val="0"/>
              <w:jc w:val="center"/>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b w:val="0"/>
                <w:bCs/>
                <w:color w:val="auto"/>
                <w:kern w:val="0"/>
                <w:sz w:val="21"/>
                <w:szCs w:val="21"/>
                <w:highlight w:val="none"/>
                <w:u w:val="none"/>
                <w:lang w:bidi="ar"/>
              </w:rPr>
              <w:t>联合空气</w:t>
            </w:r>
          </w:p>
        </w:tc>
        <w:tc>
          <w:tcPr>
            <w:tcW w:w="1020" w:type="dxa"/>
            <w:noWrap w:val="0"/>
            <w:vAlign w:val="center"/>
          </w:tcPr>
          <w:p>
            <w:pPr>
              <w:keepNext w:val="0"/>
              <w:keepLines w:val="0"/>
              <w:widowControl/>
              <w:suppressLineNumbers w:val="0"/>
              <w:jc w:val="center"/>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b w:val="0"/>
                <w:bCs/>
                <w:color w:val="auto"/>
                <w:kern w:val="0"/>
                <w:sz w:val="21"/>
                <w:szCs w:val="21"/>
                <w:highlight w:val="none"/>
                <w:u w:val="none"/>
                <w:lang w:bidi="ar"/>
              </w:rPr>
              <w:t>美埃</w:t>
            </w:r>
          </w:p>
        </w:tc>
        <w:tc>
          <w:tcPr>
            <w:tcW w:w="945" w:type="dxa"/>
            <w:noWrap w:val="0"/>
            <w:vAlign w:val="center"/>
          </w:tcPr>
          <w:p>
            <w:pPr>
              <w:keepNext w:val="0"/>
              <w:keepLines w:val="0"/>
              <w:widowControl/>
              <w:suppressLineNumbers w:val="0"/>
              <w:jc w:val="center"/>
              <w:textAlignment w:val="center"/>
              <w:rPr>
                <w:rFonts w:hint="eastAsia" w:ascii="宋体" w:hAnsi="宋体" w:eastAsia="宋体" w:cs="宋体"/>
                <w:bCs/>
                <w:i w:val="0"/>
                <w:iCs w:val="0"/>
                <w:color w:val="auto"/>
                <w:kern w:val="0"/>
                <w:sz w:val="21"/>
                <w:szCs w:val="21"/>
                <w:highlight w:val="none"/>
                <w:u w:val="none"/>
                <w:lang w:val="en-US" w:eastAsia="zh-CN" w:bidi="ar"/>
              </w:rPr>
            </w:pPr>
          </w:p>
        </w:tc>
        <w:tc>
          <w:tcPr>
            <w:tcW w:w="825" w:type="dxa"/>
            <w:noWrap w:val="0"/>
            <w:vAlign w:val="center"/>
          </w:tcPr>
          <w:p>
            <w:pPr>
              <w:widowControl/>
              <w:jc w:val="center"/>
              <w:rPr>
                <w:rFonts w:hint="eastAsia" w:hAnsi="宋体" w:eastAsia="宋体" w:cs="宋体"/>
                <w:bCs w:val="0"/>
                <w:color w:val="auto"/>
                <w:kern w:val="0"/>
                <w:sz w:val="21"/>
                <w:szCs w:val="21"/>
                <w:highlight w:val="none"/>
              </w:rPr>
            </w:pP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590" w:type="dxa"/>
            <w:noWrap/>
            <w:vAlign w:val="center"/>
          </w:tcPr>
          <w:p>
            <w:pPr>
              <w:keepNext w:val="0"/>
              <w:keepLines w:val="0"/>
              <w:widowControl/>
              <w:suppressLineNumbers w:val="0"/>
              <w:jc w:val="center"/>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10</w:t>
            </w:r>
          </w:p>
        </w:tc>
        <w:tc>
          <w:tcPr>
            <w:tcW w:w="2231" w:type="dxa"/>
            <w:noWrap w:val="0"/>
            <w:vAlign w:val="center"/>
          </w:tcPr>
          <w:p>
            <w:pPr>
              <w:keepNext w:val="0"/>
              <w:keepLines w:val="0"/>
              <w:widowControl/>
              <w:suppressLineNumbers w:val="0"/>
              <w:jc w:val="left"/>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烟罩灭火系统</w:t>
            </w:r>
          </w:p>
        </w:tc>
        <w:tc>
          <w:tcPr>
            <w:tcW w:w="1140" w:type="dxa"/>
            <w:noWrap w:val="0"/>
            <w:vAlign w:val="center"/>
          </w:tcPr>
          <w:p>
            <w:pPr>
              <w:keepNext w:val="0"/>
              <w:keepLines w:val="0"/>
              <w:widowControl/>
              <w:suppressLineNumbers w:val="0"/>
              <w:jc w:val="center"/>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欧安</w:t>
            </w:r>
          </w:p>
        </w:tc>
        <w:tc>
          <w:tcPr>
            <w:tcW w:w="1035" w:type="dxa"/>
            <w:noWrap w:val="0"/>
            <w:vAlign w:val="center"/>
          </w:tcPr>
          <w:p>
            <w:pPr>
              <w:keepNext w:val="0"/>
              <w:keepLines w:val="0"/>
              <w:widowControl/>
              <w:suppressLineNumbers w:val="0"/>
              <w:jc w:val="center"/>
              <w:textAlignment w:val="center"/>
              <w:rPr>
                <w:rFonts w:hint="eastAsia" w:ascii="宋体" w:hAnsi="宋体" w:eastAsia="宋体" w:cs="宋体"/>
                <w:bCs/>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环峰</w:t>
            </w:r>
          </w:p>
        </w:tc>
        <w:tc>
          <w:tcPr>
            <w:tcW w:w="1020" w:type="dxa"/>
            <w:noWrap w:val="0"/>
            <w:vAlign w:val="center"/>
          </w:tcPr>
          <w:p>
            <w:pPr>
              <w:keepNext w:val="0"/>
              <w:keepLines w:val="0"/>
              <w:widowControl/>
              <w:suppressLineNumbers w:val="0"/>
              <w:jc w:val="center"/>
              <w:textAlignment w:val="center"/>
              <w:rPr>
                <w:rFonts w:hint="eastAsia" w:ascii="宋体" w:hAnsi="宋体" w:eastAsia="宋体" w:cs="宋体"/>
                <w:bCs/>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ANSUL</w:t>
            </w:r>
          </w:p>
        </w:tc>
        <w:tc>
          <w:tcPr>
            <w:tcW w:w="945" w:type="dxa"/>
            <w:noWrap w:val="0"/>
            <w:vAlign w:val="center"/>
          </w:tcPr>
          <w:p>
            <w:pPr>
              <w:keepNext w:val="0"/>
              <w:keepLines w:val="0"/>
              <w:widowControl/>
              <w:suppressLineNumbers w:val="0"/>
              <w:jc w:val="center"/>
              <w:textAlignment w:val="center"/>
              <w:rPr>
                <w:rFonts w:hint="eastAsia" w:ascii="宋体" w:hAnsi="宋体" w:eastAsia="宋体" w:cs="宋体"/>
                <w:bCs/>
                <w:i w:val="0"/>
                <w:color w:val="auto"/>
                <w:kern w:val="0"/>
                <w:sz w:val="21"/>
                <w:szCs w:val="21"/>
                <w:highlight w:val="none"/>
                <w:u w:val="none"/>
                <w:lang w:val="en-US" w:eastAsia="zh-CN" w:bidi="ar"/>
              </w:rPr>
            </w:pPr>
          </w:p>
        </w:tc>
        <w:tc>
          <w:tcPr>
            <w:tcW w:w="825" w:type="dxa"/>
            <w:noWrap w:val="0"/>
            <w:vAlign w:val="center"/>
          </w:tcPr>
          <w:p>
            <w:pPr>
              <w:widowControl/>
              <w:jc w:val="center"/>
              <w:rPr>
                <w:rFonts w:hint="eastAsia" w:hAnsi="宋体" w:eastAsia="宋体" w:cs="宋体"/>
                <w:bCs w:val="0"/>
                <w:color w:val="auto"/>
                <w:kern w:val="0"/>
                <w:sz w:val="21"/>
                <w:szCs w:val="21"/>
                <w:highlight w:val="none"/>
              </w:rPr>
            </w:pP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590" w:type="dxa"/>
            <w:noWrap/>
            <w:vAlign w:val="center"/>
          </w:tcPr>
          <w:p>
            <w:pPr>
              <w:keepNext w:val="0"/>
              <w:keepLines w:val="0"/>
              <w:widowControl/>
              <w:suppressLineNumbers w:val="0"/>
              <w:jc w:val="center"/>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11</w:t>
            </w:r>
          </w:p>
        </w:tc>
        <w:tc>
          <w:tcPr>
            <w:tcW w:w="2231" w:type="dxa"/>
            <w:noWrap w:val="0"/>
            <w:vAlign w:val="center"/>
          </w:tcPr>
          <w:p>
            <w:pPr>
              <w:keepNext w:val="0"/>
              <w:keepLines w:val="0"/>
              <w:widowControl/>
              <w:suppressLineNumbers w:val="0"/>
              <w:jc w:val="left"/>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烟罩一体机</w:t>
            </w:r>
          </w:p>
        </w:tc>
        <w:tc>
          <w:tcPr>
            <w:tcW w:w="1140" w:type="dxa"/>
            <w:noWrap w:val="0"/>
            <w:vAlign w:val="center"/>
          </w:tcPr>
          <w:p>
            <w:pPr>
              <w:keepNext w:val="0"/>
              <w:keepLines w:val="0"/>
              <w:widowControl/>
              <w:suppressLineNumbers w:val="0"/>
              <w:jc w:val="center"/>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恒创未来</w:t>
            </w:r>
          </w:p>
        </w:tc>
        <w:tc>
          <w:tcPr>
            <w:tcW w:w="1035" w:type="dxa"/>
            <w:noWrap w:val="0"/>
            <w:vAlign w:val="center"/>
          </w:tcPr>
          <w:p>
            <w:pPr>
              <w:keepNext w:val="0"/>
              <w:keepLines w:val="0"/>
              <w:widowControl/>
              <w:suppressLineNumbers w:val="0"/>
              <w:jc w:val="center"/>
              <w:textAlignment w:val="center"/>
              <w:rPr>
                <w:rFonts w:hint="eastAsia" w:ascii="宋体" w:hAnsi="宋体" w:eastAsia="宋体" w:cs="宋体"/>
                <w:bCs/>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科蓝</w:t>
            </w:r>
          </w:p>
        </w:tc>
        <w:tc>
          <w:tcPr>
            <w:tcW w:w="1020" w:type="dxa"/>
            <w:noWrap w:val="0"/>
            <w:vAlign w:val="center"/>
          </w:tcPr>
          <w:p>
            <w:pPr>
              <w:keepNext w:val="0"/>
              <w:keepLines w:val="0"/>
              <w:widowControl/>
              <w:suppressLineNumbers w:val="0"/>
              <w:jc w:val="center"/>
              <w:textAlignment w:val="center"/>
              <w:rPr>
                <w:rFonts w:hint="eastAsia" w:ascii="宋体" w:hAnsi="宋体" w:eastAsia="宋体" w:cs="宋体"/>
                <w:bCs/>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蓝之博</w:t>
            </w:r>
          </w:p>
        </w:tc>
        <w:tc>
          <w:tcPr>
            <w:tcW w:w="945" w:type="dxa"/>
            <w:noWrap w:val="0"/>
            <w:vAlign w:val="center"/>
          </w:tcPr>
          <w:p>
            <w:pPr>
              <w:keepNext w:val="0"/>
              <w:keepLines w:val="0"/>
              <w:widowControl/>
              <w:suppressLineNumbers w:val="0"/>
              <w:jc w:val="center"/>
              <w:textAlignment w:val="center"/>
              <w:rPr>
                <w:rFonts w:hint="eastAsia" w:ascii="宋体" w:hAnsi="宋体" w:eastAsia="宋体" w:cs="宋体"/>
                <w:bCs/>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巴顿</w:t>
            </w:r>
          </w:p>
        </w:tc>
        <w:tc>
          <w:tcPr>
            <w:tcW w:w="825" w:type="dxa"/>
            <w:noWrap w:val="0"/>
            <w:vAlign w:val="center"/>
          </w:tcPr>
          <w:p>
            <w:pPr>
              <w:widowControl/>
              <w:jc w:val="center"/>
              <w:rPr>
                <w:rFonts w:hint="eastAsia" w:hAnsi="宋体" w:eastAsia="宋体" w:cs="宋体"/>
                <w:bCs w:val="0"/>
                <w:color w:val="auto"/>
                <w:kern w:val="0"/>
                <w:sz w:val="21"/>
                <w:szCs w:val="21"/>
                <w:highlight w:val="none"/>
              </w:rPr>
            </w:pP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590" w:type="dxa"/>
            <w:noWrap/>
            <w:vAlign w:val="center"/>
          </w:tcPr>
          <w:p>
            <w:pPr>
              <w:keepNext w:val="0"/>
              <w:keepLines w:val="0"/>
              <w:widowControl/>
              <w:suppressLineNumbers w:val="0"/>
              <w:jc w:val="center"/>
              <w:textAlignment w:val="center"/>
              <w:rPr>
                <w:rFonts w:hint="eastAsia" w:ascii="宋体" w:hAnsi="宋体" w:eastAsia="宋体" w:cs="宋体"/>
                <w:bCs/>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12</w:t>
            </w:r>
          </w:p>
        </w:tc>
        <w:tc>
          <w:tcPr>
            <w:tcW w:w="2231" w:type="dxa"/>
            <w:noWrap w:val="0"/>
            <w:vAlign w:val="center"/>
          </w:tcPr>
          <w:p>
            <w:pPr>
              <w:keepNext w:val="0"/>
              <w:keepLines w:val="0"/>
              <w:widowControl/>
              <w:suppressLineNumbers w:val="0"/>
              <w:jc w:val="left"/>
              <w:textAlignment w:val="center"/>
              <w:rPr>
                <w:rFonts w:hint="eastAsia" w:ascii="宋体" w:hAnsi="宋体" w:eastAsia="宋体" w:cs="宋体"/>
                <w:bCs/>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灭蝇灯</w:t>
            </w:r>
          </w:p>
        </w:tc>
        <w:tc>
          <w:tcPr>
            <w:tcW w:w="1140" w:type="dxa"/>
            <w:noWrap w:val="0"/>
            <w:vAlign w:val="center"/>
          </w:tcPr>
          <w:p>
            <w:pPr>
              <w:keepNext w:val="0"/>
              <w:keepLines w:val="0"/>
              <w:widowControl/>
              <w:suppressLineNumbers w:val="0"/>
              <w:jc w:val="center"/>
              <w:textAlignment w:val="center"/>
              <w:rPr>
                <w:rFonts w:hint="eastAsia" w:ascii="宋体" w:hAnsi="宋体" w:eastAsia="宋体" w:cs="宋体"/>
                <w:bCs/>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SCOOKER</w:t>
            </w:r>
          </w:p>
        </w:tc>
        <w:tc>
          <w:tcPr>
            <w:tcW w:w="1035" w:type="dxa"/>
            <w:noWrap w:val="0"/>
            <w:vAlign w:val="center"/>
          </w:tcPr>
          <w:p>
            <w:pPr>
              <w:keepNext w:val="0"/>
              <w:keepLines w:val="0"/>
              <w:widowControl/>
              <w:suppressLineNumbers w:val="0"/>
              <w:jc w:val="center"/>
              <w:textAlignment w:val="center"/>
              <w:rPr>
                <w:rFonts w:hint="eastAsia" w:ascii="宋体" w:hAnsi="宋体" w:eastAsia="宋体" w:cs="宋体"/>
                <w:bCs/>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亨得利</w:t>
            </w:r>
          </w:p>
        </w:tc>
        <w:tc>
          <w:tcPr>
            <w:tcW w:w="1020" w:type="dxa"/>
            <w:noWrap w:val="0"/>
            <w:vAlign w:val="center"/>
          </w:tcPr>
          <w:p>
            <w:pPr>
              <w:keepNext w:val="0"/>
              <w:keepLines w:val="0"/>
              <w:widowControl/>
              <w:suppressLineNumbers w:val="0"/>
              <w:jc w:val="center"/>
              <w:textAlignment w:val="center"/>
              <w:rPr>
                <w:rFonts w:hint="eastAsia" w:ascii="宋体" w:hAnsi="宋体" w:eastAsia="宋体" w:cs="宋体"/>
                <w:bCs/>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PESTWEST</w:t>
            </w:r>
          </w:p>
        </w:tc>
        <w:tc>
          <w:tcPr>
            <w:tcW w:w="945" w:type="dxa"/>
            <w:noWrap w:val="0"/>
            <w:vAlign w:val="center"/>
          </w:tcPr>
          <w:p>
            <w:pPr>
              <w:keepNext w:val="0"/>
              <w:keepLines w:val="0"/>
              <w:widowControl/>
              <w:suppressLineNumbers w:val="0"/>
              <w:jc w:val="center"/>
              <w:textAlignment w:val="center"/>
              <w:rPr>
                <w:rFonts w:hint="eastAsia" w:ascii="宋体" w:hAnsi="宋体" w:eastAsia="宋体" w:cs="宋体"/>
                <w:bCs/>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SOFINOR</w:t>
            </w:r>
          </w:p>
        </w:tc>
        <w:tc>
          <w:tcPr>
            <w:tcW w:w="825" w:type="dxa"/>
            <w:noWrap w:val="0"/>
            <w:vAlign w:val="center"/>
          </w:tcPr>
          <w:p>
            <w:pPr>
              <w:widowControl/>
              <w:jc w:val="center"/>
              <w:rPr>
                <w:rFonts w:hint="eastAsia" w:hAnsi="宋体" w:eastAsia="宋体" w:cs="宋体"/>
                <w:bCs w:val="0"/>
                <w:color w:val="auto"/>
                <w:kern w:val="0"/>
                <w:sz w:val="21"/>
                <w:szCs w:val="21"/>
                <w:highlight w:val="none"/>
              </w:rPr>
            </w:pP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ign w:val="center"/>
          </w:tcPr>
          <w:p>
            <w:pPr>
              <w:keepNext w:val="0"/>
              <w:keepLines w:val="0"/>
              <w:widowControl/>
              <w:suppressLineNumbers w:val="0"/>
              <w:jc w:val="center"/>
              <w:textAlignment w:val="center"/>
              <w:rPr>
                <w:rFonts w:hint="eastAsia" w:ascii="宋体" w:hAnsi="宋体" w:eastAsia="宋体" w:cs="宋体"/>
                <w:bCs/>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13</w:t>
            </w:r>
          </w:p>
        </w:tc>
        <w:tc>
          <w:tcPr>
            <w:tcW w:w="2231" w:type="dxa"/>
            <w:noWrap w:val="0"/>
            <w:vAlign w:val="center"/>
          </w:tcPr>
          <w:p>
            <w:pPr>
              <w:keepNext w:val="0"/>
              <w:keepLines w:val="0"/>
              <w:widowControl/>
              <w:suppressLineNumbers w:val="0"/>
              <w:jc w:val="left"/>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风幕机</w:t>
            </w:r>
          </w:p>
        </w:tc>
        <w:tc>
          <w:tcPr>
            <w:tcW w:w="11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绿岛风</w:t>
            </w:r>
          </w:p>
          <w:p>
            <w:pPr>
              <w:keepNext w:val="0"/>
              <w:keepLines w:val="0"/>
              <w:widowControl/>
              <w:suppressLineNumbers w:val="0"/>
              <w:jc w:val="center"/>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Nedfon</w:t>
            </w:r>
          </w:p>
        </w:tc>
        <w:tc>
          <w:tcPr>
            <w:tcW w:w="103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松下</w:t>
            </w:r>
          </w:p>
          <w:p>
            <w:pPr>
              <w:keepNext w:val="0"/>
              <w:keepLines w:val="0"/>
              <w:widowControl/>
              <w:suppressLineNumbers w:val="0"/>
              <w:jc w:val="center"/>
              <w:textAlignment w:val="center"/>
              <w:rPr>
                <w:rFonts w:hint="eastAsia" w:ascii="宋体" w:hAnsi="宋体" w:eastAsia="宋体" w:cs="宋体"/>
                <w:bCs/>
                <w:i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Panasonic</w:t>
            </w:r>
          </w:p>
        </w:tc>
        <w:tc>
          <w:tcPr>
            <w:tcW w:w="102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西奥多</w:t>
            </w:r>
          </w:p>
          <w:p>
            <w:pPr>
              <w:keepNext w:val="0"/>
              <w:keepLines w:val="0"/>
              <w:widowControl/>
              <w:suppressLineNumbers w:val="0"/>
              <w:jc w:val="center"/>
              <w:textAlignment w:val="center"/>
              <w:rPr>
                <w:rFonts w:hint="eastAsia" w:ascii="宋体" w:hAnsi="宋体" w:eastAsia="宋体" w:cs="宋体"/>
                <w:bCs/>
                <w:i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THEODOOR</w:t>
            </w:r>
          </w:p>
        </w:tc>
        <w:tc>
          <w:tcPr>
            <w:tcW w:w="945" w:type="dxa"/>
            <w:noWrap w:val="0"/>
            <w:vAlign w:val="center"/>
          </w:tcPr>
          <w:p>
            <w:pPr>
              <w:keepNext w:val="0"/>
              <w:keepLines w:val="0"/>
              <w:widowControl/>
              <w:suppressLineNumbers w:val="0"/>
              <w:jc w:val="center"/>
              <w:textAlignment w:val="center"/>
              <w:rPr>
                <w:rFonts w:hint="eastAsia" w:ascii="宋体" w:hAnsi="宋体" w:eastAsia="宋体" w:cs="宋体"/>
                <w:bCs/>
                <w:i w:val="0"/>
                <w:color w:val="auto"/>
                <w:kern w:val="0"/>
                <w:sz w:val="21"/>
                <w:szCs w:val="21"/>
                <w:highlight w:val="none"/>
                <w:u w:val="none"/>
                <w:lang w:val="en-US" w:eastAsia="zh-CN" w:bidi="ar"/>
              </w:rPr>
            </w:pPr>
          </w:p>
        </w:tc>
        <w:tc>
          <w:tcPr>
            <w:tcW w:w="825" w:type="dxa"/>
            <w:noWrap w:val="0"/>
            <w:vAlign w:val="center"/>
          </w:tcPr>
          <w:p>
            <w:pPr>
              <w:widowControl/>
              <w:jc w:val="center"/>
              <w:rPr>
                <w:rFonts w:hint="eastAsia" w:hAnsi="宋体" w:eastAsia="宋体" w:cs="宋体"/>
                <w:bCs w:val="0"/>
                <w:color w:val="auto"/>
                <w:kern w:val="0"/>
                <w:sz w:val="21"/>
                <w:szCs w:val="21"/>
                <w:highlight w:val="none"/>
              </w:rPr>
            </w:pP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ign w:val="center"/>
          </w:tcPr>
          <w:p>
            <w:pPr>
              <w:keepNext w:val="0"/>
              <w:keepLines w:val="0"/>
              <w:widowControl/>
              <w:suppressLineNumbers w:val="0"/>
              <w:jc w:val="center"/>
              <w:textAlignment w:val="center"/>
              <w:rPr>
                <w:rFonts w:hint="eastAsia" w:ascii="宋体" w:hAnsi="宋体" w:eastAsia="宋体" w:cs="宋体"/>
                <w:bCs/>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14</w:t>
            </w:r>
          </w:p>
        </w:tc>
        <w:tc>
          <w:tcPr>
            <w:tcW w:w="2231" w:type="dxa"/>
            <w:noWrap w:val="0"/>
            <w:vAlign w:val="center"/>
          </w:tcPr>
          <w:p>
            <w:pPr>
              <w:keepNext w:val="0"/>
              <w:keepLines w:val="0"/>
              <w:widowControl/>
              <w:suppressLineNumbers w:val="0"/>
              <w:jc w:val="left"/>
              <w:textAlignment w:val="center"/>
              <w:rPr>
                <w:rFonts w:hint="eastAsia" w:ascii="宋体" w:hAnsi="宋体" w:eastAsia="宋体" w:cs="宋体"/>
                <w:bCs/>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冷库压缩机组连蒸发器</w:t>
            </w:r>
          </w:p>
        </w:tc>
        <w:tc>
          <w:tcPr>
            <w:tcW w:w="11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比泽尔/康达托</w:t>
            </w:r>
          </w:p>
          <w:p>
            <w:pPr>
              <w:keepNext w:val="0"/>
              <w:keepLines w:val="0"/>
              <w:widowControl/>
              <w:suppressLineNumbers w:val="0"/>
              <w:jc w:val="center"/>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u w:val="none"/>
                <w:lang w:val="en-US" w:eastAsia="zh-CN" w:bidi="ar"/>
              </w:rPr>
              <w:t>BITZER/CONTARDO</w:t>
            </w:r>
          </w:p>
        </w:tc>
        <w:tc>
          <w:tcPr>
            <w:tcW w:w="1035" w:type="dxa"/>
            <w:noWrap w:val="0"/>
            <w:vAlign w:val="center"/>
          </w:tcPr>
          <w:p>
            <w:pPr>
              <w:keepNext w:val="0"/>
              <w:keepLines w:val="0"/>
              <w:widowControl/>
              <w:suppressLineNumbers w:val="0"/>
              <w:jc w:val="center"/>
              <w:textAlignment w:val="center"/>
              <w:rPr>
                <w:rFonts w:hint="eastAsia" w:ascii="宋体" w:hAnsi="宋体" w:eastAsia="宋体" w:cs="宋体"/>
                <w:bCs/>
                <w:i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库迈/库迈COLDMACH/COLDMACH</w:t>
            </w:r>
          </w:p>
        </w:tc>
        <w:tc>
          <w:tcPr>
            <w:tcW w:w="102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西克/西克</w:t>
            </w:r>
          </w:p>
          <w:p>
            <w:pPr>
              <w:keepNext w:val="0"/>
              <w:keepLines w:val="0"/>
              <w:widowControl/>
              <w:suppressLineNumbers w:val="0"/>
              <w:jc w:val="center"/>
              <w:textAlignment w:val="center"/>
              <w:rPr>
                <w:rFonts w:hint="eastAsia" w:ascii="宋体" w:hAnsi="宋体" w:eastAsia="宋体" w:cs="宋体"/>
                <w:bCs/>
                <w:i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FLEXCOLD+FLEXCOLD</w:t>
            </w:r>
          </w:p>
        </w:tc>
        <w:tc>
          <w:tcPr>
            <w:tcW w:w="94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谷轮/酷霸</w:t>
            </w:r>
          </w:p>
          <w:p>
            <w:pPr>
              <w:keepNext w:val="0"/>
              <w:keepLines w:val="0"/>
              <w:widowControl/>
              <w:suppressLineNumbers w:val="0"/>
              <w:jc w:val="center"/>
              <w:textAlignment w:val="center"/>
              <w:rPr>
                <w:rFonts w:hint="eastAsia" w:ascii="宋体" w:hAnsi="宋体" w:eastAsia="宋体" w:cs="宋体"/>
                <w:bCs/>
                <w:i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u w:val="none"/>
                <w:lang w:val="en-US" w:eastAsia="zh-CN" w:bidi="ar"/>
              </w:rPr>
              <w:t>Copeland/KUBA</w:t>
            </w:r>
          </w:p>
        </w:tc>
        <w:tc>
          <w:tcPr>
            <w:tcW w:w="825" w:type="dxa"/>
            <w:noWrap w:val="0"/>
            <w:vAlign w:val="center"/>
          </w:tcPr>
          <w:p>
            <w:pPr>
              <w:widowControl/>
              <w:jc w:val="center"/>
              <w:rPr>
                <w:rFonts w:hint="eastAsia" w:hAnsi="宋体" w:eastAsia="宋体" w:cs="宋体"/>
                <w:bCs w:val="0"/>
                <w:color w:val="auto"/>
                <w:kern w:val="0"/>
                <w:sz w:val="21"/>
                <w:szCs w:val="21"/>
                <w:highlight w:val="none"/>
              </w:rPr>
            </w:pPr>
          </w:p>
        </w:tc>
        <w:tc>
          <w:tcPr>
            <w:tcW w:w="735" w:type="dxa"/>
            <w:noWrap w:val="0"/>
            <w:vAlign w:val="center"/>
          </w:tcPr>
          <w:p>
            <w:pPr>
              <w:widowControl/>
              <w:jc w:val="center"/>
              <w:rPr>
                <w:rFonts w:hint="eastAsia" w:hAnsi="宋体" w:eastAsia="宋体" w:cs="宋体"/>
                <w:bCs w:val="0"/>
                <w:color w:val="auto"/>
                <w:kern w:val="0"/>
                <w:sz w:val="21"/>
                <w:szCs w:val="21"/>
                <w:highlight w:val="none"/>
              </w:rPr>
            </w:pPr>
          </w:p>
        </w:tc>
        <w:tc>
          <w:tcPr>
            <w:tcW w:w="764" w:type="dxa"/>
            <w:noWrap w:val="0"/>
            <w:vAlign w:val="center"/>
          </w:tcPr>
          <w:p>
            <w:pPr>
              <w:widowControl/>
              <w:jc w:val="center"/>
              <w:rPr>
                <w:rFonts w:hint="eastAsia" w:hAnsi="宋体" w:eastAsia="宋体" w:cs="宋体"/>
                <w:bCs w:val="0"/>
                <w:color w:val="auto"/>
                <w:kern w:val="0"/>
                <w:sz w:val="21"/>
                <w:szCs w:val="21"/>
                <w:highlight w:val="none"/>
              </w:rPr>
            </w:pPr>
          </w:p>
        </w:tc>
        <w:tc>
          <w:tcPr>
            <w:tcW w:w="711" w:type="dxa"/>
            <w:noWrap w:val="0"/>
            <w:vAlign w:val="center"/>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0"/>
            <w:vAlign w:val="center"/>
          </w:tcPr>
          <w:p>
            <w:pPr>
              <w:keepNext w:val="0"/>
              <w:keepLines w:val="0"/>
              <w:widowControl/>
              <w:suppressLineNumbers w:val="0"/>
              <w:jc w:val="center"/>
              <w:textAlignment w:val="center"/>
              <w:rPr>
                <w:rFonts w:hint="eastAsia" w:ascii="宋体" w:hAnsi="宋体" w:eastAsia="宋体" w:cs="宋体"/>
                <w:bCs/>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15</w:t>
            </w:r>
          </w:p>
        </w:tc>
        <w:tc>
          <w:tcPr>
            <w:tcW w:w="2231" w:type="dxa"/>
            <w:noWrap w:val="0"/>
            <w:vAlign w:val="center"/>
          </w:tcPr>
          <w:p>
            <w:pPr>
              <w:keepNext w:val="0"/>
              <w:keepLines w:val="0"/>
              <w:widowControl/>
              <w:suppressLineNumbers w:val="0"/>
              <w:jc w:val="left"/>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保鲜库、冷冻库</w:t>
            </w:r>
          </w:p>
        </w:tc>
        <w:tc>
          <w:tcPr>
            <w:tcW w:w="1140" w:type="dxa"/>
            <w:noWrap w:val="0"/>
            <w:vAlign w:val="center"/>
          </w:tcPr>
          <w:p>
            <w:pPr>
              <w:keepNext w:val="0"/>
              <w:keepLines w:val="0"/>
              <w:widowControl/>
              <w:suppressLineNumbers w:val="0"/>
              <w:jc w:val="center"/>
              <w:textAlignment w:val="center"/>
              <w:rPr>
                <w:rFonts w:hint="eastAsia" w:ascii="宋体" w:hAnsi="宋体" w:eastAsia="宋体" w:cs="宋体"/>
                <w:bCs/>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精鑫凯</w:t>
            </w:r>
          </w:p>
        </w:tc>
        <w:tc>
          <w:tcPr>
            <w:tcW w:w="1035" w:type="dxa"/>
            <w:noWrap w:val="0"/>
            <w:vAlign w:val="center"/>
          </w:tcPr>
          <w:p>
            <w:pPr>
              <w:keepNext w:val="0"/>
              <w:keepLines w:val="0"/>
              <w:widowControl/>
              <w:suppressLineNumbers w:val="0"/>
              <w:jc w:val="center"/>
              <w:textAlignment w:val="center"/>
              <w:rPr>
                <w:rFonts w:hint="eastAsia" w:ascii="宋体" w:hAnsi="宋体" w:eastAsia="宋体" w:cs="宋体"/>
                <w:bCs/>
                <w:i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澳德盛</w:t>
            </w:r>
          </w:p>
        </w:tc>
        <w:tc>
          <w:tcPr>
            <w:tcW w:w="1020" w:type="dxa"/>
            <w:noWrap w:val="0"/>
            <w:vAlign w:val="center"/>
          </w:tcPr>
          <w:p>
            <w:pPr>
              <w:keepNext w:val="0"/>
              <w:keepLines w:val="0"/>
              <w:widowControl/>
              <w:suppressLineNumbers w:val="0"/>
              <w:jc w:val="center"/>
              <w:textAlignment w:val="center"/>
              <w:rPr>
                <w:rFonts w:hint="eastAsia" w:ascii="宋体" w:hAnsi="宋体" w:eastAsia="宋体" w:cs="宋体"/>
                <w:bCs/>
                <w:i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库德</w:t>
            </w:r>
          </w:p>
        </w:tc>
        <w:tc>
          <w:tcPr>
            <w:tcW w:w="945" w:type="dxa"/>
            <w:noWrap w:val="0"/>
            <w:vAlign w:val="center"/>
          </w:tcPr>
          <w:p>
            <w:pPr>
              <w:keepNext w:val="0"/>
              <w:keepLines w:val="0"/>
              <w:widowControl/>
              <w:suppressLineNumbers w:val="0"/>
              <w:jc w:val="center"/>
              <w:textAlignment w:val="center"/>
              <w:rPr>
                <w:rFonts w:hint="eastAsia" w:ascii="宋体" w:hAnsi="宋体" w:eastAsia="宋体" w:cs="宋体"/>
                <w:bCs/>
                <w:i w:val="0"/>
                <w:color w:val="auto"/>
                <w:kern w:val="0"/>
                <w:sz w:val="21"/>
                <w:szCs w:val="21"/>
                <w:highlight w:val="none"/>
                <w:u w:val="none"/>
                <w:lang w:val="en-US" w:eastAsia="zh-CN" w:bidi="ar"/>
              </w:rPr>
            </w:pPr>
          </w:p>
        </w:tc>
        <w:tc>
          <w:tcPr>
            <w:tcW w:w="825" w:type="dxa"/>
            <w:noWrap w:val="0"/>
            <w:vAlign w:val="top"/>
          </w:tcPr>
          <w:p>
            <w:pPr>
              <w:widowControl/>
              <w:jc w:val="center"/>
              <w:rPr>
                <w:rFonts w:hint="eastAsia" w:hAnsi="宋体" w:eastAsia="宋体" w:cs="宋体"/>
                <w:bCs w:val="0"/>
                <w:color w:val="auto"/>
                <w:kern w:val="0"/>
                <w:sz w:val="21"/>
                <w:szCs w:val="21"/>
                <w:highlight w:val="none"/>
              </w:rPr>
            </w:pPr>
          </w:p>
        </w:tc>
        <w:tc>
          <w:tcPr>
            <w:tcW w:w="735" w:type="dxa"/>
            <w:noWrap w:val="0"/>
            <w:vAlign w:val="top"/>
          </w:tcPr>
          <w:p>
            <w:pPr>
              <w:widowControl/>
              <w:jc w:val="center"/>
              <w:rPr>
                <w:rFonts w:hint="eastAsia" w:hAnsi="宋体" w:eastAsia="宋体" w:cs="宋体"/>
                <w:bCs w:val="0"/>
                <w:color w:val="auto"/>
                <w:kern w:val="0"/>
                <w:sz w:val="21"/>
                <w:szCs w:val="21"/>
                <w:highlight w:val="none"/>
              </w:rPr>
            </w:pPr>
          </w:p>
        </w:tc>
        <w:tc>
          <w:tcPr>
            <w:tcW w:w="764" w:type="dxa"/>
            <w:noWrap w:val="0"/>
            <w:vAlign w:val="top"/>
          </w:tcPr>
          <w:p>
            <w:pPr>
              <w:widowControl/>
              <w:jc w:val="center"/>
              <w:rPr>
                <w:rFonts w:hint="eastAsia" w:hAnsi="宋体" w:eastAsia="宋体" w:cs="宋体"/>
                <w:bCs w:val="0"/>
                <w:color w:val="auto"/>
                <w:kern w:val="0"/>
                <w:sz w:val="21"/>
                <w:szCs w:val="21"/>
                <w:highlight w:val="none"/>
              </w:rPr>
            </w:pPr>
          </w:p>
        </w:tc>
        <w:tc>
          <w:tcPr>
            <w:tcW w:w="711" w:type="dxa"/>
            <w:noWrap w:val="0"/>
            <w:vAlign w:val="top"/>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0"/>
            <w:vAlign w:val="center"/>
          </w:tcPr>
          <w:p>
            <w:pPr>
              <w:keepNext w:val="0"/>
              <w:keepLines w:val="0"/>
              <w:widowControl/>
              <w:suppressLineNumbers w:val="0"/>
              <w:jc w:val="center"/>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16</w:t>
            </w:r>
          </w:p>
        </w:tc>
        <w:tc>
          <w:tcPr>
            <w:tcW w:w="2231" w:type="dxa"/>
            <w:noWrap w:val="0"/>
            <w:vAlign w:val="center"/>
          </w:tcPr>
          <w:p>
            <w:pPr>
              <w:keepNext w:val="0"/>
              <w:keepLines w:val="0"/>
              <w:widowControl/>
              <w:suppressLineNumbers w:val="0"/>
              <w:jc w:val="left"/>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电热水器</w:t>
            </w:r>
          </w:p>
        </w:tc>
        <w:tc>
          <w:tcPr>
            <w:tcW w:w="1140" w:type="dxa"/>
            <w:noWrap w:val="0"/>
            <w:vAlign w:val="center"/>
          </w:tcPr>
          <w:p>
            <w:pPr>
              <w:keepNext w:val="0"/>
              <w:keepLines w:val="0"/>
              <w:widowControl/>
              <w:suppressLineNumbers w:val="0"/>
              <w:jc w:val="center"/>
              <w:textAlignment w:val="center"/>
              <w:rPr>
                <w:rFonts w:hint="eastAsia" w:ascii="宋体" w:hAnsi="宋体" w:eastAsia="宋体" w:cs="宋体"/>
                <w:bCs/>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美的</w:t>
            </w:r>
          </w:p>
        </w:tc>
        <w:tc>
          <w:tcPr>
            <w:tcW w:w="1035" w:type="dxa"/>
            <w:noWrap w:val="0"/>
            <w:vAlign w:val="center"/>
          </w:tcPr>
          <w:p>
            <w:pPr>
              <w:keepNext w:val="0"/>
              <w:keepLines w:val="0"/>
              <w:widowControl/>
              <w:suppressLineNumbers w:val="0"/>
              <w:jc w:val="center"/>
              <w:textAlignment w:val="center"/>
              <w:rPr>
                <w:rFonts w:hint="eastAsia" w:ascii="宋体" w:hAnsi="宋体" w:eastAsia="宋体" w:cs="宋体"/>
                <w:bCs/>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史密斯</w:t>
            </w:r>
          </w:p>
        </w:tc>
        <w:tc>
          <w:tcPr>
            <w:tcW w:w="1020" w:type="dxa"/>
            <w:noWrap w:val="0"/>
            <w:vAlign w:val="center"/>
          </w:tcPr>
          <w:p>
            <w:pPr>
              <w:keepNext w:val="0"/>
              <w:keepLines w:val="0"/>
              <w:widowControl/>
              <w:suppressLineNumbers w:val="0"/>
              <w:jc w:val="center"/>
              <w:textAlignment w:val="center"/>
              <w:rPr>
                <w:rFonts w:hint="eastAsia" w:ascii="宋体" w:hAnsi="宋体" w:eastAsia="宋体" w:cs="宋体"/>
                <w:bCs/>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海尔</w:t>
            </w:r>
          </w:p>
        </w:tc>
        <w:tc>
          <w:tcPr>
            <w:tcW w:w="945" w:type="dxa"/>
            <w:noWrap w:val="0"/>
            <w:vAlign w:val="center"/>
          </w:tcPr>
          <w:p>
            <w:pPr>
              <w:keepNext w:val="0"/>
              <w:keepLines w:val="0"/>
              <w:widowControl/>
              <w:suppressLineNumbers w:val="0"/>
              <w:jc w:val="center"/>
              <w:textAlignment w:val="center"/>
              <w:rPr>
                <w:rFonts w:hint="eastAsia" w:ascii="宋体" w:hAnsi="宋体" w:eastAsia="宋体" w:cs="宋体"/>
                <w:bCs w:val="0"/>
                <w:color w:val="auto"/>
                <w:kern w:val="0"/>
                <w:sz w:val="21"/>
                <w:szCs w:val="21"/>
                <w:highlight w:val="none"/>
              </w:rPr>
            </w:pPr>
          </w:p>
        </w:tc>
        <w:tc>
          <w:tcPr>
            <w:tcW w:w="825" w:type="dxa"/>
            <w:noWrap w:val="0"/>
            <w:vAlign w:val="top"/>
          </w:tcPr>
          <w:p>
            <w:pPr>
              <w:widowControl/>
              <w:jc w:val="center"/>
              <w:rPr>
                <w:rFonts w:hint="eastAsia" w:hAnsi="宋体" w:eastAsia="宋体" w:cs="宋体"/>
                <w:bCs w:val="0"/>
                <w:color w:val="auto"/>
                <w:kern w:val="0"/>
                <w:sz w:val="21"/>
                <w:szCs w:val="21"/>
                <w:highlight w:val="none"/>
              </w:rPr>
            </w:pPr>
          </w:p>
        </w:tc>
        <w:tc>
          <w:tcPr>
            <w:tcW w:w="735" w:type="dxa"/>
            <w:noWrap w:val="0"/>
            <w:vAlign w:val="top"/>
          </w:tcPr>
          <w:p>
            <w:pPr>
              <w:widowControl/>
              <w:jc w:val="center"/>
              <w:rPr>
                <w:rFonts w:hint="eastAsia" w:hAnsi="宋体" w:eastAsia="宋体" w:cs="宋体"/>
                <w:bCs w:val="0"/>
                <w:color w:val="auto"/>
                <w:kern w:val="0"/>
                <w:sz w:val="21"/>
                <w:szCs w:val="21"/>
                <w:highlight w:val="none"/>
              </w:rPr>
            </w:pPr>
          </w:p>
        </w:tc>
        <w:tc>
          <w:tcPr>
            <w:tcW w:w="764" w:type="dxa"/>
            <w:noWrap w:val="0"/>
            <w:vAlign w:val="top"/>
          </w:tcPr>
          <w:p>
            <w:pPr>
              <w:widowControl/>
              <w:jc w:val="center"/>
              <w:rPr>
                <w:rFonts w:hint="eastAsia" w:hAnsi="宋体" w:eastAsia="宋体" w:cs="宋体"/>
                <w:bCs w:val="0"/>
                <w:color w:val="auto"/>
                <w:kern w:val="0"/>
                <w:sz w:val="21"/>
                <w:szCs w:val="21"/>
                <w:highlight w:val="none"/>
              </w:rPr>
            </w:pPr>
          </w:p>
        </w:tc>
        <w:tc>
          <w:tcPr>
            <w:tcW w:w="711" w:type="dxa"/>
            <w:noWrap w:val="0"/>
            <w:vAlign w:val="top"/>
          </w:tcPr>
          <w:p>
            <w:pPr>
              <w:widowControl/>
              <w:jc w:val="center"/>
              <w:rPr>
                <w:rFonts w:hint="eastAsia" w:hAnsi="宋体" w:eastAsia="宋体" w:cs="宋体"/>
                <w:bCs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0" w:type="dxa"/>
            <w:noWrap w:val="0"/>
            <w:vAlign w:val="center"/>
          </w:tcPr>
          <w:p>
            <w:pPr>
              <w:keepNext w:val="0"/>
              <w:keepLines w:val="0"/>
              <w:widowControl/>
              <w:suppressLineNumbers w:val="0"/>
              <w:jc w:val="center"/>
              <w:textAlignment w:val="center"/>
              <w:rPr>
                <w:rFonts w:hint="eastAsia" w:ascii="宋体" w:hAnsi="宋体" w:eastAsia="宋体" w:cs="宋体"/>
                <w:bCs/>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17</w:t>
            </w:r>
          </w:p>
        </w:tc>
        <w:tc>
          <w:tcPr>
            <w:tcW w:w="2231" w:type="dxa"/>
            <w:noWrap w:val="0"/>
            <w:vAlign w:val="center"/>
          </w:tcPr>
          <w:p>
            <w:pPr>
              <w:keepNext w:val="0"/>
              <w:keepLines w:val="0"/>
              <w:widowControl/>
              <w:suppressLineNumbers w:val="0"/>
              <w:jc w:val="left"/>
              <w:textAlignment w:val="center"/>
              <w:rPr>
                <w:rFonts w:hint="eastAsia" w:ascii="宋体" w:hAnsi="宋体" w:eastAsia="宋体" w:cs="宋体"/>
                <w:bCs/>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开水器</w:t>
            </w:r>
          </w:p>
        </w:tc>
        <w:tc>
          <w:tcPr>
            <w:tcW w:w="1140" w:type="dxa"/>
            <w:noWrap w:val="0"/>
            <w:vAlign w:val="center"/>
          </w:tcPr>
          <w:p>
            <w:pPr>
              <w:keepNext w:val="0"/>
              <w:keepLines w:val="0"/>
              <w:widowControl/>
              <w:suppressLineNumbers w:val="0"/>
              <w:jc w:val="center"/>
              <w:textAlignment w:val="center"/>
              <w:rPr>
                <w:rFonts w:hint="eastAsia" w:ascii="宋体" w:hAnsi="宋体" w:eastAsia="宋体" w:cs="宋体"/>
                <w:bCs/>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康丽源</w:t>
            </w:r>
          </w:p>
        </w:tc>
        <w:tc>
          <w:tcPr>
            <w:tcW w:w="1035" w:type="dxa"/>
            <w:noWrap w:val="0"/>
            <w:vAlign w:val="center"/>
          </w:tcPr>
          <w:p>
            <w:pPr>
              <w:keepNext w:val="0"/>
              <w:keepLines w:val="0"/>
              <w:widowControl/>
              <w:suppressLineNumbers w:val="0"/>
              <w:jc w:val="center"/>
              <w:textAlignment w:val="center"/>
              <w:rPr>
                <w:rFonts w:hint="eastAsia" w:ascii="宋体" w:hAnsi="宋体" w:eastAsia="宋体" w:cs="宋体"/>
                <w:bCs/>
                <w:i w:val="0"/>
                <w:iCs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捷宝</w:t>
            </w:r>
          </w:p>
        </w:tc>
        <w:tc>
          <w:tcPr>
            <w:tcW w:w="1020" w:type="dxa"/>
            <w:noWrap w:val="0"/>
            <w:vAlign w:val="center"/>
          </w:tcPr>
          <w:p>
            <w:pPr>
              <w:keepNext w:val="0"/>
              <w:keepLines w:val="0"/>
              <w:widowControl/>
              <w:suppressLineNumbers w:val="0"/>
              <w:jc w:val="center"/>
              <w:textAlignment w:val="center"/>
              <w:rPr>
                <w:rFonts w:hint="eastAsia" w:ascii="宋体" w:hAnsi="宋体" w:eastAsia="宋体" w:cs="宋体"/>
                <w:bCs/>
                <w:i w:val="0"/>
                <w:iCs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POWERKIT</w:t>
            </w:r>
          </w:p>
        </w:tc>
        <w:tc>
          <w:tcPr>
            <w:tcW w:w="945" w:type="dxa"/>
            <w:noWrap w:val="0"/>
            <w:vAlign w:val="center"/>
          </w:tcPr>
          <w:p>
            <w:pPr>
              <w:keepNext w:val="0"/>
              <w:keepLines w:val="0"/>
              <w:widowControl/>
              <w:suppressLineNumbers w:val="0"/>
              <w:jc w:val="center"/>
              <w:textAlignment w:val="center"/>
              <w:rPr>
                <w:rFonts w:hint="eastAsia" w:ascii="宋体" w:hAnsi="宋体" w:eastAsia="宋体" w:cs="宋体"/>
                <w:bCs/>
                <w:i w:val="0"/>
                <w:iCs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INSTANTA</w:t>
            </w:r>
          </w:p>
        </w:tc>
        <w:tc>
          <w:tcPr>
            <w:tcW w:w="825" w:type="dxa"/>
            <w:noWrap w:val="0"/>
            <w:vAlign w:val="top"/>
          </w:tcPr>
          <w:p>
            <w:pPr>
              <w:widowControl/>
              <w:jc w:val="center"/>
              <w:rPr>
                <w:rFonts w:hint="eastAsia" w:hAnsi="宋体" w:eastAsia="宋体" w:cs="宋体"/>
                <w:bCs w:val="0"/>
                <w:color w:val="auto"/>
                <w:kern w:val="0"/>
                <w:sz w:val="21"/>
                <w:szCs w:val="21"/>
                <w:highlight w:val="none"/>
              </w:rPr>
            </w:pPr>
          </w:p>
        </w:tc>
        <w:tc>
          <w:tcPr>
            <w:tcW w:w="735" w:type="dxa"/>
            <w:noWrap w:val="0"/>
            <w:vAlign w:val="top"/>
          </w:tcPr>
          <w:p>
            <w:pPr>
              <w:widowControl/>
              <w:jc w:val="center"/>
              <w:rPr>
                <w:rFonts w:hint="eastAsia" w:hAnsi="宋体" w:eastAsia="宋体" w:cs="宋体"/>
                <w:bCs w:val="0"/>
                <w:color w:val="auto"/>
                <w:kern w:val="0"/>
                <w:sz w:val="21"/>
                <w:szCs w:val="21"/>
                <w:highlight w:val="none"/>
              </w:rPr>
            </w:pPr>
          </w:p>
        </w:tc>
        <w:tc>
          <w:tcPr>
            <w:tcW w:w="764" w:type="dxa"/>
            <w:noWrap w:val="0"/>
            <w:vAlign w:val="top"/>
          </w:tcPr>
          <w:p>
            <w:pPr>
              <w:widowControl/>
              <w:jc w:val="center"/>
              <w:rPr>
                <w:rFonts w:hint="eastAsia" w:hAnsi="宋体" w:eastAsia="宋体" w:cs="宋体"/>
                <w:bCs w:val="0"/>
                <w:color w:val="auto"/>
                <w:kern w:val="0"/>
                <w:sz w:val="21"/>
                <w:szCs w:val="21"/>
                <w:highlight w:val="none"/>
              </w:rPr>
            </w:pPr>
          </w:p>
        </w:tc>
        <w:tc>
          <w:tcPr>
            <w:tcW w:w="711" w:type="dxa"/>
            <w:noWrap w:val="0"/>
            <w:vAlign w:val="top"/>
          </w:tcPr>
          <w:p>
            <w:pPr>
              <w:widowControl/>
              <w:jc w:val="center"/>
              <w:rPr>
                <w:rFonts w:hint="eastAsia" w:hAnsi="宋体" w:eastAsia="宋体" w:cs="宋体"/>
                <w:bCs w:val="0"/>
                <w:color w:val="auto"/>
                <w:kern w:val="0"/>
                <w:sz w:val="21"/>
                <w:szCs w:val="21"/>
                <w:highlight w:val="none"/>
              </w:rPr>
            </w:pPr>
          </w:p>
        </w:tc>
      </w:tr>
    </w:tbl>
    <w:p>
      <w:pPr>
        <w:pStyle w:val="2"/>
        <w:rPr>
          <w:highlight w:val="none"/>
        </w:rPr>
      </w:pPr>
    </w:p>
    <w:p>
      <w:pPr>
        <w:adjustRightInd w:val="0"/>
        <w:spacing w:line="360" w:lineRule="auto"/>
        <w:ind w:right="-7" w:rightChars="-2" w:firstLine="422" w:firstLineChars="200"/>
        <w:textAlignment w:val="baseline"/>
        <w:rPr>
          <w:rFonts w:cs="宋体"/>
          <w:b/>
          <w:bCs/>
          <w:color w:val="auto"/>
          <w:sz w:val="21"/>
          <w:szCs w:val="21"/>
          <w:highlight w:val="none"/>
        </w:rPr>
      </w:pPr>
      <w:r>
        <w:rPr>
          <w:rFonts w:hint="eastAsia" w:cs="宋体"/>
          <w:b/>
          <w:bCs/>
          <w:color w:val="auto"/>
          <w:sz w:val="21"/>
          <w:szCs w:val="21"/>
          <w:highlight w:val="none"/>
        </w:rPr>
        <w:t>说明：</w:t>
      </w:r>
    </w:p>
    <w:p>
      <w:pPr>
        <w:adjustRightInd w:val="0"/>
        <w:spacing w:line="360" w:lineRule="auto"/>
        <w:ind w:right="-7" w:rightChars="-2" w:firstLine="420" w:firstLineChars="200"/>
        <w:textAlignment w:val="baseline"/>
        <w:rPr>
          <w:rFonts w:cs="宋体"/>
          <w:color w:val="auto"/>
          <w:sz w:val="21"/>
          <w:szCs w:val="21"/>
          <w:highlight w:val="none"/>
        </w:rPr>
      </w:pPr>
      <w:r>
        <w:rPr>
          <w:rFonts w:hint="eastAsia" w:cs="宋体"/>
          <w:color w:val="auto"/>
          <w:sz w:val="21"/>
          <w:szCs w:val="21"/>
          <w:highlight w:val="none"/>
        </w:rPr>
        <w:t>1.本招标项目招标人推荐的主要材料设备参考品牌如上表。参考品牌作为投标参考，投标人无需在投标文件中承诺选用何种品牌。投标人中标后应在参考品牌中选择一种进行采购和施工。在工程施工中遇到下列情形之一的，发包人与承包人协商后可更改相应材料设备的品牌，并按实调整主材（设备）价格。</w:t>
      </w:r>
    </w:p>
    <w:p>
      <w:pPr>
        <w:widowControl/>
        <w:adjustRightInd w:val="0"/>
        <w:snapToGrid w:val="0"/>
        <w:spacing w:line="360" w:lineRule="auto"/>
        <w:ind w:right="-7" w:rightChars="-2" w:firstLine="420" w:firstLineChars="200"/>
        <w:textAlignment w:val="baseline"/>
        <w:rPr>
          <w:rFonts w:cs="宋体"/>
          <w:color w:val="auto"/>
          <w:sz w:val="21"/>
          <w:szCs w:val="21"/>
          <w:highlight w:val="none"/>
        </w:rPr>
      </w:pPr>
      <w:r>
        <w:rPr>
          <w:rFonts w:hint="eastAsia" w:cs="宋体"/>
          <w:color w:val="auto"/>
          <w:sz w:val="21"/>
          <w:szCs w:val="21"/>
          <w:highlight w:val="none"/>
        </w:rPr>
        <w:t>（1）参考品牌材料设备的市场采购价与招标控制价确定的价格（简称招标人价格）差异大，将给承包人或发包人造成损失的。如：市场采购价高于招标人价格的，或者市场采购价低于招标人价格30%的；</w:t>
      </w:r>
    </w:p>
    <w:p>
      <w:pPr>
        <w:widowControl/>
        <w:adjustRightInd w:val="0"/>
        <w:snapToGrid w:val="0"/>
        <w:spacing w:line="360" w:lineRule="auto"/>
        <w:ind w:right="-7" w:rightChars="-2" w:firstLine="420" w:firstLineChars="200"/>
        <w:textAlignment w:val="baseline"/>
        <w:rPr>
          <w:rFonts w:cs="宋体"/>
          <w:color w:val="auto"/>
          <w:sz w:val="21"/>
          <w:szCs w:val="21"/>
          <w:highlight w:val="none"/>
        </w:rPr>
      </w:pPr>
      <w:r>
        <w:rPr>
          <w:rFonts w:hint="eastAsia" w:cs="宋体"/>
          <w:color w:val="auto"/>
          <w:sz w:val="21"/>
          <w:szCs w:val="21"/>
          <w:highlight w:val="none"/>
        </w:rPr>
        <w:t>（2）参考品牌材料设备的供货商之间存在协商抬价的；</w:t>
      </w:r>
    </w:p>
    <w:p>
      <w:pPr>
        <w:widowControl/>
        <w:adjustRightInd w:val="0"/>
        <w:snapToGrid w:val="0"/>
        <w:spacing w:line="360" w:lineRule="auto"/>
        <w:ind w:right="-7" w:rightChars="-2" w:firstLine="420" w:firstLineChars="200"/>
        <w:textAlignment w:val="baseline"/>
        <w:rPr>
          <w:rFonts w:cs="宋体"/>
          <w:color w:val="auto"/>
          <w:sz w:val="21"/>
          <w:szCs w:val="21"/>
          <w:highlight w:val="none"/>
        </w:rPr>
      </w:pPr>
      <w:r>
        <w:rPr>
          <w:rFonts w:hint="eastAsia" w:cs="宋体"/>
          <w:color w:val="auto"/>
          <w:sz w:val="21"/>
          <w:szCs w:val="21"/>
          <w:highlight w:val="none"/>
        </w:rPr>
        <w:t>（3）参考品牌材料设备的供货无法满足本项目工期的要求。</w:t>
      </w:r>
    </w:p>
    <w:p>
      <w:pPr>
        <w:adjustRightInd w:val="0"/>
        <w:spacing w:line="360" w:lineRule="auto"/>
        <w:ind w:right="-7" w:rightChars="-2" w:firstLine="420" w:firstLineChars="200"/>
        <w:textAlignment w:val="baseline"/>
        <w:rPr>
          <w:rFonts w:cs="宋体"/>
          <w:color w:val="auto"/>
          <w:sz w:val="21"/>
          <w:szCs w:val="21"/>
          <w:highlight w:val="none"/>
        </w:rPr>
      </w:pPr>
      <w:r>
        <w:rPr>
          <w:rFonts w:hint="eastAsia" w:cs="宋体"/>
          <w:color w:val="auto"/>
          <w:sz w:val="21"/>
          <w:szCs w:val="21"/>
          <w:highlight w:val="none"/>
        </w:rPr>
        <w:t>2.投标人应同时阅读本招标工程量清单中的“主要材料设备参考品牌明细表”。</w:t>
      </w:r>
    </w:p>
    <w:p>
      <w:pPr>
        <w:adjustRightInd w:val="0"/>
        <w:spacing w:line="360" w:lineRule="auto"/>
        <w:ind w:right="-7" w:rightChars="-2" w:firstLine="420" w:firstLineChars="200"/>
        <w:textAlignment w:val="baseline"/>
        <w:rPr>
          <w:rFonts w:cs="宋体"/>
          <w:color w:val="auto"/>
          <w:sz w:val="21"/>
          <w:szCs w:val="21"/>
          <w:highlight w:val="none"/>
        </w:rPr>
      </w:pPr>
      <w:r>
        <w:rPr>
          <w:rFonts w:hint="eastAsia" w:cs="宋体"/>
          <w:color w:val="auto"/>
          <w:sz w:val="21"/>
          <w:szCs w:val="21"/>
          <w:highlight w:val="none"/>
        </w:rPr>
        <w:t>3.承包人所用的未推荐参考品牌的其他主材（设备）须事先得到发包人批准后方可使用，发包人有权拒绝使用不符合招标文件规定标准的材料设备。</w:t>
      </w:r>
    </w:p>
    <w:p>
      <w:pPr>
        <w:adjustRightInd w:val="0"/>
        <w:spacing w:line="360" w:lineRule="auto"/>
        <w:ind w:right="-7" w:rightChars="-2" w:firstLine="420" w:firstLineChars="200"/>
        <w:textAlignment w:val="baseline"/>
        <w:rPr>
          <w:rFonts w:cs="宋体"/>
          <w:color w:val="auto"/>
          <w:sz w:val="21"/>
          <w:szCs w:val="21"/>
          <w:highlight w:val="none"/>
        </w:rPr>
      </w:pPr>
      <w:r>
        <w:rPr>
          <w:rFonts w:hint="eastAsia" w:cs="宋体"/>
          <w:color w:val="auto"/>
          <w:sz w:val="21"/>
          <w:szCs w:val="21"/>
          <w:highlight w:val="none"/>
        </w:rPr>
        <w:t>4.本工程使用的材料设备，优先选用装配式部品部件和获得绿色建材认证的产品。</w:t>
      </w:r>
    </w:p>
    <w:p>
      <w:pPr>
        <w:adjustRightInd w:val="0"/>
        <w:spacing w:line="360" w:lineRule="auto"/>
        <w:ind w:right="-7" w:rightChars="-2" w:firstLine="420" w:firstLineChars="200"/>
        <w:textAlignment w:val="baseline"/>
        <w:rPr>
          <w:rFonts w:cs="宋体"/>
          <w:color w:val="auto"/>
          <w:sz w:val="21"/>
          <w:szCs w:val="21"/>
          <w:highlight w:val="none"/>
        </w:rPr>
      </w:pPr>
      <w:r>
        <w:rPr>
          <w:rFonts w:cs="宋体"/>
          <w:color w:val="auto"/>
          <w:sz w:val="21"/>
          <w:szCs w:val="21"/>
          <w:highlight w:val="none"/>
        </w:rPr>
        <w:t>5.</w:t>
      </w:r>
      <w:r>
        <w:rPr>
          <w:color w:val="auto"/>
          <w:sz w:val="21"/>
          <w:szCs w:val="21"/>
          <w:highlight w:val="none"/>
          <w:shd w:val="clear" w:color="auto" w:fill="FFFFFF"/>
        </w:rPr>
        <w:t>本表未对本工程使用门</w:t>
      </w:r>
      <w:r>
        <w:rPr>
          <w:rFonts w:ascii="Times New Roman" w:hAnsi="Times New Roman"/>
          <w:color w:val="auto"/>
          <w:sz w:val="21"/>
          <w:szCs w:val="21"/>
          <w:highlight w:val="none"/>
          <w:shd w:val="clear" w:color="auto" w:fill="FFFFFF"/>
        </w:rPr>
        <w:t>窗品牌做出要求的，承包人在施工过程中应选择标准化门窗（即在工厂内生产制作，对型材、玻璃、五金件、密封件、配套件等进行优化设计并定型的成品门窗），不得自行委托现场加工。</w:t>
      </w:r>
    </w:p>
    <w:p>
      <w:pPr>
        <w:pStyle w:val="4"/>
        <w:widowControl/>
        <w:spacing w:beforeLines="0" w:after="240"/>
        <w:rPr>
          <w:rFonts w:hAnsi="宋体" w:cs="黑体"/>
          <w:color w:val="auto"/>
          <w:highlight w:val="none"/>
        </w:rPr>
      </w:pPr>
      <w:r>
        <w:rPr>
          <w:rFonts w:hint="eastAsia" w:hAnsi="宋体" w:cs="黑体"/>
          <w:color w:val="auto"/>
          <w:highlight w:val="none"/>
        </w:rPr>
        <w:br w:type="page"/>
      </w:r>
      <w:bookmarkStart w:id="1870" w:name="_Toc27304"/>
      <w:bookmarkStart w:id="1871" w:name="_Toc16580"/>
      <w:bookmarkStart w:id="1872" w:name="_Toc2100"/>
      <w:bookmarkStart w:id="1873" w:name="_Toc106703340"/>
      <w:bookmarkStart w:id="1874" w:name="_Toc24329"/>
      <w:bookmarkStart w:id="1875" w:name="_Toc796"/>
      <w:bookmarkStart w:id="1876" w:name="_Toc11323"/>
      <w:bookmarkStart w:id="1877" w:name="_Toc61877352"/>
      <w:r>
        <w:rPr>
          <w:rFonts w:hint="eastAsia" w:hAnsi="宋体" w:cs="黑体"/>
          <w:color w:val="auto"/>
          <w:highlight w:val="none"/>
        </w:rPr>
        <w:t>招</w:t>
      </w:r>
      <w:bookmarkStart w:id="1878" w:name="_Toc49663162"/>
      <w:bookmarkEnd w:id="1878"/>
      <w:bookmarkStart w:id="1879" w:name="_Toc13309432"/>
      <w:bookmarkEnd w:id="1879"/>
      <w:bookmarkStart w:id="1880" w:name="_Toc215480861"/>
      <w:bookmarkEnd w:id="1880"/>
      <w:bookmarkStart w:id="1881" w:name="_Toc63471531"/>
      <w:r>
        <w:rPr>
          <w:rFonts w:hint="eastAsia" w:hAnsi="宋体" w:cs="黑体"/>
          <w:color w:val="auto"/>
          <w:highlight w:val="none"/>
        </w:rPr>
        <w:t>标人自行采购的材料设备</w:t>
      </w:r>
      <w:bookmarkEnd w:id="1870"/>
      <w:bookmarkEnd w:id="1871"/>
      <w:bookmarkEnd w:id="1872"/>
      <w:bookmarkEnd w:id="1873"/>
      <w:bookmarkEnd w:id="1874"/>
      <w:bookmarkEnd w:id="1875"/>
      <w:bookmarkEnd w:id="1876"/>
      <w:bookmarkEnd w:id="1877"/>
      <w:bookmarkEnd w:id="1881"/>
    </w:p>
    <w:p>
      <w:pPr>
        <w:adjustRightInd w:val="0"/>
        <w:spacing w:line="360" w:lineRule="atLeast"/>
        <w:textAlignment w:val="baseline"/>
        <w:rPr>
          <w:rFonts w:ascii="Calibri" w:hAnsi="Calibri" w:cs="Calibri"/>
          <w:color w:val="auto"/>
          <w:sz w:val="20"/>
          <w:highlight w:val="none"/>
        </w:rPr>
      </w:pPr>
      <w:r>
        <w:rPr>
          <w:rFonts w:ascii="Calibri" w:hAnsi="Calibri" w:cs="Calibri"/>
          <w:color w:val="auto"/>
          <w:sz w:val="20"/>
          <w:highlight w:val="none"/>
        </w:rPr>
        <w:t xml:space="preserve"> </w:t>
      </w:r>
    </w:p>
    <w:p>
      <w:pPr>
        <w:adjustRightInd w:val="0"/>
        <w:spacing w:line="360" w:lineRule="atLeast"/>
        <w:ind w:firstLine="420" w:firstLineChars="200"/>
        <w:textAlignment w:val="baseline"/>
        <w:rPr>
          <w:rFonts w:cs="宋体"/>
          <w:color w:val="auto"/>
          <w:sz w:val="21"/>
          <w:szCs w:val="21"/>
          <w:highlight w:val="none"/>
        </w:rPr>
      </w:pPr>
      <w:r>
        <w:rPr>
          <w:rFonts w:hint="eastAsia" w:cs="宋体"/>
          <w:color w:val="auto"/>
          <w:sz w:val="21"/>
          <w:szCs w:val="21"/>
          <w:highlight w:val="none"/>
        </w:rPr>
        <w:t>具体内容详见本项目招标工程量清单中的“发包人提供材料和工程设备一览表”。</w:t>
      </w:r>
    </w:p>
    <w:p>
      <w:pPr>
        <w:adjustRightInd w:val="0"/>
        <w:spacing w:line="360" w:lineRule="atLeast"/>
        <w:ind w:firstLine="420" w:firstLineChars="200"/>
        <w:textAlignment w:val="baseline"/>
        <w:rPr>
          <w:rFonts w:cs="宋体"/>
          <w:color w:val="auto"/>
          <w:sz w:val="21"/>
          <w:szCs w:val="21"/>
          <w:highlight w:val="none"/>
        </w:rPr>
      </w:pPr>
      <w:r>
        <w:rPr>
          <w:rFonts w:hint="eastAsia" w:cs="宋体"/>
          <w:color w:val="auto"/>
          <w:sz w:val="21"/>
          <w:szCs w:val="21"/>
          <w:highlight w:val="none"/>
        </w:rPr>
        <w:t xml:space="preserve"> </w:t>
      </w:r>
    </w:p>
    <w:p>
      <w:pPr>
        <w:pStyle w:val="4"/>
        <w:widowControl/>
        <w:spacing w:beforeLines="0" w:after="240"/>
        <w:rPr>
          <w:rFonts w:hAnsi="宋体" w:cs="黑体"/>
          <w:color w:val="auto"/>
          <w:highlight w:val="none"/>
        </w:rPr>
      </w:pPr>
      <w:bookmarkStart w:id="1882" w:name="_Toc13060"/>
      <w:bookmarkEnd w:id="1882"/>
      <w:bookmarkStart w:id="1883" w:name="_Toc10991"/>
      <w:bookmarkEnd w:id="1883"/>
      <w:bookmarkStart w:id="1884" w:name="_Toc16498"/>
      <w:bookmarkEnd w:id="1884"/>
      <w:bookmarkStart w:id="1885" w:name="_Toc52113011"/>
      <w:r>
        <w:rPr>
          <w:rFonts w:hint="eastAsia" w:ascii="宋体" w:hAnsi="Calibri" w:eastAsia="宋体" w:cs="宋体"/>
          <w:color w:val="auto"/>
          <w:kern w:val="0"/>
          <w:sz w:val="21"/>
          <w:szCs w:val="21"/>
          <w:highlight w:val="none"/>
        </w:rPr>
        <w:br w:type="page"/>
      </w:r>
      <w:bookmarkEnd w:id="1885"/>
      <w:bookmarkStart w:id="1886" w:name="_Toc23455"/>
      <w:bookmarkStart w:id="1887" w:name="_Toc16339"/>
      <w:bookmarkStart w:id="1888" w:name="_Toc20333"/>
      <w:bookmarkStart w:id="1889" w:name="_Toc106703341"/>
      <w:bookmarkStart w:id="1890" w:name="_Toc12748"/>
      <w:bookmarkStart w:id="1891" w:name="_Toc4319"/>
      <w:bookmarkStart w:id="1892" w:name="_Toc61877353"/>
      <w:bookmarkStart w:id="1893" w:name="_Toc4238"/>
      <w:r>
        <w:rPr>
          <w:rFonts w:hint="eastAsia" w:hAnsi="宋体" w:cs="黑体"/>
          <w:color w:val="auto"/>
          <w:highlight w:val="none"/>
        </w:rPr>
        <w:t>其</w:t>
      </w:r>
      <w:bookmarkStart w:id="1894" w:name="_Toc13309433"/>
      <w:r>
        <w:rPr>
          <w:rFonts w:hint="eastAsia" w:hAnsi="宋体" w:cs="黑体"/>
          <w:color w:val="auto"/>
          <w:highlight w:val="none"/>
        </w:rPr>
        <w:t>他要求</w:t>
      </w:r>
      <w:bookmarkEnd w:id="1886"/>
      <w:bookmarkEnd w:id="1887"/>
      <w:bookmarkEnd w:id="1888"/>
      <w:bookmarkEnd w:id="1889"/>
      <w:bookmarkEnd w:id="1890"/>
      <w:bookmarkEnd w:id="1891"/>
      <w:bookmarkEnd w:id="1892"/>
      <w:bookmarkEnd w:id="1893"/>
      <w:bookmarkEnd w:id="1894"/>
    </w:p>
    <w:p>
      <w:pPr>
        <w:adjustRightInd w:val="0"/>
        <w:spacing w:line="360" w:lineRule="auto"/>
        <w:ind w:left="-3" w:leftChars="-1"/>
        <w:textAlignment w:val="baseline"/>
        <w:rPr>
          <w:rFonts w:hAnsi="Calibri"/>
          <w:snapToGrid w:val="0"/>
          <w:color w:val="auto"/>
          <w:sz w:val="21"/>
          <w:szCs w:val="21"/>
          <w:highlight w:val="none"/>
          <w:u w:val="single"/>
        </w:rPr>
      </w:pPr>
      <w:r>
        <w:rPr>
          <w:rFonts w:hint="eastAsia" w:hAnsi="Calibri"/>
          <w:snapToGrid w:val="0"/>
          <w:color w:val="auto"/>
          <w:sz w:val="24"/>
          <w:highlight w:val="none"/>
          <w:u w:val="single"/>
        </w:rPr>
        <w:t xml:space="preserve"> </w:t>
      </w:r>
      <w:r>
        <w:rPr>
          <w:rFonts w:hint="eastAsia"/>
          <w:snapToGrid w:val="0"/>
          <w:color w:val="auto"/>
          <w:sz w:val="21"/>
          <w:szCs w:val="21"/>
          <w:highlight w:val="none"/>
          <w:u w:val="single"/>
        </w:rPr>
        <w:t>（招标项目应用建筑信息模型（BIM）技术的，应根据实际需要，明确模型结构与扩展、数据交付与交换、数据编码与存储、模型应用软件、模型创建、使用和组织实施等具体应用要求。）</w:t>
      </w:r>
      <w:r>
        <w:rPr>
          <w:rFonts w:hint="eastAsia" w:hAnsi="Calibri"/>
          <w:snapToGrid w:val="0"/>
          <w:color w:val="auto"/>
          <w:sz w:val="21"/>
          <w:szCs w:val="21"/>
          <w:highlight w:val="none"/>
          <w:u w:val="single"/>
        </w:rPr>
        <w:t xml:space="preserve">    </w:t>
      </w:r>
    </w:p>
    <w:p>
      <w:pPr>
        <w:spacing w:line="360" w:lineRule="auto"/>
        <w:ind w:firstLine="420" w:firstLineChars="200"/>
        <w:jc w:val="left"/>
        <w:rPr>
          <w:rFonts w:hint="eastAsia" w:cs="宋体"/>
          <w:b/>
          <w:color w:val="auto"/>
          <w:sz w:val="36"/>
          <w:szCs w:val="36"/>
          <w:highlight w:val="none"/>
        </w:rPr>
      </w:pPr>
      <w:r>
        <w:rPr>
          <w:rFonts w:hint="eastAsia" w:hAnsi="Calibri"/>
          <w:snapToGrid w:val="0"/>
          <w:color w:val="0000FF"/>
          <w:sz w:val="21"/>
          <w:szCs w:val="21"/>
          <w:highlight w:val="none"/>
          <w:u w:val="single"/>
          <w:lang w:eastAsia="zh-CN"/>
        </w:rPr>
        <w:t>无</w:t>
      </w:r>
      <w:r>
        <w:rPr>
          <w:rFonts w:hint="eastAsia" w:hAnsi="Calibri"/>
          <w:snapToGrid w:val="0"/>
          <w:color w:val="0000FF"/>
          <w:sz w:val="21"/>
          <w:szCs w:val="21"/>
          <w:highlight w:val="none"/>
          <w:u w:val="single"/>
          <w:lang w:val="en-US" w:eastAsia="zh-CN"/>
        </w:rPr>
        <w:t xml:space="preserve"> </w:t>
      </w:r>
      <w:r>
        <w:rPr>
          <w:rFonts w:hint="eastAsia" w:cs="宋体"/>
          <w:b/>
          <w:color w:val="auto"/>
          <w:sz w:val="36"/>
          <w:szCs w:val="36"/>
          <w:highlight w:val="none"/>
        </w:rPr>
        <w:t xml:space="preserve"> </w:t>
      </w:r>
    </w:p>
    <w:p>
      <w:pPr>
        <w:pStyle w:val="2"/>
      </w:pPr>
    </w:p>
    <w:p>
      <w:pPr>
        <w:spacing w:line="360" w:lineRule="auto"/>
        <w:jc w:val="left"/>
        <w:rPr>
          <w:rFonts w:hint="eastAsia" w:cs="宋体"/>
          <w:b/>
          <w:color w:val="auto"/>
          <w:sz w:val="36"/>
          <w:szCs w:val="36"/>
          <w:highlight w:val="none"/>
        </w:rPr>
        <w:sectPr>
          <w:footnotePr>
            <w:numFmt w:val="decimalEnclosedCircleChinese"/>
            <w:numRestart w:val="eachPage"/>
          </w:footnotePr>
          <w:pgSz w:w="11906" w:h="16838"/>
          <w:pgMar w:top="1440" w:right="992" w:bottom="1440" w:left="1134" w:header="0" w:footer="595" w:gutter="0"/>
          <w:pgNumType w:fmt="decimal"/>
          <w:cols w:space="0" w:num="1"/>
          <w:rtlGutter w:val="0"/>
          <w:docGrid w:linePitch="360" w:charSpace="0"/>
        </w:sectPr>
      </w:pPr>
      <w:r>
        <w:rPr>
          <w:rFonts w:hint="eastAsia" w:cs="宋体"/>
          <w:b/>
          <w:color w:val="auto"/>
          <w:sz w:val="36"/>
          <w:szCs w:val="36"/>
          <w:highlight w:val="none"/>
        </w:rPr>
        <w:t xml:space="preserve"> </w:t>
      </w:r>
    </w:p>
    <w:p>
      <w:pPr>
        <w:spacing w:line="360" w:lineRule="auto"/>
        <w:rPr>
          <w:rFonts w:cs="宋体"/>
          <w:color w:val="auto"/>
          <w:kern w:val="1"/>
          <w:sz w:val="21"/>
          <w:szCs w:val="21"/>
          <w:highlight w:val="none"/>
        </w:rPr>
      </w:pPr>
      <w:r>
        <w:rPr>
          <w:rFonts w:hint="eastAsia" w:cs="宋体"/>
          <w:b/>
          <w:color w:val="auto"/>
          <w:sz w:val="36"/>
          <w:szCs w:val="36"/>
          <w:highlight w:val="none"/>
        </w:rPr>
        <w:t xml:space="preserve"> </w:t>
      </w:r>
    </w:p>
    <w:p>
      <w:pPr>
        <w:pStyle w:val="3"/>
        <w:keepNext w:val="0"/>
        <w:keepLines w:val="0"/>
        <w:spacing w:before="4000" w:line="360" w:lineRule="auto"/>
        <w:jc w:val="center"/>
        <w:rPr>
          <w:rFonts w:ascii="黑体" w:eastAsia="黑体" w:cs="宋体"/>
          <w:color w:val="auto"/>
          <w:kern w:val="1"/>
          <w:sz w:val="52"/>
          <w:szCs w:val="52"/>
          <w:highlight w:val="none"/>
        </w:rPr>
      </w:pPr>
      <w:bookmarkStart w:id="1895" w:name="_Toc247527825"/>
      <w:bookmarkEnd w:id="1895"/>
      <w:bookmarkStart w:id="1896" w:name="_Toc27091"/>
      <w:bookmarkEnd w:id="1896"/>
      <w:bookmarkStart w:id="1897" w:name="_Toc247514244"/>
      <w:bookmarkEnd w:id="1897"/>
      <w:bookmarkStart w:id="1898" w:name="_Toc30170709"/>
      <w:bookmarkEnd w:id="1898"/>
      <w:bookmarkStart w:id="1899" w:name="_Toc414046968"/>
      <w:bookmarkEnd w:id="1899"/>
      <w:bookmarkStart w:id="1900" w:name="_Toc458440251"/>
      <w:bookmarkEnd w:id="1900"/>
      <w:bookmarkStart w:id="1901" w:name="_Toc152042575"/>
      <w:bookmarkEnd w:id="1901"/>
      <w:bookmarkStart w:id="1902" w:name="_Toc152045786"/>
      <w:bookmarkEnd w:id="1902"/>
      <w:bookmarkStart w:id="1903" w:name="_Toc20029"/>
      <w:bookmarkEnd w:id="1903"/>
      <w:bookmarkStart w:id="1904" w:name="_Toc144974855"/>
      <w:bookmarkEnd w:id="1904"/>
      <w:bookmarkStart w:id="1905" w:name="_Toc52113012"/>
      <w:bookmarkStart w:id="1906" w:name="_Toc13082"/>
      <w:bookmarkStart w:id="1907" w:name="_Toc28495"/>
      <w:bookmarkStart w:id="1908" w:name="_Toc13020"/>
      <w:bookmarkStart w:id="1909" w:name="_Toc28272"/>
      <w:bookmarkStart w:id="1910" w:name="_Toc61877367"/>
      <w:bookmarkStart w:id="1911" w:name="_Toc13848"/>
      <w:bookmarkStart w:id="1912" w:name="_Toc106703342"/>
      <w:bookmarkStart w:id="1913" w:name="_Toc10862"/>
      <w:r>
        <w:rPr>
          <w:rFonts w:hint="eastAsia" w:ascii="黑体" w:eastAsia="黑体" w:cs="黑体"/>
          <w:color w:val="auto"/>
          <w:kern w:val="1"/>
          <w:sz w:val="52"/>
          <w:szCs w:val="52"/>
          <w:highlight w:val="none"/>
        </w:rPr>
        <w:t>第三卷</w:t>
      </w:r>
      <w:bookmarkEnd w:id="1905"/>
      <w:bookmarkEnd w:id="1906"/>
      <w:bookmarkEnd w:id="1907"/>
      <w:bookmarkEnd w:id="1908"/>
      <w:bookmarkEnd w:id="1909"/>
      <w:bookmarkEnd w:id="1910"/>
      <w:bookmarkEnd w:id="1911"/>
      <w:bookmarkEnd w:id="1912"/>
      <w:bookmarkEnd w:id="1913"/>
    </w:p>
    <w:p>
      <w:pPr>
        <w:spacing w:line="360" w:lineRule="auto"/>
        <w:jc w:val="center"/>
        <w:rPr>
          <w:rFonts w:cs="宋体"/>
          <w:color w:val="auto"/>
          <w:kern w:val="1"/>
          <w:sz w:val="21"/>
          <w:szCs w:val="21"/>
          <w:highlight w:val="none"/>
        </w:rPr>
      </w:pPr>
      <w:r>
        <w:rPr>
          <w:rFonts w:hint="eastAsia" w:cs="宋体"/>
          <w:color w:val="auto"/>
          <w:kern w:val="1"/>
          <w:sz w:val="21"/>
          <w:szCs w:val="21"/>
          <w:highlight w:val="none"/>
        </w:rPr>
        <w:t xml:space="preserve"> </w:t>
      </w:r>
    </w:p>
    <w:p>
      <w:pPr>
        <w:spacing w:line="360" w:lineRule="auto"/>
        <w:jc w:val="center"/>
        <w:rPr>
          <w:rFonts w:cs="宋体"/>
          <w:color w:val="auto"/>
          <w:kern w:val="1"/>
          <w:sz w:val="21"/>
          <w:szCs w:val="21"/>
          <w:highlight w:val="none"/>
        </w:rPr>
      </w:pPr>
      <w:r>
        <w:rPr>
          <w:rFonts w:hint="eastAsia" w:cs="宋体"/>
          <w:color w:val="auto"/>
          <w:kern w:val="1"/>
          <w:sz w:val="21"/>
          <w:szCs w:val="21"/>
          <w:highlight w:val="none"/>
        </w:rPr>
        <w:t xml:space="preserve"> </w:t>
      </w:r>
    </w:p>
    <w:p>
      <w:pPr>
        <w:spacing w:line="360" w:lineRule="auto"/>
        <w:rPr>
          <w:rFonts w:cs="宋体"/>
          <w:color w:val="auto"/>
          <w:kern w:val="1"/>
          <w:sz w:val="21"/>
          <w:szCs w:val="21"/>
          <w:highlight w:val="none"/>
        </w:rPr>
      </w:pPr>
      <w:bookmarkStart w:id="1914" w:name="_Toc247514245"/>
      <w:bookmarkEnd w:id="1914"/>
      <w:bookmarkStart w:id="1915" w:name="_Toc247527826"/>
      <w:bookmarkEnd w:id="1915"/>
      <w:bookmarkStart w:id="1916" w:name="_Toc414046969"/>
      <w:bookmarkEnd w:id="1916"/>
    </w:p>
    <w:p>
      <w:pPr>
        <w:spacing w:line="360" w:lineRule="auto"/>
        <w:rPr>
          <w:rFonts w:cs="宋体"/>
          <w:color w:val="auto"/>
          <w:kern w:val="1"/>
          <w:sz w:val="21"/>
          <w:szCs w:val="21"/>
          <w:highlight w:val="none"/>
        </w:rPr>
      </w:pPr>
    </w:p>
    <w:p>
      <w:pPr>
        <w:spacing w:line="360" w:lineRule="auto"/>
        <w:rPr>
          <w:rFonts w:cs="宋体"/>
          <w:color w:val="auto"/>
          <w:kern w:val="1"/>
          <w:sz w:val="21"/>
          <w:szCs w:val="21"/>
          <w:highlight w:val="none"/>
        </w:rPr>
      </w:pPr>
    </w:p>
    <w:p>
      <w:pPr>
        <w:spacing w:line="360" w:lineRule="auto"/>
        <w:rPr>
          <w:rFonts w:cs="宋体"/>
          <w:color w:val="auto"/>
          <w:kern w:val="1"/>
          <w:sz w:val="21"/>
          <w:szCs w:val="21"/>
          <w:highlight w:val="none"/>
        </w:rPr>
      </w:pPr>
    </w:p>
    <w:p>
      <w:pPr>
        <w:spacing w:line="360" w:lineRule="auto"/>
        <w:rPr>
          <w:rFonts w:cs="宋体"/>
          <w:color w:val="auto"/>
          <w:kern w:val="1"/>
          <w:sz w:val="21"/>
          <w:szCs w:val="21"/>
          <w:highlight w:val="none"/>
        </w:rPr>
      </w:pPr>
    </w:p>
    <w:p>
      <w:pPr>
        <w:spacing w:line="360" w:lineRule="auto"/>
        <w:rPr>
          <w:rFonts w:cs="宋体"/>
          <w:color w:val="auto"/>
          <w:kern w:val="1"/>
          <w:sz w:val="21"/>
          <w:szCs w:val="21"/>
          <w:highlight w:val="none"/>
        </w:rPr>
      </w:pPr>
    </w:p>
    <w:p>
      <w:pPr>
        <w:spacing w:line="360" w:lineRule="auto"/>
        <w:rPr>
          <w:rFonts w:cs="宋体"/>
          <w:color w:val="auto"/>
          <w:kern w:val="1"/>
          <w:sz w:val="21"/>
          <w:szCs w:val="21"/>
          <w:highlight w:val="none"/>
        </w:rPr>
      </w:pPr>
    </w:p>
    <w:p>
      <w:pPr>
        <w:spacing w:line="360" w:lineRule="auto"/>
        <w:rPr>
          <w:rFonts w:cs="宋体"/>
          <w:color w:val="auto"/>
          <w:kern w:val="1"/>
          <w:sz w:val="21"/>
          <w:szCs w:val="21"/>
          <w:highlight w:val="none"/>
        </w:rPr>
      </w:pPr>
    </w:p>
    <w:p>
      <w:pPr>
        <w:spacing w:line="360" w:lineRule="auto"/>
        <w:rPr>
          <w:rFonts w:cs="宋体"/>
          <w:color w:val="auto"/>
          <w:kern w:val="1"/>
          <w:sz w:val="21"/>
          <w:szCs w:val="21"/>
          <w:highlight w:val="none"/>
        </w:rPr>
      </w:pPr>
    </w:p>
    <w:p>
      <w:pPr>
        <w:spacing w:line="360" w:lineRule="auto"/>
        <w:rPr>
          <w:rFonts w:cs="宋体"/>
          <w:color w:val="auto"/>
          <w:kern w:val="1"/>
          <w:sz w:val="21"/>
          <w:szCs w:val="21"/>
          <w:highlight w:val="none"/>
        </w:rPr>
      </w:pPr>
    </w:p>
    <w:p>
      <w:pPr>
        <w:spacing w:line="360" w:lineRule="auto"/>
        <w:rPr>
          <w:rFonts w:cs="宋体"/>
          <w:color w:val="auto"/>
          <w:kern w:val="1"/>
          <w:sz w:val="21"/>
          <w:szCs w:val="21"/>
          <w:highlight w:val="none"/>
        </w:rPr>
      </w:pPr>
    </w:p>
    <w:p>
      <w:pPr>
        <w:spacing w:line="360" w:lineRule="auto"/>
        <w:rPr>
          <w:rFonts w:cs="宋体"/>
          <w:color w:val="auto"/>
          <w:kern w:val="1"/>
          <w:sz w:val="21"/>
          <w:szCs w:val="21"/>
          <w:highlight w:val="none"/>
        </w:rPr>
      </w:pPr>
    </w:p>
    <w:p>
      <w:pPr>
        <w:spacing w:line="360" w:lineRule="auto"/>
        <w:rPr>
          <w:rFonts w:cs="宋体"/>
          <w:color w:val="auto"/>
          <w:kern w:val="1"/>
          <w:sz w:val="21"/>
          <w:szCs w:val="21"/>
          <w:highlight w:val="none"/>
        </w:rPr>
      </w:pPr>
    </w:p>
    <w:p>
      <w:pPr>
        <w:spacing w:line="360" w:lineRule="auto"/>
        <w:rPr>
          <w:rFonts w:cs="宋体"/>
          <w:color w:val="auto"/>
          <w:kern w:val="1"/>
          <w:sz w:val="21"/>
          <w:szCs w:val="21"/>
          <w:highlight w:val="none"/>
        </w:rPr>
      </w:pPr>
    </w:p>
    <w:p>
      <w:pPr>
        <w:spacing w:line="360" w:lineRule="auto"/>
        <w:rPr>
          <w:rFonts w:cs="宋体"/>
          <w:color w:val="auto"/>
          <w:kern w:val="1"/>
          <w:sz w:val="21"/>
          <w:szCs w:val="21"/>
          <w:highlight w:val="none"/>
        </w:rPr>
      </w:pPr>
    </w:p>
    <w:p>
      <w:pPr>
        <w:spacing w:line="360" w:lineRule="auto"/>
        <w:rPr>
          <w:rFonts w:cs="宋体"/>
          <w:color w:val="auto"/>
          <w:kern w:val="1"/>
          <w:sz w:val="21"/>
          <w:szCs w:val="21"/>
          <w:highlight w:val="none"/>
        </w:rPr>
      </w:pPr>
    </w:p>
    <w:p>
      <w:pPr>
        <w:spacing w:line="360" w:lineRule="auto"/>
        <w:rPr>
          <w:rFonts w:cs="宋体"/>
          <w:color w:val="auto"/>
          <w:kern w:val="1"/>
          <w:sz w:val="21"/>
          <w:szCs w:val="21"/>
          <w:highlight w:val="none"/>
        </w:rPr>
      </w:pPr>
    </w:p>
    <w:p>
      <w:pPr>
        <w:spacing w:line="360" w:lineRule="auto"/>
        <w:rPr>
          <w:rFonts w:cs="宋体"/>
          <w:color w:val="auto"/>
          <w:kern w:val="1"/>
          <w:sz w:val="21"/>
          <w:szCs w:val="21"/>
          <w:highlight w:val="none"/>
        </w:rPr>
      </w:pPr>
    </w:p>
    <w:p>
      <w:pPr>
        <w:keepNext/>
        <w:keepLines/>
        <w:spacing w:before="4000" w:after="330" w:line="360" w:lineRule="auto"/>
        <w:jc w:val="center"/>
        <w:outlineLvl w:val="0"/>
        <w:rPr>
          <w:rFonts w:ascii="黑体" w:hAnsi="黑体" w:eastAsia="黑体" w:cs="宋体"/>
          <w:color w:val="auto"/>
          <w:kern w:val="1"/>
          <w:sz w:val="44"/>
          <w:szCs w:val="44"/>
          <w:highlight w:val="none"/>
        </w:rPr>
      </w:pPr>
      <w:bookmarkStart w:id="1917" w:name="_Toc12923"/>
      <w:bookmarkStart w:id="1918" w:name="_Toc61877368"/>
      <w:bookmarkStart w:id="1919" w:name="_Toc30170710"/>
      <w:bookmarkStart w:id="1920" w:name="_Toc30831"/>
      <w:bookmarkStart w:id="1921" w:name="_Toc20719"/>
      <w:bookmarkStart w:id="1922" w:name="_Toc31531"/>
      <w:bookmarkStart w:id="1923" w:name="_Toc458440252"/>
      <w:bookmarkStart w:id="1924" w:name="_Toc13118"/>
      <w:bookmarkStart w:id="1925" w:name="_Toc21528"/>
      <w:bookmarkStart w:id="1926" w:name="_Toc52113013"/>
    </w:p>
    <w:p>
      <w:pPr>
        <w:keepNext/>
        <w:keepLines/>
        <w:spacing w:before="4000" w:after="330" w:line="360" w:lineRule="auto"/>
        <w:jc w:val="center"/>
        <w:outlineLvl w:val="0"/>
        <w:rPr>
          <w:rFonts w:ascii="黑体" w:hAnsi="黑体" w:eastAsia="黑体" w:cs="宋体"/>
          <w:color w:val="auto"/>
          <w:kern w:val="1"/>
          <w:sz w:val="44"/>
          <w:szCs w:val="44"/>
          <w:highlight w:val="none"/>
        </w:rPr>
      </w:pPr>
      <w:bookmarkStart w:id="1927" w:name="_Toc106703343"/>
      <w:bookmarkStart w:id="1928" w:name="_Toc30052"/>
      <w:bookmarkStart w:id="1929" w:name="_Toc2073"/>
      <w:r>
        <w:rPr>
          <w:rFonts w:hint="eastAsia" w:ascii="黑体" w:hAnsi="黑体" w:eastAsia="黑体" w:cs="宋体"/>
          <w:color w:val="auto"/>
          <w:kern w:val="1"/>
          <w:sz w:val="44"/>
          <w:szCs w:val="44"/>
          <w:highlight w:val="none"/>
        </w:rPr>
        <w:t>第九章 投标文件格式</w:t>
      </w:r>
      <w:bookmarkEnd w:id="1917"/>
      <w:bookmarkEnd w:id="1918"/>
      <w:bookmarkEnd w:id="1919"/>
      <w:bookmarkEnd w:id="1920"/>
      <w:bookmarkEnd w:id="1921"/>
      <w:bookmarkEnd w:id="1922"/>
      <w:bookmarkEnd w:id="1923"/>
      <w:bookmarkEnd w:id="1924"/>
      <w:bookmarkEnd w:id="1925"/>
      <w:bookmarkEnd w:id="1926"/>
      <w:bookmarkEnd w:id="1927"/>
      <w:bookmarkEnd w:id="1928"/>
      <w:bookmarkEnd w:id="1929"/>
    </w:p>
    <w:p>
      <w:pPr>
        <w:spacing w:line="360" w:lineRule="auto"/>
        <w:rPr>
          <w:rFonts w:cs="宋体"/>
          <w:color w:val="auto"/>
          <w:kern w:val="1"/>
          <w:sz w:val="21"/>
          <w:szCs w:val="24"/>
          <w:highlight w:val="none"/>
        </w:rPr>
      </w:pPr>
    </w:p>
    <w:p>
      <w:pPr>
        <w:spacing w:before="4000" w:line="360" w:lineRule="auto"/>
        <w:jc w:val="center"/>
        <w:rPr>
          <w:rFonts w:ascii="Times New Roman" w:hAnsi="Times New Roman"/>
          <w:color w:val="auto"/>
          <w:kern w:val="1"/>
          <w:sz w:val="32"/>
          <w:szCs w:val="32"/>
          <w:highlight w:val="none"/>
        </w:rPr>
      </w:pPr>
      <w:bookmarkStart w:id="1930" w:name="_Toc377562162"/>
      <w:bookmarkEnd w:id="1930"/>
      <w:bookmarkStart w:id="1931" w:name="_Toc414046970"/>
      <w:bookmarkEnd w:id="1931"/>
      <w:r>
        <w:rPr>
          <w:rFonts w:cs="宋体"/>
          <w:color w:val="auto"/>
          <w:kern w:val="1"/>
          <w:sz w:val="21"/>
          <w:szCs w:val="24"/>
          <w:highlight w:val="none"/>
        </w:rPr>
        <w:br w:type="page"/>
      </w:r>
      <w:r>
        <w:rPr>
          <w:rFonts w:ascii="黑体" w:hAnsi="黑体" w:eastAsia="黑体"/>
          <w:color w:val="auto"/>
          <w:kern w:val="2"/>
          <w:sz w:val="32"/>
          <w:szCs w:val="32"/>
          <w:highlight w:val="none"/>
        </w:rPr>
        <w:t>第</w:t>
      </w:r>
      <w:r>
        <w:rPr>
          <w:rFonts w:hint="eastAsia" w:ascii="黑体" w:hAnsi="黑体" w:eastAsia="黑体"/>
          <w:color w:val="auto"/>
          <w:kern w:val="2"/>
          <w:sz w:val="32"/>
          <w:szCs w:val="32"/>
          <w:highlight w:val="none"/>
        </w:rPr>
        <w:t>1</w:t>
      </w:r>
      <w:r>
        <w:rPr>
          <w:rFonts w:ascii="黑体" w:hAnsi="黑体" w:eastAsia="黑体"/>
          <w:color w:val="auto"/>
          <w:kern w:val="2"/>
          <w:sz w:val="32"/>
          <w:szCs w:val="32"/>
          <w:highlight w:val="none"/>
        </w:rPr>
        <w:t>节</w:t>
      </w:r>
      <w:r>
        <w:rPr>
          <w:rFonts w:hint="eastAsia" w:ascii="黑体" w:hAnsi="黑体" w:eastAsia="黑体"/>
          <w:color w:val="auto"/>
          <w:kern w:val="2"/>
          <w:sz w:val="32"/>
          <w:szCs w:val="32"/>
          <w:highlight w:val="none"/>
        </w:rPr>
        <w:t xml:space="preserve"> 资格文件</w:t>
      </w:r>
    </w:p>
    <w:p>
      <w:pPr>
        <w:spacing w:line="360" w:lineRule="auto"/>
        <w:rPr>
          <w:rFonts w:cs="宋体"/>
          <w:color w:val="auto"/>
          <w:kern w:val="1"/>
          <w:sz w:val="21"/>
          <w:szCs w:val="24"/>
          <w:highlight w:val="none"/>
        </w:rPr>
      </w:pPr>
    </w:p>
    <w:p>
      <w:pPr>
        <w:spacing w:line="360" w:lineRule="auto"/>
        <w:rPr>
          <w:rFonts w:cs="宋体"/>
          <w:color w:val="auto"/>
          <w:kern w:val="1"/>
          <w:sz w:val="21"/>
          <w:szCs w:val="24"/>
          <w:highlight w:val="none"/>
        </w:rPr>
      </w:pPr>
      <w:r>
        <w:rPr>
          <w:rFonts w:cs="宋体"/>
          <w:color w:val="auto"/>
          <w:kern w:val="1"/>
          <w:sz w:val="21"/>
          <w:szCs w:val="24"/>
          <w:highlight w:val="none"/>
        </w:rPr>
        <w:br w:type="page"/>
      </w:r>
    </w:p>
    <w:p>
      <w:pPr>
        <w:adjustRightInd w:val="0"/>
        <w:spacing w:beforeLines="600" w:line="420" w:lineRule="exact"/>
        <w:ind w:firstLine="840" w:firstLineChars="300"/>
        <w:jc w:val="left"/>
        <w:textAlignment w:val="baseline"/>
        <w:rPr>
          <w:rFonts w:hAnsi="Times New Roman"/>
          <w:color w:val="auto"/>
          <w:kern w:val="2"/>
          <w:sz w:val="28"/>
          <w:highlight w:val="none"/>
          <w:u w:val="single"/>
        </w:rPr>
      </w:pPr>
      <w:r>
        <w:rPr>
          <w:rFonts w:hint="eastAsia" w:hAnsi="Times New Roman"/>
          <w:color w:val="auto"/>
          <w:kern w:val="2"/>
          <w:sz w:val="28"/>
          <w:highlight w:val="none"/>
          <w:u w:val="single"/>
        </w:rPr>
        <w:t xml:space="preserve">                          </w:t>
      </w:r>
      <w:r>
        <w:rPr>
          <w:rFonts w:hint="eastAsia" w:ascii="黑体" w:hAnsi="黑体" w:eastAsia="黑体"/>
          <w:color w:val="auto"/>
          <w:kern w:val="2"/>
          <w:sz w:val="28"/>
          <w:highlight w:val="none"/>
        </w:rPr>
        <w:t>（项目名称）</w:t>
      </w:r>
      <w:r>
        <w:rPr>
          <w:rFonts w:hint="eastAsia" w:ascii="黑体" w:hAnsi="黑体" w:eastAsia="黑体"/>
          <w:color w:val="auto"/>
          <w:kern w:val="2"/>
          <w:sz w:val="28"/>
          <w:highlight w:val="none"/>
          <w:u w:val="single"/>
        </w:rPr>
        <w:t xml:space="preserve">    </w:t>
      </w:r>
      <w:r>
        <w:rPr>
          <w:rFonts w:hint="eastAsia" w:ascii="黑体" w:hAnsi="黑体" w:eastAsia="黑体"/>
          <w:color w:val="auto"/>
          <w:kern w:val="2"/>
          <w:sz w:val="28"/>
          <w:highlight w:val="none"/>
        </w:rPr>
        <w:t>标段施工招标</w:t>
      </w:r>
    </w:p>
    <w:p>
      <w:pPr>
        <w:adjustRightInd w:val="0"/>
        <w:spacing w:afterLines="100" w:line="420" w:lineRule="exact"/>
        <w:ind w:firstLine="2525" w:firstLineChars="902"/>
        <w:jc w:val="left"/>
        <w:textAlignment w:val="baseline"/>
        <w:rPr>
          <w:rFonts w:ascii="黑体" w:hAnsi="黑体" w:eastAsia="黑体"/>
          <w:color w:val="auto"/>
          <w:kern w:val="2"/>
          <w:sz w:val="28"/>
          <w:highlight w:val="none"/>
        </w:rPr>
      </w:pPr>
    </w:p>
    <w:p>
      <w:pPr>
        <w:adjustRightInd w:val="0"/>
        <w:spacing w:afterLines="100" w:line="420" w:lineRule="exact"/>
        <w:jc w:val="left"/>
        <w:textAlignment w:val="baseline"/>
        <w:rPr>
          <w:rFonts w:ascii="黑体" w:hAnsi="黑体" w:eastAsia="黑体"/>
          <w:color w:val="auto"/>
          <w:kern w:val="2"/>
          <w:sz w:val="28"/>
          <w:highlight w:val="none"/>
        </w:rPr>
      </w:pPr>
    </w:p>
    <w:p>
      <w:pPr>
        <w:adjustRightInd w:val="0"/>
        <w:spacing w:afterLines="100" w:line="420" w:lineRule="exact"/>
        <w:ind w:firstLine="1570" w:firstLineChars="302"/>
        <w:jc w:val="left"/>
        <w:textAlignment w:val="baseline"/>
        <w:rPr>
          <w:rFonts w:ascii="黑体" w:hAnsi="黑体" w:eastAsia="黑体"/>
          <w:color w:val="auto"/>
          <w:kern w:val="2"/>
          <w:sz w:val="52"/>
          <w:szCs w:val="52"/>
          <w:highlight w:val="none"/>
        </w:rPr>
      </w:pPr>
    </w:p>
    <w:p>
      <w:pPr>
        <w:adjustRightInd w:val="0"/>
        <w:spacing w:beforeLines="100" w:line="540" w:lineRule="exact"/>
        <w:jc w:val="center"/>
        <w:textAlignment w:val="baseline"/>
        <w:rPr>
          <w:rFonts w:ascii="黑体" w:hAnsi="黑体" w:eastAsia="黑体"/>
          <w:color w:val="auto"/>
          <w:kern w:val="2"/>
          <w:sz w:val="52"/>
          <w:szCs w:val="52"/>
          <w:highlight w:val="none"/>
        </w:rPr>
      </w:pPr>
      <w:r>
        <w:rPr>
          <w:rFonts w:hint="eastAsia" w:ascii="黑体" w:hAnsi="黑体" w:eastAsia="黑体"/>
          <w:color w:val="auto"/>
          <w:kern w:val="2"/>
          <w:sz w:val="52"/>
          <w:szCs w:val="52"/>
          <w:highlight w:val="none"/>
        </w:rPr>
        <w:t>投标文件</w:t>
      </w:r>
    </w:p>
    <w:p>
      <w:pPr>
        <w:adjustRightInd w:val="0"/>
        <w:spacing w:beforeLines="100" w:line="420" w:lineRule="exact"/>
        <w:jc w:val="center"/>
        <w:textAlignment w:val="baseline"/>
        <w:rPr>
          <w:rFonts w:ascii="黑体" w:hAnsi="黑体" w:eastAsia="黑体"/>
          <w:color w:val="auto"/>
          <w:kern w:val="2"/>
          <w:sz w:val="28"/>
          <w:szCs w:val="28"/>
          <w:highlight w:val="none"/>
        </w:rPr>
      </w:pPr>
      <w:r>
        <w:rPr>
          <w:rFonts w:hint="eastAsia" w:ascii="黑体" w:hAnsi="黑体" w:eastAsia="黑体"/>
          <w:color w:val="auto"/>
          <w:kern w:val="2"/>
          <w:sz w:val="28"/>
          <w:szCs w:val="28"/>
          <w:highlight w:val="none"/>
        </w:rPr>
        <w:t>（资格文件）</w:t>
      </w:r>
    </w:p>
    <w:p>
      <w:pPr>
        <w:adjustRightInd w:val="0"/>
        <w:spacing w:beforeLines="100" w:line="420" w:lineRule="exact"/>
        <w:jc w:val="center"/>
        <w:textAlignment w:val="baseline"/>
        <w:rPr>
          <w:rFonts w:ascii="黑体" w:hAnsi="黑体" w:eastAsia="黑体"/>
          <w:color w:val="auto"/>
          <w:kern w:val="2"/>
          <w:sz w:val="44"/>
          <w:szCs w:val="44"/>
          <w:highlight w:val="none"/>
        </w:rPr>
      </w:pPr>
    </w:p>
    <w:p>
      <w:pPr>
        <w:adjustRightInd w:val="0"/>
        <w:spacing w:beforeLines="100" w:line="420" w:lineRule="exact"/>
        <w:jc w:val="center"/>
        <w:textAlignment w:val="baseline"/>
        <w:rPr>
          <w:rFonts w:ascii="黑体" w:hAnsi="黑体" w:eastAsia="黑体"/>
          <w:color w:val="auto"/>
          <w:kern w:val="2"/>
          <w:sz w:val="44"/>
          <w:szCs w:val="44"/>
          <w:highlight w:val="none"/>
        </w:rPr>
      </w:pPr>
    </w:p>
    <w:p>
      <w:pPr>
        <w:pStyle w:val="59"/>
        <w:rPr>
          <w:color w:val="auto"/>
          <w:highlight w:val="none"/>
        </w:rPr>
      </w:pPr>
    </w:p>
    <w:p>
      <w:pPr>
        <w:pStyle w:val="59"/>
        <w:rPr>
          <w:color w:val="auto"/>
          <w:highlight w:val="none"/>
        </w:rPr>
      </w:pPr>
    </w:p>
    <w:p>
      <w:pPr>
        <w:adjustRightInd w:val="0"/>
        <w:spacing w:beforeLines="100" w:line="420" w:lineRule="exact"/>
        <w:jc w:val="center"/>
        <w:textAlignment w:val="baseline"/>
        <w:rPr>
          <w:rFonts w:ascii="黑体" w:hAnsi="黑体" w:eastAsia="黑体"/>
          <w:color w:val="auto"/>
          <w:kern w:val="2"/>
          <w:sz w:val="44"/>
          <w:szCs w:val="44"/>
          <w:highlight w:val="none"/>
        </w:rPr>
      </w:pPr>
    </w:p>
    <w:p>
      <w:pPr>
        <w:adjustRightInd w:val="0"/>
        <w:spacing w:beforeLines="100" w:line="420" w:lineRule="exact"/>
        <w:jc w:val="center"/>
        <w:textAlignment w:val="baseline"/>
        <w:rPr>
          <w:rFonts w:ascii="黑体" w:hAnsi="黑体" w:eastAsia="黑体"/>
          <w:color w:val="auto"/>
          <w:kern w:val="2"/>
          <w:sz w:val="44"/>
          <w:szCs w:val="44"/>
          <w:highlight w:val="none"/>
        </w:rPr>
      </w:pPr>
    </w:p>
    <w:p>
      <w:pPr>
        <w:adjustRightInd w:val="0"/>
        <w:spacing w:line="360" w:lineRule="auto"/>
        <w:ind w:firstLine="1260" w:firstLineChars="450"/>
        <w:jc w:val="left"/>
        <w:textAlignment w:val="baseline"/>
        <w:rPr>
          <w:rFonts w:ascii="黑体" w:hAnsi="黑体" w:eastAsia="黑体"/>
          <w:color w:val="auto"/>
          <w:kern w:val="2"/>
          <w:sz w:val="24"/>
          <w:highlight w:val="none"/>
        </w:rPr>
      </w:pPr>
      <w:r>
        <w:rPr>
          <w:rFonts w:hint="eastAsia" w:ascii="黑体" w:hAnsi="黑体" w:eastAsia="黑体"/>
          <w:color w:val="auto"/>
          <w:kern w:val="2"/>
          <w:sz w:val="28"/>
          <w:highlight w:val="none"/>
        </w:rPr>
        <w:t>招标项目编号：</w:t>
      </w:r>
      <w:r>
        <w:rPr>
          <w:rFonts w:hint="eastAsia" w:ascii="黑体" w:hAnsi="黑体" w:eastAsia="黑体"/>
          <w:color w:val="auto"/>
          <w:kern w:val="2"/>
          <w:sz w:val="28"/>
          <w:highlight w:val="none"/>
          <w:u w:val="single"/>
        </w:rPr>
        <w:t xml:space="preserve">                                       </w:t>
      </w:r>
    </w:p>
    <w:p>
      <w:pPr>
        <w:adjustRightInd w:val="0"/>
        <w:spacing w:line="360" w:lineRule="auto"/>
        <w:ind w:firstLine="1260" w:firstLineChars="450"/>
        <w:textAlignment w:val="baseline"/>
        <w:rPr>
          <w:rFonts w:ascii="黑体" w:hAnsi="黑体" w:eastAsia="黑体"/>
          <w:color w:val="auto"/>
          <w:kern w:val="2"/>
          <w:sz w:val="28"/>
          <w:highlight w:val="none"/>
        </w:rPr>
      </w:pPr>
      <w:r>
        <w:rPr>
          <w:rFonts w:hint="eastAsia" w:ascii="黑体" w:hAnsi="黑体" w:eastAsia="黑体"/>
          <w:color w:val="auto"/>
          <w:kern w:val="2"/>
          <w:sz w:val="28"/>
          <w:highlight w:val="none"/>
        </w:rPr>
        <w:t>投标人：</w:t>
      </w:r>
      <w:r>
        <w:rPr>
          <w:rFonts w:hint="eastAsia" w:ascii="黑体" w:hAnsi="黑体" w:eastAsia="黑体"/>
          <w:color w:val="auto"/>
          <w:kern w:val="2"/>
          <w:sz w:val="28"/>
          <w:highlight w:val="none"/>
          <w:u w:val="single"/>
        </w:rPr>
        <w:t xml:space="preserve">                               </w:t>
      </w:r>
      <w:r>
        <w:rPr>
          <w:rFonts w:hint="eastAsia" w:ascii="黑体" w:hAnsi="黑体" w:eastAsia="黑体"/>
          <w:color w:val="auto"/>
          <w:kern w:val="2"/>
          <w:sz w:val="28"/>
          <w:highlight w:val="none"/>
        </w:rPr>
        <w:t>（盖单位公章）</w:t>
      </w:r>
      <w:r>
        <w:rPr>
          <w:rFonts w:ascii="黑体" w:hAnsi="黑体" w:eastAsia="黑体"/>
          <w:color w:val="auto"/>
          <w:kern w:val="2"/>
          <w:position w:val="-2"/>
          <w:sz w:val="28"/>
          <w:highlight w:val="none"/>
          <w:vertAlign w:val="superscript"/>
        </w:rPr>
        <w:footnoteReference w:id="28"/>
      </w:r>
    </w:p>
    <w:p>
      <w:pPr>
        <w:adjustRightInd w:val="0"/>
        <w:spacing w:line="360" w:lineRule="auto"/>
        <w:ind w:firstLine="1260" w:firstLineChars="450"/>
        <w:textAlignment w:val="baseline"/>
        <w:rPr>
          <w:rFonts w:ascii="黑体" w:hAnsi="黑体" w:eastAsia="黑体"/>
          <w:color w:val="auto"/>
          <w:kern w:val="2"/>
          <w:sz w:val="28"/>
          <w:highlight w:val="none"/>
          <w:u w:val="single"/>
        </w:rPr>
      </w:pPr>
      <w:r>
        <w:rPr>
          <w:rFonts w:hint="eastAsia" w:ascii="黑体" w:hAnsi="黑体" w:eastAsia="黑体"/>
          <w:color w:val="auto"/>
          <w:kern w:val="2"/>
          <w:sz w:val="28"/>
          <w:highlight w:val="none"/>
        </w:rPr>
        <w:t>法定代表人或其委托代理人：</w:t>
      </w:r>
      <w:r>
        <w:rPr>
          <w:rFonts w:hint="eastAsia" w:ascii="黑体" w:hAnsi="黑体" w:eastAsia="黑体"/>
          <w:color w:val="auto"/>
          <w:kern w:val="2"/>
          <w:sz w:val="28"/>
          <w:highlight w:val="none"/>
          <w:u w:val="single"/>
        </w:rPr>
        <w:t xml:space="preserve">                   </w:t>
      </w:r>
      <w:r>
        <w:rPr>
          <w:rFonts w:hint="eastAsia" w:ascii="黑体" w:hAnsi="黑体" w:eastAsia="黑体"/>
          <w:color w:val="auto"/>
          <w:kern w:val="2"/>
          <w:sz w:val="28"/>
          <w:highlight w:val="none"/>
        </w:rPr>
        <w:t>（盖章）</w:t>
      </w:r>
      <w:r>
        <w:rPr>
          <w:rFonts w:ascii="黑体" w:hAnsi="黑体" w:eastAsia="黑体"/>
          <w:color w:val="auto"/>
          <w:kern w:val="2"/>
          <w:position w:val="-2"/>
          <w:sz w:val="28"/>
          <w:highlight w:val="none"/>
          <w:vertAlign w:val="superscript"/>
        </w:rPr>
        <w:footnoteReference w:id="29"/>
      </w:r>
    </w:p>
    <w:p>
      <w:pPr>
        <w:adjustRightInd w:val="0"/>
        <w:spacing w:line="360" w:lineRule="auto"/>
        <w:ind w:firstLine="1260" w:firstLineChars="450"/>
        <w:textAlignment w:val="baseline"/>
        <w:rPr>
          <w:rFonts w:ascii="黑体" w:hAnsi="黑体" w:eastAsia="黑体"/>
          <w:color w:val="auto"/>
          <w:kern w:val="2"/>
          <w:sz w:val="28"/>
          <w:highlight w:val="none"/>
          <w:u w:val="single"/>
        </w:rPr>
      </w:pPr>
      <w:r>
        <w:rPr>
          <w:rFonts w:hint="eastAsia" w:ascii="黑体" w:hAnsi="黑体" w:eastAsia="黑体"/>
          <w:color w:val="auto"/>
          <w:sz w:val="28"/>
          <w:highlight w:val="none"/>
        </w:rPr>
        <w:t>编制日期：</w:t>
      </w:r>
      <w:r>
        <w:rPr>
          <w:rFonts w:hint="eastAsia" w:ascii="黑体" w:hAnsi="黑体" w:eastAsia="黑体"/>
          <w:color w:val="auto"/>
          <w:sz w:val="28"/>
          <w:highlight w:val="none"/>
          <w:u w:val="single"/>
        </w:rPr>
        <w:t xml:space="preserve">　 　  </w:t>
      </w:r>
      <w:r>
        <w:rPr>
          <w:rFonts w:hint="eastAsia" w:ascii="黑体" w:hAnsi="黑体" w:eastAsia="黑体"/>
          <w:color w:val="auto"/>
          <w:sz w:val="28"/>
          <w:highlight w:val="none"/>
        </w:rPr>
        <w:t>年</w:t>
      </w:r>
      <w:r>
        <w:rPr>
          <w:rFonts w:hint="eastAsia" w:ascii="黑体" w:hAnsi="黑体" w:eastAsia="黑体"/>
          <w:color w:val="auto"/>
          <w:sz w:val="28"/>
          <w:highlight w:val="none"/>
          <w:u w:val="single"/>
        </w:rPr>
        <w:t xml:space="preserve">   　</w:t>
      </w:r>
      <w:r>
        <w:rPr>
          <w:rFonts w:hint="eastAsia" w:ascii="黑体" w:hAnsi="黑体" w:eastAsia="黑体"/>
          <w:color w:val="auto"/>
          <w:sz w:val="28"/>
          <w:highlight w:val="none"/>
        </w:rPr>
        <w:t>月</w:t>
      </w:r>
      <w:r>
        <w:rPr>
          <w:rFonts w:hint="eastAsia" w:ascii="黑体" w:hAnsi="黑体" w:eastAsia="黑体"/>
          <w:color w:val="auto"/>
          <w:sz w:val="28"/>
          <w:highlight w:val="none"/>
          <w:u w:val="single"/>
        </w:rPr>
        <w:t xml:space="preserve">   　</w:t>
      </w:r>
      <w:r>
        <w:rPr>
          <w:rFonts w:hint="eastAsia" w:ascii="黑体" w:hAnsi="黑体" w:eastAsia="黑体"/>
          <w:color w:val="auto"/>
          <w:sz w:val="28"/>
          <w:highlight w:val="none"/>
        </w:rPr>
        <w:t>日</w:t>
      </w:r>
    </w:p>
    <w:p>
      <w:pPr>
        <w:spacing w:line="360" w:lineRule="auto"/>
        <w:rPr>
          <w:rFonts w:cs="宋体"/>
          <w:color w:val="auto"/>
          <w:kern w:val="1"/>
          <w:sz w:val="20"/>
          <w:highlight w:val="none"/>
        </w:rPr>
      </w:pPr>
    </w:p>
    <w:p>
      <w:pPr>
        <w:spacing w:beforeLines="100" w:afterLines="100"/>
        <w:jc w:val="center"/>
        <w:rPr>
          <w:rFonts w:ascii="黑体" w:hAnsi="黑体" w:eastAsia="黑体"/>
          <w:color w:val="auto"/>
          <w:sz w:val="32"/>
          <w:szCs w:val="32"/>
          <w:highlight w:val="none"/>
        </w:rPr>
      </w:pPr>
      <w:bookmarkStart w:id="1932" w:name="_Toc247514246"/>
      <w:bookmarkEnd w:id="1932"/>
      <w:bookmarkStart w:id="1933" w:name="_Toc247527827"/>
      <w:bookmarkEnd w:id="1933"/>
      <w:bookmarkStart w:id="1934" w:name="_Toc152042576"/>
      <w:bookmarkEnd w:id="1934"/>
      <w:bookmarkStart w:id="1935" w:name="_Toc144974856"/>
      <w:bookmarkEnd w:id="1935"/>
      <w:bookmarkStart w:id="1936" w:name="_Toc152045787"/>
      <w:bookmarkEnd w:id="1936"/>
      <w:bookmarkStart w:id="1937" w:name="_Toc300835209"/>
      <w:bookmarkEnd w:id="1937"/>
      <w:r>
        <w:rPr>
          <w:rFonts w:ascii="Times New Roman" w:hAnsi="Times New Roman"/>
          <w:color w:val="auto"/>
          <w:kern w:val="1"/>
          <w:sz w:val="21"/>
          <w:szCs w:val="24"/>
          <w:highlight w:val="none"/>
          <w:lang w:val="zh-CN"/>
        </w:rPr>
        <w:br w:type="page"/>
      </w:r>
      <w:r>
        <w:rPr>
          <w:rFonts w:hint="eastAsia" w:ascii="黑体" w:hAnsi="黑体" w:eastAsia="黑体"/>
          <w:color w:val="auto"/>
          <w:sz w:val="32"/>
          <w:szCs w:val="32"/>
          <w:highlight w:val="none"/>
        </w:rPr>
        <w:t>目    录</w:t>
      </w:r>
    </w:p>
    <w:p>
      <w:pPr>
        <w:numPr>
          <w:ilvl w:val="2"/>
          <w:numId w:val="35"/>
        </w:numPr>
        <w:tabs>
          <w:tab w:val="left" w:pos="840"/>
          <w:tab w:val="left" w:pos="1600"/>
        </w:tabs>
        <w:adjustRightInd w:val="0"/>
        <w:snapToGrid w:val="0"/>
        <w:spacing w:line="360" w:lineRule="auto"/>
        <w:ind w:firstLine="1082"/>
        <w:textAlignment w:val="baseline"/>
        <w:rPr>
          <w:rFonts w:hAnsi="Times New Roman"/>
          <w:color w:val="auto"/>
          <w:sz w:val="21"/>
          <w:szCs w:val="21"/>
          <w:highlight w:val="none"/>
        </w:rPr>
      </w:pPr>
      <w:r>
        <w:rPr>
          <w:rFonts w:hint="eastAsia" w:hAnsi="Times New Roman"/>
          <w:color w:val="auto"/>
          <w:sz w:val="21"/>
          <w:szCs w:val="21"/>
          <w:highlight w:val="none"/>
        </w:rPr>
        <w:t>投标人基本情况表</w:t>
      </w:r>
    </w:p>
    <w:p>
      <w:pPr>
        <w:numPr>
          <w:ilvl w:val="2"/>
          <w:numId w:val="35"/>
        </w:numPr>
        <w:tabs>
          <w:tab w:val="left" w:pos="840"/>
          <w:tab w:val="left" w:pos="1600"/>
        </w:tabs>
        <w:adjustRightInd w:val="0"/>
        <w:snapToGrid w:val="0"/>
        <w:spacing w:line="360" w:lineRule="auto"/>
        <w:ind w:firstLine="1082"/>
        <w:textAlignment w:val="baseline"/>
        <w:rPr>
          <w:rFonts w:hAnsi="Times New Roman"/>
          <w:color w:val="auto"/>
          <w:kern w:val="2"/>
          <w:sz w:val="21"/>
          <w:szCs w:val="21"/>
          <w:highlight w:val="none"/>
        </w:rPr>
      </w:pPr>
      <w:r>
        <w:rPr>
          <w:rFonts w:hint="eastAsia" w:hAnsi="Times New Roman"/>
          <w:color w:val="auto"/>
          <w:kern w:val="2"/>
          <w:sz w:val="21"/>
          <w:szCs w:val="21"/>
          <w:highlight w:val="none"/>
        </w:rPr>
        <w:t>联合体协议书</w:t>
      </w:r>
      <w:r>
        <w:rPr>
          <w:rFonts w:hint="eastAsia" w:hAnsi="Times New Roman"/>
          <w:color w:val="auto"/>
          <w:sz w:val="21"/>
          <w:szCs w:val="21"/>
          <w:highlight w:val="none"/>
        </w:rPr>
        <w:t>（如有时）</w:t>
      </w:r>
    </w:p>
    <w:p>
      <w:pPr>
        <w:numPr>
          <w:ilvl w:val="2"/>
          <w:numId w:val="35"/>
        </w:numPr>
        <w:tabs>
          <w:tab w:val="left" w:pos="840"/>
          <w:tab w:val="left" w:pos="1600"/>
        </w:tabs>
        <w:adjustRightInd w:val="0"/>
        <w:snapToGrid w:val="0"/>
        <w:spacing w:line="360" w:lineRule="auto"/>
        <w:ind w:firstLine="1082"/>
        <w:textAlignment w:val="baseline"/>
        <w:rPr>
          <w:rFonts w:hAnsi="Times New Roman"/>
          <w:color w:val="auto"/>
          <w:kern w:val="2"/>
          <w:sz w:val="21"/>
          <w:szCs w:val="21"/>
          <w:highlight w:val="none"/>
        </w:rPr>
      </w:pPr>
      <w:r>
        <w:rPr>
          <w:rFonts w:hint="eastAsia" w:hAnsi="Times New Roman"/>
          <w:color w:val="auto"/>
          <w:kern w:val="2"/>
          <w:sz w:val="21"/>
          <w:szCs w:val="21"/>
          <w:highlight w:val="none"/>
        </w:rPr>
        <w:t>法定代表人资格证明书</w:t>
      </w:r>
    </w:p>
    <w:p>
      <w:pPr>
        <w:pStyle w:val="59"/>
        <w:numPr>
          <w:ilvl w:val="2"/>
          <w:numId w:val="35"/>
        </w:numPr>
        <w:ind w:firstLine="1082"/>
        <w:rPr>
          <w:color w:val="auto"/>
          <w:highlight w:val="none"/>
        </w:rPr>
      </w:pPr>
      <w:r>
        <w:rPr>
          <w:rFonts w:hint="eastAsia"/>
          <w:color w:val="auto"/>
          <w:highlight w:val="none"/>
        </w:rPr>
        <w:t xml:space="preserve"> 投标人诚信承诺函</w:t>
      </w:r>
    </w:p>
    <w:p>
      <w:pPr>
        <w:numPr>
          <w:ilvl w:val="2"/>
          <w:numId w:val="35"/>
        </w:numPr>
        <w:tabs>
          <w:tab w:val="left" w:pos="840"/>
          <w:tab w:val="left" w:pos="1600"/>
        </w:tabs>
        <w:adjustRightInd w:val="0"/>
        <w:snapToGrid w:val="0"/>
        <w:spacing w:line="360" w:lineRule="auto"/>
        <w:ind w:firstLine="1082"/>
        <w:textAlignment w:val="baseline"/>
        <w:rPr>
          <w:rFonts w:hAnsi="Times New Roman"/>
          <w:color w:val="auto"/>
          <w:sz w:val="21"/>
          <w:szCs w:val="21"/>
          <w:highlight w:val="none"/>
        </w:rPr>
      </w:pPr>
      <w:r>
        <w:rPr>
          <w:rFonts w:hint="eastAsia" w:hAnsi="Times New Roman"/>
          <w:color w:val="auto"/>
          <w:sz w:val="21"/>
          <w:szCs w:val="21"/>
          <w:highlight w:val="none"/>
        </w:rPr>
        <w:t>授权委托书（如有时）</w:t>
      </w:r>
    </w:p>
    <w:p>
      <w:pPr>
        <w:numPr>
          <w:ilvl w:val="2"/>
          <w:numId w:val="35"/>
        </w:numPr>
        <w:tabs>
          <w:tab w:val="left" w:pos="840"/>
          <w:tab w:val="left" w:pos="1600"/>
        </w:tabs>
        <w:adjustRightInd w:val="0"/>
        <w:snapToGrid w:val="0"/>
        <w:spacing w:line="360" w:lineRule="auto"/>
        <w:ind w:firstLine="1082"/>
        <w:textAlignment w:val="baseline"/>
        <w:rPr>
          <w:rFonts w:hAnsi="Times New Roman"/>
          <w:color w:val="auto"/>
          <w:sz w:val="21"/>
          <w:szCs w:val="21"/>
          <w:highlight w:val="none"/>
        </w:rPr>
      </w:pPr>
      <w:r>
        <w:rPr>
          <w:rFonts w:hint="eastAsia" w:hAnsi="Times New Roman"/>
          <w:color w:val="auto"/>
          <w:sz w:val="21"/>
          <w:szCs w:val="21"/>
          <w:highlight w:val="none"/>
        </w:rPr>
        <w:t>投标保证金</w:t>
      </w:r>
    </w:p>
    <w:p>
      <w:pPr>
        <w:numPr>
          <w:ilvl w:val="2"/>
          <w:numId w:val="35"/>
        </w:numPr>
        <w:tabs>
          <w:tab w:val="left" w:pos="840"/>
          <w:tab w:val="left" w:pos="1600"/>
        </w:tabs>
        <w:adjustRightInd w:val="0"/>
        <w:snapToGrid w:val="0"/>
        <w:spacing w:line="360" w:lineRule="auto"/>
        <w:ind w:firstLine="1082"/>
        <w:textAlignment w:val="baseline"/>
        <w:rPr>
          <w:rFonts w:hAnsi="Times New Roman"/>
          <w:color w:val="auto"/>
          <w:sz w:val="21"/>
          <w:szCs w:val="21"/>
          <w:highlight w:val="none"/>
        </w:rPr>
      </w:pPr>
      <w:r>
        <w:rPr>
          <w:rFonts w:hint="eastAsia" w:hAnsi="Times New Roman"/>
          <w:color w:val="auto"/>
          <w:sz w:val="21"/>
          <w:szCs w:val="21"/>
          <w:highlight w:val="none"/>
        </w:rPr>
        <w:t>拟分包企业情况表（如有时）</w:t>
      </w:r>
    </w:p>
    <w:p>
      <w:pPr>
        <w:numPr>
          <w:ilvl w:val="2"/>
          <w:numId w:val="35"/>
        </w:numPr>
        <w:tabs>
          <w:tab w:val="left" w:pos="840"/>
          <w:tab w:val="left" w:pos="1600"/>
        </w:tabs>
        <w:adjustRightInd w:val="0"/>
        <w:snapToGrid w:val="0"/>
        <w:spacing w:line="360" w:lineRule="auto"/>
        <w:ind w:firstLine="1082"/>
        <w:textAlignment w:val="baseline"/>
        <w:rPr>
          <w:rFonts w:hAnsi="Times New Roman"/>
          <w:color w:val="auto"/>
          <w:sz w:val="21"/>
          <w:szCs w:val="21"/>
          <w:highlight w:val="none"/>
        </w:rPr>
      </w:pPr>
      <w:r>
        <w:rPr>
          <w:rFonts w:hint="eastAsia" w:hAnsi="Times New Roman"/>
          <w:color w:val="auto"/>
          <w:sz w:val="21"/>
          <w:szCs w:val="21"/>
          <w:highlight w:val="none"/>
        </w:rPr>
        <w:t>定标要素情况表</w:t>
      </w:r>
    </w:p>
    <w:p>
      <w:pPr>
        <w:numPr>
          <w:ilvl w:val="2"/>
          <w:numId w:val="35"/>
        </w:numPr>
        <w:tabs>
          <w:tab w:val="left" w:pos="840"/>
          <w:tab w:val="left" w:pos="1600"/>
        </w:tabs>
        <w:adjustRightInd w:val="0"/>
        <w:snapToGrid w:val="0"/>
        <w:spacing w:line="360" w:lineRule="auto"/>
        <w:ind w:firstLine="1082"/>
        <w:textAlignment w:val="baseline"/>
        <w:rPr>
          <w:rFonts w:hAnsi="Times New Roman"/>
          <w:color w:val="auto"/>
          <w:sz w:val="21"/>
          <w:szCs w:val="21"/>
          <w:highlight w:val="none"/>
        </w:rPr>
      </w:pPr>
      <w:r>
        <w:rPr>
          <w:rFonts w:hint="eastAsia" w:hAnsi="Times New Roman"/>
          <w:color w:val="auto"/>
          <w:sz w:val="21"/>
          <w:szCs w:val="21"/>
          <w:highlight w:val="none"/>
        </w:rPr>
        <w:t>其他资料</w:t>
      </w:r>
    </w:p>
    <w:p>
      <w:pPr>
        <w:pStyle w:val="58"/>
        <w:rPr>
          <w:color w:val="auto"/>
          <w:highlight w:val="none"/>
        </w:rPr>
      </w:pPr>
      <w:r>
        <w:rPr>
          <w:rFonts w:hint="eastAsia"/>
          <w:color w:val="auto"/>
          <w:szCs w:val="21"/>
          <w:highlight w:val="none"/>
        </w:rPr>
        <w:t xml:space="preserve">         </w:t>
      </w:r>
    </w:p>
    <w:p>
      <w:pPr>
        <w:pStyle w:val="58"/>
        <w:rPr>
          <w:color w:val="auto"/>
          <w:highlight w:val="none"/>
        </w:rPr>
      </w:pPr>
      <w:r>
        <w:rPr>
          <w:rFonts w:hint="eastAsia"/>
          <w:color w:val="auto"/>
          <w:szCs w:val="21"/>
          <w:highlight w:val="none"/>
        </w:rPr>
        <w:t xml:space="preserve">       </w:t>
      </w:r>
    </w:p>
    <w:p>
      <w:pPr>
        <w:rPr>
          <w:rFonts w:cs="宋体"/>
          <w:color w:val="auto"/>
          <w:kern w:val="1"/>
          <w:sz w:val="21"/>
          <w:szCs w:val="24"/>
          <w:highlight w:val="none"/>
        </w:rPr>
      </w:pPr>
    </w:p>
    <w:p>
      <w:pPr>
        <w:spacing w:line="360" w:lineRule="auto"/>
        <w:rPr>
          <w:rFonts w:cs="宋体"/>
          <w:color w:val="auto"/>
          <w:kern w:val="1"/>
          <w:sz w:val="21"/>
          <w:szCs w:val="24"/>
          <w:highlight w:val="none"/>
        </w:rPr>
      </w:pPr>
      <w:r>
        <w:rPr>
          <w:rFonts w:cs="宋体"/>
          <w:color w:val="auto"/>
          <w:kern w:val="1"/>
          <w:sz w:val="21"/>
          <w:szCs w:val="24"/>
          <w:highlight w:val="none"/>
        </w:rPr>
        <w:t xml:space="preserve"> </w:t>
      </w:r>
    </w:p>
    <w:p>
      <w:pPr>
        <w:spacing w:line="360" w:lineRule="auto"/>
        <w:rPr>
          <w:rFonts w:cs="宋体"/>
          <w:color w:val="auto"/>
          <w:kern w:val="1"/>
          <w:sz w:val="21"/>
          <w:szCs w:val="24"/>
          <w:highlight w:val="none"/>
        </w:rPr>
      </w:pPr>
    </w:p>
    <w:p>
      <w:pPr>
        <w:spacing w:line="360" w:lineRule="auto"/>
        <w:rPr>
          <w:rFonts w:cs="宋体"/>
          <w:color w:val="auto"/>
          <w:kern w:val="1"/>
          <w:sz w:val="21"/>
          <w:szCs w:val="24"/>
          <w:highlight w:val="none"/>
        </w:rPr>
      </w:pPr>
    </w:p>
    <w:p>
      <w:pPr>
        <w:spacing w:line="360" w:lineRule="auto"/>
        <w:rPr>
          <w:rFonts w:cs="宋体"/>
          <w:color w:val="auto"/>
          <w:kern w:val="1"/>
          <w:sz w:val="21"/>
          <w:szCs w:val="24"/>
          <w:highlight w:val="none"/>
        </w:rPr>
      </w:pPr>
    </w:p>
    <w:p>
      <w:pPr>
        <w:spacing w:line="360" w:lineRule="auto"/>
        <w:rPr>
          <w:rFonts w:cs="宋体"/>
          <w:color w:val="auto"/>
          <w:kern w:val="1"/>
          <w:sz w:val="21"/>
          <w:szCs w:val="24"/>
          <w:highlight w:val="none"/>
        </w:rPr>
      </w:pPr>
    </w:p>
    <w:p>
      <w:pPr>
        <w:spacing w:line="360" w:lineRule="auto"/>
        <w:rPr>
          <w:rFonts w:cs="宋体"/>
          <w:color w:val="auto"/>
          <w:kern w:val="1"/>
          <w:sz w:val="21"/>
          <w:szCs w:val="24"/>
          <w:highlight w:val="none"/>
        </w:rPr>
      </w:pPr>
    </w:p>
    <w:p>
      <w:pPr>
        <w:spacing w:line="360" w:lineRule="auto"/>
        <w:rPr>
          <w:rFonts w:cs="宋体"/>
          <w:color w:val="auto"/>
          <w:kern w:val="1"/>
          <w:sz w:val="21"/>
          <w:szCs w:val="24"/>
          <w:highlight w:val="none"/>
        </w:rPr>
      </w:pPr>
    </w:p>
    <w:p>
      <w:pPr>
        <w:spacing w:line="360" w:lineRule="auto"/>
        <w:rPr>
          <w:rFonts w:cs="宋体"/>
          <w:color w:val="auto"/>
          <w:kern w:val="1"/>
          <w:sz w:val="21"/>
          <w:szCs w:val="24"/>
          <w:highlight w:val="none"/>
        </w:rPr>
      </w:pPr>
    </w:p>
    <w:p>
      <w:pPr>
        <w:spacing w:line="360" w:lineRule="auto"/>
        <w:rPr>
          <w:rFonts w:cs="宋体"/>
          <w:color w:val="auto"/>
          <w:kern w:val="1"/>
          <w:sz w:val="21"/>
          <w:szCs w:val="24"/>
          <w:highlight w:val="none"/>
        </w:rPr>
      </w:pPr>
    </w:p>
    <w:p>
      <w:pPr>
        <w:spacing w:line="360" w:lineRule="auto"/>
        <w:rPr>
          <w:rFonts w:cs="宋体"/>
          <w:color w:val="auto"/>
          <w:kern w:val="1"/>
          <w:sz w:val="21"/>
          <w:szCs w:val="24"/>
          <w:highlight w:val="none"/>
        </w:rPr>
      </w:pPr>
    </w:p>
    <w:p>
      <w:pPr>
        <w:spacing w:line="360" w:lineRule="auto"/>
        <w:rPr>
          <w:rFonts w:cs="宋体"/>
          <w:color w:val="auto"/>
          <w:kern w:val="1"/>
          <w:sz w:val="21"/>
          <w:szCs w:val="24"/>
          <w:highlight w:val="none"/>
        </w:rPr>
      </w:pPr>
    </w:p>
    <w:p>
      <w:pPr>
        <w:spacing w:line="360" w:lineRule="auto"/>
        <w:rPr>
          <w:rFonts w:cs="宋体"/>
          <w:color w:val="auto"/>
          <w:kern w:val="1"/>
          <w:sz w:val="20"/>
          <w:highlight w:val="none"/>
        </w:rPr>
      </w:pPr>
    </w:p>
    <w:p>
      <w:pPr>
        <w:rPr>
          <w:rFonts w:cs="宋体"/>
          <w:b/>
          <w:color w:val="auto"/>
          <w:kern w:val="1"/>
          <w:sz w:val="32"/>
          <w:szCs w:val="32"/>
          <w:highlight w:val="none"/>
          <w:lang w:val="zh-CN"/>
        </w:rPr>
      </w:pPr>
      <w:bookmarkStart w:id="1938" w:name="_Toc247514247"/>
      <w:bookmarkEnd w:id="1938"/>
      <w:bookmarkStart w:id="1939" w:name="_Toc300835210"/>
      <w:bookmarkEnd w:id="1939"/>
      <w:bookmarkStart w:id="1940" w:name="_Toc247527828"/>
      <w:bookmarkEnd w:id="1940"/>
      <w:bookmarkStart w:id="1941" w:name="_Toc152042577"/>
      <w:bookmarkEnd w:id="1941"/>
      <w:bookmarkStart w:id="1942" w:name="_Toc144974857"/>
      <w:bookmarkEnd w:id="1942"/>
      <w:bookmarkStart w:id="1943" w:name="_Toc152045788"/>
      <w:bookmarkEnd w:id="1943"/>
      <w:r>
        <w:rPr>
          <w:rFonts w:ascii="Times New Roman" w:hAnsi="Times New Roman"/>
          <w:color w:val="auto"/>
          <w:kern w:val="1"/>
          <w:sz w:val="21"/>
          <w:szCs w:val="24"/>
          <w:highlight w:val="none"/>
          <w:lang w:val="zh-CN"/>
        </w:rPr>
        <w:br w:type="page"/>
      </w:r>
    </w:p>
    <w:p>
      <w:pPr>
        <w:spacing w:beforeLines="100" w:afterLines="100" w:line="360" w:lineRule="auto"/>
        <w:jc w:val="center"/>
        <w:rPr>
          <w:rFonts w:ascii="黑体" w:hAnsi="黑体" w:eastAsia="黑体"/>
          <w:color w:val="auto"/>
          <w:sz w:val="28"/>
          <w:szCs w:val="28"/>
          <w:highlight w:val="none"/>
        </w:rPr>
      </w:pPr>
      <w:bookmarkStart w:id="1944" w:name="_Toc300835224"/>
      <w:bookmarkEnd w:id="1944"/>
      <w:bookmarkStart w:id="1945" w:name="_Toc458440265"/>
      <w:bookmarkStart w:id="1946" w:name="_Toc19312"/>
      <w:bookmarkStart w:id="1947" w:name="_Toc30170730"/>
      <w:bookmarkStart w:id="1948" w:name="_Toc4187"/>
      <w:r>
        <w:rPr>
          <w:rFonts w:ascii="黑体" w:hAnsi="黑体" w:eastAsia="黑体"/>
          <w:color w:val="auto"/>
          <w:sz w:val="28"/>
          <w:szCs w:val="28"/>
          <w:highlight w:val="none"/>
        </w:rPr>
        <w:t>（一）投标人基本情况表</w:t>
      </w:r>
      <w:bookmarkEnd w:id="1945"/>
      <w:bookmarkEnd w:id="1946"/>
      <w:bookmarkEnd w:id="1947"/>
      <w:bookmarkEnd w:id="1948"/>
      <w:r>
        <w:rPr>
          <w:rFonts w:ascii="黑体" w:hAnsi="黑体" w:eastAsia="黑体"/>
          <w:color w:val="auto"/>
          <w:position w:val="-2"/>
          <w:sz w:val="28"/>
          <w:szCs w:val="28"/>
          <w:highlight w:val="none"/>
          <w:vertAlign w:val="superscript"/>
        </w:rPr>
        <w:footnoteReference w:id="30"/>
      </w:r>
    </w:p>
    <w:tbl>
      <w:tblPr>
        <w:tblStyle w:val="60"/>
        <w:tblW w:w="0" w:type="auto"/>
        <w:tblInd w:w="0" w:type="dxa"/>
        <w:tblLayout w:type="fixed"/>
        <w:tblCellMar>
          <w:top w:w="0" w:type="dxa"/>
          <w:left w:w="108" w:type="dxa"/>
          <w:bottom w:w="0" w:type="dxa"/>
          <w:right w:w="108" w:type="dxa"/>
        </w:tblCellMar>
      </w:tblPr>
      <w:tblGrid>
        <w:gridCol w:w="2221"/>
        <w:gridCol w:w="1001"/>
        <w:gridCol w:w="1101"/>
        <w:gridCol w:w="1265"/>
        <w:gridCol w:w="1237"/>
        <w:gridCol w:w="329"/>
        <w:gridCol w:w="681"/>
        <w:gridCol w:w="180"/>
        <w:gridCol w:w="1321"/>
      </w:tblGrid>
      <w:tr>
        <w:tblPrEx>
          <w:tblCellMar>
            <w:top w:w="0" w:type="dxa"/>
            <w:left w:w="108" w:type="dxa"/>
            <w:bottom w:w="0" w:type="dxa"/>
            <w:right w:w="108" w:type="dxa"/>
          </w:tblCellMar>
        </w:tblPrEx>
        <w:trPr>
          <w:trHeight w:val="767" w:hRule="atLeast"/>
        </w:trPr>
        <w:tc>
          <w:tcPr>
            <w:tcW w:w="2221"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color w:val="auto"/>
                <w:sz w:val="21"/>
                <w:szCs w:val="21"/>
                <w:highlight w:val="none"/>
              </w:rPr>
            </w:pPr>
            <w:r>
              <w:rPr>
                <w:rFonts w:hint="eastAsia"/>
                <w:color w:val="auto"/>
                <w:sz w:val="21"/>
                <w:szCs w:val="21"/>
                <w:highlight w:val="none"/>
              </w:rPr>
              <w:t>投标人名称</w:t>
            </w:r>
          </w:p>
        </w:tc>
        <w:tc>
          <w:tcPr>
            <w:tcW w:w="7115" w:type="dxa"/>
            <w:gridSpan w:val="8"/>
            <w:tcBorders>
              <w:top w:val="single" w:color="000000" w:sz="4" w:space="0"/>
              <w:left w:val="single" w:color="000000" w:sz="4" w:space="0"/>
              <w:bottom w:val="single" w:color="000000" w:sz="4" w:space="0"/>
              <w:right w:val="single" w:color="000000" w:sz="4" w:space="0"/>
            </w:tcBorders>
          </w:tcPr>
          <w:p>
            <w:pPr>
              <w:autoSpaceDE w:val="0"/>
              <w:autoSpaceDN w:val="0"/>
              <w:adjustRightInd w:val="0"/>
              <w:jc w:val="center"/>
              <w:rPr>
                <w:color w:val="auto"/>
                <w:sz w:val="21"/>
                <w:szCs w:val="21"/>
                <w:highlight w:val="none"/>
              </w:rPr>
            </w:pPr>
          </w:p>
        </w:tc>
      </w:tr>
      <w:tr>
        <w:tblPrEx>
          <w:tblCellMar>
            <w:top w:w="0" w:type="dxa"/>
            <w:left w:w="108" w:type="dxa"/>
            <w:bottom w:w="0" w:type="dxa"/>
            <w:right w:w="108" w:type="dxa"/>
          </w:tblCellMar>
        </w:tblPrEx>
        <w:trPr>
          <w:trHeight w:val="650" w:hRule="atLeast"/>
        </w:trPr>
        <w:tc>
          <w:tcPr>
            <w:tcW w:w="2221"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color w:val="auto"/>
                <w:sz w:val="21"/>
                <w:szCs w:val="21"/>
                <w:highlight w:val="none"/>
              </w:rPr>
            </w:pPr>
            <w:r>
              <w:rPr>
                <w:rFonts w:hint="eastAsia"/>
                <w:color w:val="auto"/>
                <w:sz w:val="21"/>
                <w:szCs w:val="21"/>
                <w:highlight w:val="none"/>
              </w:rPr>
              <w:t>注册地址</w:t>
            </w:r>
          </w:p>
        </w:tc>
        <w:tc>
          <w:tcPr>
            <w:tcW w:w="3367" w:type="dxa"/>
            <w:gridSpan w:val="3"/>
            <w:tcBorders>
              <w:top w:val="single" w:color="000000" w:sz="4" w:space="0"/>
              <w:left w:val="single" w:color="000000" w:sz="4" w:space="0"/>
              <w:bottom w:val="single" w:color="000000" w:sz="4" w:space="0"/>
              <w:right w:val="single" w:color="000000" w:sz="4" w:space="0"/>
            </w:tcBorders>
          </w:tcPr>
          <w:p>
            <w:pPr>
              <w:autoSpaceDE w:val="0"/>
              <w:autoSpaceDN w:val="0"/>
              <w:adjustRightInd w:val="0"/>
              <w:jc w:val="center"/>
              <w:rPr>
                <w:color w:val="auto"/>
                <w:sz w:val="21"/>
                <w:szCs w:val="21"/>
                <w:highlight w:val="none"/>
              </w:rPr>
            </w:pPr>
          </w:p>
        </w:tc>
        <w:tc>
          <w:tcPr>
            <w:tcW w:w="123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color w:val="auto"/>
                <w:sz w:val="21"/>
                <w:szCs w:val="21"/>
                <w:highlight w:val="none"/>
              </w:rPr>
            </w:pPr>
            <w:r>
              <w:rPr>
                <w:rFonts w:hint="eastAsia"/>
                <w:color w:val="auto"/>
                <w:sz w:val="21"/>
                <w:szCs w:val="21"/>
                <w:highlight w:val="none"/>
              </w:rPr>
              <w:t>邮政编码</w:t>
            </w:r>
          </w:p>
        </w:tc>
        <w:tc>
          <w:tcPr>
            <w:tcW w:w="2511" w:type="dxa"/>
            <w:gridSpan w:val="4"/>
            <w:tcBorders>
              <w:top w:val="single" w:color="000000" w:sz="4" w:space="0"/>
              <w:left w:val="single" w:color="000000" w:sz="4" w:space="0"/>
              <w:bottom w:val="single" w:color="000000" w:sz="4" w:space="0"/>
              <w:right w:val="single" w:color="000000" w:sz="4" w:space="0"/>
            </w:tcBorders>
          </w:tcPr>
          <w:p>
            <w:pPr>
              <w:autoSpaceDE w:val="0"/>
              <w:autoSpaceDN w:val="0"/>
              <w:adjustRightInd w:val="0"/>
              <w:jc w:val="center"/>
              <w:rPr>
                <w:color w:val="auto"/>
                <w:sz w:val="21"/>
                <w:szCs w:val="21"/>
                <w:highlight w:val="none"/>
              </w:rPr>
            </w:pPr>
          </w:p>
        </w:tc>
      </w:tr>
      <w:tr>
        <w:tblPrEx>
          <w:tblCellMar>
            <w:top w:w="0" w:type="dxa"/>
            <w:left w:w="108" w:type="dxa"/>
            <w:bottom w:w="0" w:type="dxa"/>
            <w:right w:w="108" w:type="dxa"/>
          </w:tblCellMar>
        </w:tblPrEx>
        <w:trPr>
          <w:cantSplit/>
          <w:trHeight w:val="650" w:hRule="atLeast"/>
        </w:trPr>
        <w:tc>
          <w:tcPr>
            <w:tcW w:w="2221" w:type="dxa"/>
            <w:vMerge w:val="restart"/>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color w:val="auto"/>
                <w:sz w:val="21"/>
                <w:szCs w:val="21"/>
                <w:highlight w:val="none"/>
              </w:rPr>
            </w:pPr>
            <w:r>
              <w:rPr>
                <w:rFonts w:hint="eastAsia"/>
                <w:color w:val="auto"/>
                <w:sz w:val="21"/>
                <w:szCs w:val="21"/>
                <w:highlight w:val="none"/>
              </w:rPr>
              <w:t>联系方式</w:t>
            </w:r>
          </w:p>
        </w:tc>
        <w:tc>
          <w:tcPr>
            <w:tcW w:w="1001"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color w:val="auto"/>
                <w:sz w:val="21"/>
                <w:szCs w:val="21"/>
                <w:highlight w:val="none"/>
              </w:rPr>
            </w:pPr>
            <w:r>
              <w:rPr>
                <w:rFonts w:hint="eastAsia"/>
                <w:color w:val="auto"/>
                <w:sz w:val="21"/>
                <w:szCs w:val="21"/>
                <w:highlight w:val="none"/>
              </w:rPr>
              <w:t>联系人</w:t>
            </w:r>
          </w:p>
        </w:tc>
        <w:tc>
          <w:tcPr>
            <w:tcW w:w="2366"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jc w:val="center"/>
              <w:rPr>
                <w:color w:val="auto"/>
                <w:sz w:val="21"/>
                <w:szCs w:val="21"/>
                <w:highlight w:val="none"/>
              </w:rPr>
            </w:pPr>
          </w:p>
        </w:tc>
        <w:tc>
          <w:tcPr>
            <w:tcW w:w="123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color w:val="auto"/>
                <w:sz w:val="21"/>
                <w:szCs w:val="21"/>
                <w:highlight w:val="none"/>
              </w:rPr>
            </w:pPr>
            <w:r>
              <w:rPr>
                <w:rFonts w:hint="eastAsia"/>
                <w:color w:val="auto"/>
                <w:sz w:val="21"/>
                <w:szCs w:val="21"/>
                <w:highlight w:val="none"/>
              </w:rPr>
              <w:t>电  话</w:t>
            </w:r>
          </w:p>
        </w:tc>
        <w:tc>
          <w:tcPr>
            <w:tcW w:w="2511" w:type="dxa"/>
            <w:gridSpan w:val="4"/>
            <w:tcBorders>
              <w:top w:val="single" w:color="000000" w:sz="4" w:space="0"/>
              <w:left w:val="single" w:color="000000" w:sz="4" w:space="0"/>
              <w:bottom w:val="single" w:color="000000" w:sz="4" w:space="0"/>
              <w:right w:val="single" w:color="000000" w:sz="4" w:space="0"/>
            </w:tcBorders>
          </w:tcPr>
          <w:p>
            <w:pPr>
              <w:autoSpaceDE w:val="0"/>
              <w:autoSpaceDN w:val="0"/>
              <w:adjustRightInd w:val="0"/>
              <w:jc w:val="center"/>
              <w:rPr>
                <w:color w:val="auto"/>
                <w:sz w:val="21"/>
                <w:szCs w:val="21"/>
                <w:highlight w:val="none"/>
              </w:rPr>
            </w:pPr>
          </w:p>
        </w:tc>
      </w:tr>
      <w:tr>
        <w:tblPrEx>
          <w:tblCellMar>
            <w:top w:w="0" w:type="dxa"/>
            <w:left w:w="108" w:type="dxa"/>
            <w:bottom w:w="0" w:type="dxa"/>
            <w:right w:w="108" w:type="dxa"/>
          </w:tblCellMar>
        </w:tblPrEx>
        <w:trPr>
          <w:cantSplit/>
          <w:trHeight w:val="650" w:hRule="atLeast"/>
        </w:trPr>
        <w:tc>
          <w:tcPr>
            <w:tcW w:w="2221"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pacing w:line="360" w:lineRule="atLeast"/>
              <w:textAlignment w:val="baseline"/>
              <w:rPr>
                <w:color w:val="auto"/>
                <w:sz w:val="21"/>
                <w:szCs w:val="21"/>
                <w:highlight w:val="none"/>
              </w:rPr>
            </w:pPr>
          </w:p>
        </w:tc>
        <w:tc>
          <w:tcPr>
            <w:tcW w:w="1001"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color w:val="auto"/>
                <w:sz w:val="21"/>
                <w:szCs w:val="21"/>
                <w:highlight w:val="none"/>
              </w:rPr>
            </w:pPr>
            <w:r>
              <w:rPr>
                <w:rFonts w:hint="eastAsia"/>
                <w:color w:val="auto"/>
                <w:sz w:val="21"/>
                <w:szCs w:val="21"/>
                <w:highlight w:val="none"/>
              </w:rPr>
              <w:t>传  真</w:t>
            </w:r>
          </w:p>
        </w:tc>
        <w:tc>
          <w:tcPr>
            <w:tcW w:w="2366"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jc w:val="center"/>
              <w:rPr>
                <w:color w:val="auto"/>
                <w:sz w:val="21"/>
                <w:szCs w:val="21"/>
                <w:highlight w:val="none"/>
              </w:rPr>
            </w:pPr>
          </w:p>
        </w:tc>
        <w:tc>
          <w:tcPr>
            <w:tcW w:w="123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color w:val="auto"/>
                <w:sz w:val="21"/>
                <w:szCs w:val="21"/>
                <w:highlight w:val="none"/>
              </w:rPr>
            </w:pPr>
            <w:r>
              <w:rPr>
                <w:rFonts w:hint="eastAsia"/>
                <w:color w:val="auto"/>
                <w:sz w:val="21"/>
                <w:szCs w:val="21"/>
                <w:highlight w:val="none"/>
              </w:rPr>
              <w:t>网  址</w:t>
            </w:r>
          </w:p>
        </w:tc>
        <w:tc>
          <w:tcPr>
            <w:tcW w:w="2511" w:type="dxa"/>
            <w:gridSpan w:val="4"/>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color w:val="auto"/>
                <w:sz w:val="21"/>
                <w:szCs w:val="21"/>
                <w:highlight w:val="none"/>
              </w:rPr>
            </w:pPr>
          </w:p>
        </w:tc>
      </w:tr>
      <w:tr>
        <w:tblPrEx>
          <w:tblCellMar>
            <w:top w:w="0" w:type="dxa"/>
            <w:left w:w="108" w:type="dxa"/>
            <w:bottom w:w="0" w:type="dxa"/>
            <w:right w:w="108" w:type="dxa"/>
          </w:tblCellMar>
        </w:tblPrEx>
        <w:trPr>
          <w:trHeight w:val="650" w:hRule="atLeast"/>
        </w:trPr>
        <w:tc>
          <w:tcPr>
            <w:tcW w:w="2221"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color w:val="auto"/>
                <w:sz w:val="21"/>
                <w:szCs w:val="21"/>
                <w:highlight w:val="none"/>
              </w:rPr>
            </w:pPr>
            <w:r>
              <w:rPr>
                <w:rFonts w:hint="eastAsia"/>
                <w:color w:val="auto"/>
                <w:sz w:val="21"/>
                <w:szCs w:val="21"/>
                <w:highlight w:val="none"/>
              </w:rPr>
              <w:t>组织结构</w:t>
            </w:r>
          </w:p>
        </w:tc>
        <w:tc>
          <w:tcPr>
            <w:tcW w:w="7115" w:type="dxa"/>
            <w:gridSpan w:val="8"/>
            <w:tcBorders>
              <w:top w:val="single" w:color="000000" w:sz="4" w:space="0"/>
              <w:left w:val="single" w:color="000000" w:sz="4" w:space="0"/>
              <w:bottom w:val="single" w:color="000000" w:sz="4" w:space="0"/>
              <w:right w:val="single" w:color="000000" w:sz="4" w:space="0"/>
            </w:tcBorders>
          </w:tcPr>
          <w:p>
            <w:pPr>
              <w:autoSpaceDE w:val="0"/>
              <w:autoSpaceDN w:val="0"/>
              <w:adjustRightInd w:val="0"/>
              <w:jc w:val="center"/>
              <w:rPr>
                <w:color w:val="auto"/>
                <w:sz w:val="21"/>
                <w:szCs w:val="21"/>
                <w:highlight w:val="none"/>
              </w:rPr>
            </w:pPr>
          </w:p>
        </w:tc>
      </w:tr>
      <w:tr>
        <w:tblPrEx>
          <w:tblCellMar>
            <w:top w:w="0" w:type="dxa"/>
            <w:left w:w="108" w:type="dxa"/>
            <w:bottom w:w="0" w:type="dxa"/>
            <w:right w:w="108" w:type="dxa"/>
          </w:tblCellMar>
        </w:tblPrEx>
        <w:trPr>
          <w:trHeight w:val="711" w:hRule="atLeast"/>
        </w:trPr>
        <w:tc>
          <w:tcPr>
            <w:tcW w:w="2221"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color w:val="auto"/>
                <w:sz w:val="21"/>
                <w:szCs w:val="21"/>
                <w:highlight w:val="none"/>
              </w:rPr>
            </w:pPr>
            <w:r>
              <w:rPr>
                <w:rFonts w:hint="eastAsia"/>
                <w:color w:val="auto"/>
                <w:sz w:val="21"/>
                <w:szCs w:val="21"/>
                <w:highlight w:val="none"/>
              </w:rPr>
              <w:t>法定代表人</w:t>
            </w:r>
          </w:p>
        </w:tc>
        <w:tc>
          <w:tcPr>
            <w:tcW w:w="1001"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color w:val="auto"/>
                <w:sz w:val="21"/>
                <w:szCs w:val="21"/>
                <w:highlight w:val="none"/>
              </w:rPr>
            </w:pPr>
            <w:r>
              <w:rPr>
                <w:rFonts w:hint="eastAsia"/>
                <w:color w:val="auto"/>
                <w:sz w:val="21"/>
                <w:szCs w:val="21"/>
                <w:highlight w:val="none"/>
              </w:rPr>
              <w:t>姓名</w:t>
            </w:r>
          </w:p>
        </w:tc>
        <w:tc>
          <w:tcPr>
            <w:tcW w:w="110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center"/>
              <w:rPr>
                <w:color w:val="auto"/>
                <w:sz w:val="21"/>
                <w:szCs w:val="21"/>
                <w:highlight w:val="none"/>
              </w:rPr>
            </w:pPr>
          </w:p>
        </w:tc>
        <w:tc>
          <w:tcPr>
            <w:tcW w:w="1265"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color w:val="auto"/>
                <w:sz w:val="21"/>
                <w:szCs w:val="21"/>
                <w:highlight w:val="none"/>
              </w:rPr>
            </w:pPr>
            <w:r>
              <w:rPr>
                <w:rFonts w:hint="eastAsia"/>
                <w:color w:val="auto"/>
                <w:sz w:val="21"/>
                <w:szCs w:val="21"/>
                <w:highlight w:val="none"/>
              </w:rPr>
              <w:t>技术职称</w:t>
            </w:r>
          </w:p>
        </w:tc>
        <w:tc>
          <w:tcPr>
            <w:tcW w:w="1566"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color w:val="auto"/>
                <w:sz w:val="21"/>
                <w:szCs w:val="21"/>
                <w:highlight w:val="none"/>
              </w:rPr>
            </w:pPr>
          </w:p>
        </w:tc>
        <w:tc>
          <w:tcPr>
            <w:tcW w:w="861"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color w:val="auto"/>
                <w:sz w:val="21"/>
                <w:szCs w:val="21"/>
                <w:highlight w:val="none"/>
              </w:rPr>
            </w:pPr>
            <w:r>
              <w:rPr>
                <w:rFonts w:hint="eastAsia"/>
                <w:color w:val="auto"/>
                <w:sz w:val="21"/>
                <w:szCs w:val="21"/>
                <w:highlight w:val="none"/>
              </w:rPr>
              <w:t>电话</w:t>
            </w:r>
          </w:p>
        </w:tc>
        <w:tc>
          <w:tcPr>
            <w:tcW w:w="13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color w:val="auto"/>
                <w:sz w:val="21"/>
                <w:szCs w:val="21"/>
                <w:highlight w:val="none"/>
              </w:rPr>
            </w:pPr>
          </w:p>
        </w:tc>
      </w:tr>
      <w:tr>
        <w:tblPrEx>
          <w:tblCellMar>
            <w:top w:w="0" w:type="dxa"/>
            <w:left w:w="108" w:type="dxa"/>
            <w:bottom w:w="0" w:type="dxa"/>
            <w:right w:w="108" w:type="dxa"/>
          </w:tblCellMar>
        </w:tblPrEx>
        <w:trPr>
          <w:trHeight w:val="811" w:hRule="atLeast"/>
        </w:trPr>
        <w:tc>
          <w:tcPr>
            <w:tcW w:w="2221"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color w:val="auto"/>
                <w:sz w:val="21"/>
                <w:szCs w:val="21"/>
                <w:highlight w:val="none"/>
              </w:rPr>
            </w:pPr>
            <w:r>
              <w:rPr>
                <w:rFonts w:hint="eastAsia"/>
                <w:color w:val="auto"/>
                <w:sz w:val="21"/>
                <w:szCs w:val="21"/>
                <w:highlight w:val="none"/>
              </w:rPr>
              <w:t>技术负责人</w:t>
            </w:r>
          </w:p>
        </w:tc>
        <w:tc>
          <w:tcPr>
            <w:tcW w:w="1001"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color w:val="auto"/>
                <w:sz w:val="21"/>
                <w:szCs w:val="21"/>
                <w:highlight w:val="none"/>
              </w:rPr>
            </w:pPr>
            <w:r>
              <w:rPr>
                <w:rFonts w:hint="eastAsia"/>
                <w:color w:val="auto"/>
                <w:sz w:val="21"/>
                <w:szCs w:val="21"/>
                <w:highlight w:val="none"/>
              </w:rPr>
              <w:t>姓名</w:t>
            </w:r>
          </w:p>
        </w:tc>
        <w:tc>
          <w:tcPr>
            <w:tcW w:w="110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center"/>
              <w:rPr>
                <w:color w:val="auto"/>
                <w:sz w:val="21"/>
                <w:szCs w:val="21"/>
                <w:highlight w:val="none"/>
              </w:rPr>
            </w:pPr>
          </w:p>
        </w:tc>
        <w:tc>
          <w:tcPr>
            <w:tcW w:w="1265"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color w:val="auto"/>
                <w:sz w:val="21"/>
                <w:szCs w:val="21"/>
                <w:highlight w:val="none"/>
              </w:rPr>
            </w:pPr>
            <w:r>
              <w:rPr>
                <w:rFonts w:hint="eastAsia"/>
                <w:color w:val="auto"/>
                <w:sz w:val="21"/>
                <w:szCs w:val="21"/>
                <w:highlight w:val="none"/>
              </w:rPr>
              <w:t>技术职称</w:t>
            </w:r>
          </w:p>
        </w:tc>
        <w:tc>
          <w:tcPr>
            <w:tcW w:w="1566"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color w:val="auto"/>
                <w:sz w:val="21"/>
                <w:szCs w:val="21"/>
                <w:highlight w:val="none"/>
              </w:rPr>
            </w:pPr>
          </w:p>
        </w:tc>
        <w:tc>
          <w:tcPr>
            <w:tcW w:w="861"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color w:val="auto"/>
                <w:sz w:val="21"/>
                <w:szCs w:val="21"/>
                <w:highlight w:val="none"/>
              </w:rPr>
            </w:pPr>
            <w:r>
              <w:rPr>
                <w:rFonts w:hint="eastAsia"/>
                <w:color w:val="auto"/>
                <w:sz w:val="21"/>
                <w:szCs w:val="21"/>
                <w:highlight w:val="none"/>
              </w:rPr>
              <w:t>电话</w:t>
            </w:r>
          </w:p>
        </w:tc>
        <w:tc>
          <w:tcPr>
            <w:tcW w:w="13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color w:val="auto"/>
                <w:sz w:val="21"/>
                <w:szCs w:val="21"/>
                <w:highlight w:val="none"/>
              </w:rPr>
            </w:pPr>
          </w:p>
        </w:tc>
      </w:tr>
      <w:tr>
        <w:tblPrEx>
          <w:tblCellMar>
            <w:top w:w="0" w:type="dxa"/>
            <w:left w:w="108" w:type="dxa"/>
            <w:bottom w:w="0" w:type="dxa"/>
            <w:right w:w="108" w:type="dxa"/>
          </w:tblCellMar>
        </w:tblPrEx>
        <w:trPr>
          <w:trHeight w:val="650" w:hRule="atLeast"/>
        </w:trPr>
        <w:tc>
          <w:tcPr>
            <w:tcW w:w="2221"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color w:val="auto"/>
                <w:sz w:val="21"/>
                <w:szCs w:val="21"/>
                <w:highlight w:val="none"/>
              </w:rPr>
            </w:pPr>
            <w:r>
              <w:rPr>
                <w:rFonts w:hint="eastAsia"/>
                <w:color w:val="auto"/>
                <w:sz w:val="21"/>
                <w:szCs w:val="21"/>
                <w:highlight w:val="none"/>
              </w:rPr>
              <w:t>成立时间</w:t>
            </w:r>
          </w:p>
        </w:tc>
        <w:tc>
          <w:tcPr>
            <w:tcW w:w="2102"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jc w:val="center"/>
              <w:rPr>
                <w:color w:val="auto"/>
                <w:sz w:val="21"/>
                <w:szCs w:val="21"/>
                <w:highlight w:val="none"/>
              </w:rPr>
            </w:pPr>
          </w:p>
        </w:tc>
        <w:tc>
          <w:tcPr>
            <w:tcW w:w="5013" w:type="dxa"/>
            <w:gridSpan w:val="6"/>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color w:val="auto"/>
                <w:sz w:val="21"/>
                <w:szCs w:val="21"/>
                <w:highlight w:val="none"/>
              </w:rPr>
            </w:pPr>
            <w:r>
              <w:rPr>
                <w:rFonts w:hint="eastAsia"/>
                <w:color w:val="auto"/>
                <w:sz w:val="21"/>
                <w:szCs w:val="21"/>
                <w:highlight w:val="none"/>
              </w:rPr>
              <w:t>员工总人数：</w:t>
            </w:r>
          </w:p>
        </w:tc>
      </w:tr>
      <w:tr>
        <w:tblPrEx>
          <w:tblCellMar>
            <w:top w:w="0" w:type="dxa"/>
            <w:left w:w="108" w:type="dxa"/>
            <w:bottom w:w="0" w:type="dxa"/>
            <w:right w:w="108" w:type="dxa"/>
          </w:tblCellMar>
        </w:tblPrEx>
        <w:trPr>
          <w:cantSplit/>
          <w:trHeight w:val="650" w:hRule="atLeast"/>
        </w:trPr>
        <w:tc>
          <w:tcPr>
            <w:tcW w:w="2221"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color w:val="auto"/>
                <w:sz w:val="21"/>
                <w:szCs w:val="21"/>
                <w:highlight w:val="none"/>
              </w:rPr>
            </w:pPr>
            <w:r>
              <w:rPr>
                <w:rFonts w:hint="eastAsia"/>
                <w:color w:val="auto"/>
                <w:sz w:val="21"/>
                <w:szCs w:val="21"/>
                <w:highlight w:val="none"/>
              </w:rPr>
              <w:t>企业资质等级</w:t>
            </w:r>
          </w:p>
        </w:tc>
        <w:tc>
          <w:tcPr>
            <w:tcW w:w="2102"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jc w:val="center"/>
              <w:rPr>
                <w:color w:val="auto"/>
                <w:sz w:val="21"/>
                <w:szCs w:val="21"/>
                <w:highlight w:val="none"/>
              </w:rPr>
            </w:pPr>
          </w:p>
        </w:tc>
        <w:tc>
          <w:tcPr>
            <w:tcW w:w="1265" w:type="dxa"/>
            <w:vMerge w:val="restart"/>
            <w:tcBorders>
              <w:top w:val="single" w:color="000000" w:sz="4" w:space="0"/>
              <w:left w:val="single" w:color="000000" w:sz="4" w:space="0"/>
              <w:bottom w:val="nil"/>
              <w:right w:val="single" w:color="000000" w:sz="4" w:space="0"/>
            </w:tcBorders>
            <w:vAlign w:val="center"/>
          </w:tcPr>
          <w:p>
            <w:pPr>
              <w:autoSpaceDE w:val="0"/>
              <w:autoSpaceDN w:val="0"/>
              <w:adjustRightInd w:val="0"/>
              <w:jc w:val="center"/>
              <w:rPr>
                <w:color w:val="auto"/>
                <w:sz w:val="21"/>
                <w:szCs w:val="21"/>
                <w:highlight w:val="none"/>
              </w:rPr>
            </w:pPr>
            <w:r>
              <w:rPr>
                <w:rFonts w:hint="eastAsia"/>
                <w:color w:val="auto"/>
                <w:sz w:val="21"/>
                <w:szCs w:val="21"/>
                <w:highlight w:val="none"/>
              </w:rPr>
              <w:t>其中</w:t>
            </w:r>
          </w:p>
        </w:tc>
        <w:tc>
          <w:tcPr>
            <w:tcW w:w="2247" w:type="dxa"/>
            <w:gridSpan w:val="3"/>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color w:val="auto"/>
                <w:sz w:val="21"/>
                <w:szCs w:val="21"/>
                <w:highlight w:val="none"/>
              </w:rPr>
            </w:pPr>
            <w:r>
              <w:rPr>
                <w:rFonts w:hint="eastAsia"/>
                <w:color w:val="auto"/>
                <w:sz w:val="21"/>
                <w:szCs w:val="21"/>
                <w:highlight w:val="none"/>
              </w:rPr>
              <w:t>项目负责人</w:t>
            </w:r>
          </w:p>
        </w:tc>
        <w:tc>
          <w:tcPr>
            <w:tcW w:w="1501"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color w:val="auto"/>
                <w:sz w:val="21"/>
                <w:szCs w:val="21"/>
                <w:highlight w:val="none"/>
              </w:rPr>
            </w:pPr>
          </w:p>
        </w:tc>
      </w:tr>
      <w:tr>
        <w:tblPrEx>
          <w:tblCellMar>
            <w:top w:w="0" w:type="dxa"/>
            <w:left w:w="108" w:type="dxa"/>
            <w:bottom w:w="0" w:type="dxa"/>
            <w:right w:w="108" w:type="dxa"/>
          </w:tblCellMar>
        </w:tblPrEx>
        <w:trPr>
          <w:cantSplit/>
          <w:trHeight w:val="650" w:hRule="atLeast"/>
        </w:trPr>
        <w:tc>
          <w:tcPr>
            <w:tcW w:w="2221"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color w:val="auto"/>
                <w:sz w:val="21"/>
                <w:szCs w:val="21"/>
                <w:highlight w:val="none"/>
              </w:rPr>
            </w:pPr>
            <w:r>
              <w:rPr>
                <w:rFonts w:hint="eastAsia"/>
                <w:color w:val="auto"/>
                <w:sz w:val="21"/>
                <w:szCs w:val="21"/>
                <w:highlight w:val="none"/>
              </w:rPr>
              <w:t>营业执照号</w:t>
            </w:r>
          </w:p>
        </w:tc>
        <w:tc>
          <w:tcPr>
            <w:tcW w:w="2102"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jc w:val="center"/>
              <w:rPr>
                <w:color w:val="auto"/>
                <w:sz w:val="21"/>
                <w:szCs w:val="21"/>
                <w:highlight w:val="none"/>
              </w:rPr>
            </w:pPr>
          </w:p>
        </w:tc>
        <w:tc>
          <w:tcPr>
            <w:tcW w:w="1265" w:type="dxa"/>
            <w:vMerge w:val="continue"/>
            <w:tcBorders>
              <w:top w:val="nil"/>
              <w:left w:val="single" w:color="000000" w:sz="4" w:space="0"/>
              <w:bottom w:val="nil"/>
              <w:right w:val="single" w:color="000000" w:sz="4" w:space="0"/>
            </w:tcBorders>
          </w:tcPr>
          <w:p>
            <w:pPr>
              <w:adjustRightInd w:val="0"/>
              <w:spacing w:line="360" w:lineRule="atLeast"/>
              <w:textAlignment w:val="baseline"/>
              <w:rPr>
                <w:color w:val="auto"/>
                <w:sz w:val="21"/>
                <w:szCs w:val="21"/>
                <w:highlight w:val="none"/>
              </w:rPr>
            </w:pPr>
          </w:p>
        </w:tc>
        <w:tc>
          <w:tcPr>
            <w:tcW w:w="2247" w:type="dxa"/>
            <w:gridSpan w:val="3"/>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color w:val="auto"/>
                <w:sz w:val="21"/>
                <w:szCs w:val="21"/>
                <w:highlight w:val="none"/>
              </w:rPr>
            </w:pPr>
            <w:r>
              <w:rPr>
                <w:rFonts w:hint="eastAsia"/>
                <w:color w:val="auto"/>
                <w:sz w:val="21"/>
                <w:szCs w:val="21"/>
                <w:highlight w:val="none"/>
              </w:rPr>
              <w:t>高级职称人员</w:t>
            </w:r>
          </w:p>
        </w:tc>
        <w:tc>
          <w:tcPr>
            <w:tcW w:w="1501"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color w:val="auto"/>
                <w:sz w:val="21"/>
                <w:szCs w:val="21"/>
                <w:highlight w:val="none"/>
              </w:rPr>
            </w:pPr>
          </w:p>
        </w:tc>
      </w:tr>
      <w:tr>
        <w:tblPrEx>
          <w:tblCellMar>
            <w:top w:w="0" w:type="dxa"/>
            <w:left w:w="108" w:type="dxa"/>
            <w:bottom w:w="0" w:type="dxa"/>
            <w:right w:w="108" w:type="dxa"/>
          </w:tblCellMar>
        </w:tblPrEx>
        <w:trPr>
          <w:cantSplit/>
          <w:trHeight w:val="650" w:hRule="atLeast"/>
        </w:trPr>
        <w:tc>
          <w:tcPr>
            <w:tcW w:w="2221"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color w:val="auto"/>
                <w:sz w:val="21"/>
                <w:szCs w:val="21"/>
                <w:highlight w:val="none"/>
              </w:rPr>
            </w:pPr>
            <w:r>
              <w:rPr>
                <w:rFonts w:hint="eastAsia"/>
                <w:color w:val="auto"/>
                <w:sz w:val="21"/>
                <w:szCs w:val="21"/>
                <w:highlight w:val="none"/>
              </w:rPr>
              <w:t>注册资金</w:t>
            </w:r>
          </w:p>
        </w:tc>
        <w:tc>
          <w:tcPr>
            <w:tcW w:w="2102"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jc w:val="center"/>
              <w:rPr>
                <w:color w:val="auto"/>
                <w:sz w:val="21"/>
                <w:szCs w:val="21"/>
                <w:highlight w:val="none"/>
              </w:rPr>
            </w:pPr>
          </w:p>
        </w:tc>
        <w:tc>
          <w:tcPr>
            <w:tcW w:w="1265" w:type="dxa"/>
            <w:vMerge w:val="continue"/>
            <w:tcBorders>
              <w:top w:val="nil"/>
              <w:left w:val="single" w:color="000000" w:sz="4" w:space="0"/>
              <w:bottom w:val="nil"/>
              <w:right w:val="single" w:color="000000" w:sz="4" w:space="0"/>
            </w:tcBorders>
            <w:vAlign w:val="center"/>
          </w:tcPr>
          <w:p>
            <w:pPr>
              <w:adjustRightInd w:val="0"/>
              <w:spacing w:line="360" w:lineRule="atLeast"/>
              <w:textAlignment w:val="baseline"/>
              <w:rPr>
                <w:color w:val="auto"/>
                <w:sz w:val="21"/>
                <w:szCs w:val="21"/>
                <w:highlight w:val="none"/>
              </w:rPr>
            </w:pPr>
          </w:p>
        </w:tc>
        <w:tc>
          <w:tcPr>
            <w:tcW w:w="2247" w:type="dxa"/>
            <w:gridSpan w:val="3"/>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color w:val="auto"/>
                <w:sz w:val="21"/>
                <w:szCs w:val="21"/>
                <w:highlight w:val="none"/>
              </w:rPr>
            </w:pPr>
            <w:r>
              <w:rPr>
                <w:rFonts w:hint="eastAsia"/>
                <w:color w:val="auto"/>
                <w:sz w:val="21"/>
                <w:szCs w:val="21"/>
                <w:highlight w:val="none"/>
              </w:rPr>
              <w:t>中级职称人员</w:t>
            </w:r>
          </w:p>
        </w:tc>
        <w:tc>
          <w:tcPr>
            <w:tcW w:w="1501"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color w:val="auto"/>
                <w:sz w:val="21"/>
                <w:szCs w:val="21"/>
                <w:highlight w:val="none"/>
              </w:rPr>
            </w:pPr>
          </w:p>
        </w:tc>
      </w:tr>
      <w:tr>
        <w:tblPrEx>
          <w:tblCellMar>
            <w:top w:w="0" w:type="dxa"/>
            <w:left w:w="108" w:type="dxa"/>
            <w:bottom w:w="0" w:type="dxa"/>
            <w:right w:w="108" w:type="dxa"/>
          </w:tblCellMar>
        </w:tblPrEx>
        <w:trPr>
          <w:cantSplit/>
          <w:trHeight w:val="650" w:hRule="atLeast"/>
        </w:trPr>
        <w:tc>
          <w:tcPr>
            <w:tcW w:w="2221"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color w:val="auto"/>
                <w:sz w:val="21"/>
                <w:szCs w:val="21"/>
                <w:highlight w:val="none"/>
              </w:rPr>
            </w:pPr>
            <w:r>
              <w:rPr>
                <w:rFonts w:hint="eastAsia"/>
                <w:color w:val="auto"/>
                <w:sz w:val="21"/>
                <w:szCs w:val="21"/>
                <w:highlight w:val="none"/>
              </w:rPr>
              <w:t>开户银行</w:t>
            </w:r>
          </w:p>
        </w:tc>
        <w:tc>
          <w:tcPr>
            <w:tcW w:w="2102"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jc w:val="center"/>
              <w:rPr>
                <w:color w:val="auto"/>
                <w:sz w:val="21"/>
                <w:szCs w:val="21"/>
                <w:highlight w:val="none"/>
              </w:rPr>
            </w:pPr>
          </w:p>
        </w:tc>
        <w:tc>
          <w:tcPr>
            <w:tcW w:w="1265" w:type="dxa"/>
            <w:vMerge w:val="continue"/>
            <w:tcBorders>
              <w:top w:val="nil"/>
              <w:left w:val="single" w:color="000000" w:sz="4" w:space="0"/>
              <w:bottom w:val="nil"/>
              <w:right w:val="single" w:color="000000" w:sz="4" w:space="0"/>
            </w:tcBorders>
          </w:tcPr>
          <w:p>
            <w:pPr>
              <w:adjustRightInd w:val="0"/>
              <w:spacing w:line="360" w:lineRule="atLeast"/>
              <w:textAlignment w:val="baseline"/>
              <w:rPr>
                <w:color w:val="auto"/>
                <w:sz w:val="21"/>
                <w:szCs w:val="21"/>
                <w:highlight w:val="none"/>
              </w:rPr>
            </w:pPr>
          </w:p>
        </w:tc>
        <w:tc>
          <w:tcPr>
            <w:tcW w:w="2247" w:type="dxa"/>
            <w:gridSpan w:val="3"/>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color w:val="auto"/>
                <w:sz w:val="21"/>
                <w:szCs w:val="21"/>
                <w:highlight w:val="none"/>
              </w:rPr>
            </w:pPr>
            <w:r>
              <w:rPr>
                <w:rFonts w:hint="eastAsia"/>
                <w:color w:val="auto"/>
                <w:sz w:val="21"/>
                <w:szCs w:val="21"/>
                <w:highlight w:val="none"/>
              </w:rPr>
              <w:t>初级职称人员</w:t>
            </w:r>
          </w:p>
        </w:tc>
        <w:tc>
          <w:tcPr>
            <w:tcW w:w="1501"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color w:val="auto"/>
                <w:sz w:val="21"/>
                <w:szCs w:val="21"/>
                <w:highlight w:val="none"/>
              </w:rPr>
            </w:pPr>
          </w:p>
        </w:tc>
      </w:tr>
      <w:tr>
        <w:tblPrEx>
          <w:tblCellMar>
            <w:top w:w="0" w:type="dxa"/>
            <w:left w:w="108" w:type="dxa"/>
            <w:bottom w:w="0" w:type="dxa"/>
            <w:right w:w="108" w:type="dxa"/>
          </w:tblCellMar>
        </w:tblPrEx>
        <w:trPr>
          <w:cantSplit/>
          <w:trHeight w:val="650" w:hRule="atLeast"/>
        </w:trPr>
        <w:tc>
          <w:tcPr>
            <w:tcW w:w="2221"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color w:val="auto"/>
                <w:sz w:val="21"/>
                <w:szCs w:val="21"/>
                <w:highlight w:val="none"/>
              </w:rPr>
            </w:pPr>
            <w:r>
              <w:rPr>
                <w:rFonts w:hint="eastAsia"/>
                <w:color w:val="auto"/>
                <w:sz w:val="21"/>
                <w:szCs w:val="21"/>
                <w:highlight w:val="none"/>
              </w:rPr>
              <w:t>账    号</w:t>
            </w:r>
          </w:p>
        </w:tc>
        <w:tc>
          <w:tcPr>
            <w:tcW w:w="2102"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jc w:val="center"/>
              <w:rPr>
                <w:color w:val="auto"/>
                <w:sz w:val="21"/>
                <w:szCs w:val="21"/>
                <w:highlight w:val="none"/>
              </w:rPr>
            </w:pPr>
          </w:p>
        </w:tc>
        <w:tc>
          <w:tcPr>
            <w:tcW w:w="1265" w:type="dxa"/>
            <w:vMerge w:val="continue"/>
            <w:tcBorders>
              <w:top w:val="nil"/>
              <w:left w:val="single" w:color="000000" w:sz="4" w:space="0"/>
              <w:bottom w:val="single" w:color="000000" w:sz="4" w:space="0"/>
              <w:right w:val="single" w:color="000000" w:sz="4" w:space="0"/>
            </w:tcBorders>
          </w:tcPr>
          <w:p>
            <w:pPr>
              <w:adjustRightInd w:val="0"/>
              <w:spacing w:line="360" w:lineRule="atLeast"/>
              <w:textAlignment w:val="baseline"/>
              <w:rPr>
                <w:color w:val="auto"/>
                <w:sz w:val="21"/>
                <w:szCs w:val="21"/>
                <w:highlight w:val="none"/>
              </w:rPr>
            </w:pPr>
          </w:p>
        </w:tc>
        <w:tc>
          <w:tcPr>
            <w:tcW w:w="2247" w:type="dxa"/>
            <w:gridSpan w:val="3"/>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color w:val="auto"/>
                <w:sz w:val="21"/>
                <w:szCs w:val="21"/>
                <w:highlight w:val="none"/>
              </w:rPr>
            </w:pPr>
            <w:r>
              <w:rPr>
                <w:rFonts w:hint="eastAsia"/>
                <w:color w:val="auto"/>
                <w:sz w:val="21"/>
                <w:szCs w:val="21"/>
                <w:highlight w:val="none"/>
              </w:rPr>
              <w:t>技工</w:t>
            </w:r>
          </w:p>
        </w:tc>
        <w:tc>
          <w:tcPr>
            <w:tcW w:w="1501"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color w:val="auto"/>
                <w:sz w:val="21"/>
                <w:szCs w:val="21"/>
                <w:highlight w:val="none"/>
              </w:rPr>
            </w:pPr>
          </w:p>
        </w:tc>
      </w:tr>
      <w:tr>
        <w:tblPrEx>
          <w:tblCellMar>
            <w:top w:w="0" w:type="dxa"/>
            <w:left w:w="108" w:type="dxa"/>
            <w:bottom w:w="0" w:type="dxa"/>
            <w:right w:w="108" w:type="dxa"/>
          </w:tblCellMar>
        </w:tblPrEx>
        <w:trPr>
          <w:trHeight w:val="1301" w:hRule="atLeast"/>
        </w:trPr>
        <w:tc>
          <w:tcPr>
            <w:tcW w:w="2221"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left"/>
              <w:rPr>
                <w:color w:val="auto"/>
                <w:sz w:val="21"/>
                <w:szCs w:val="21"/>
                <w:highlight w:val="none"/>
              </w:rPr>
            </w:pPr>
            <w:r>
              <w:rPr>
                <w:rFonts w:hint="eastAsia"/>
                <w:color w:val="auto"/>
                <w:sz w:val="21"/>
                <w:szCs w:val="21"/>
                <w:highlight w:val="none"/>
              </w:rPr>
              <w:t>是否存在招标文件第二章投标人须知第1.4.3项规定的任何一种情形（第12目除外）</w:t>
            </w:r>
            <w:r>
              <w:rPr>
                <w:color w:val="auto"/>
                <w:position w:val="-2"/>
                <w:sz w:val="21"/>
                <w:szCs w:val="21"/>
                <w:highlight w:val="none"/>
                <w:vertAlign w:val="superscript"/>
              </w:rPr>
              <w:footnoteReference w:id="31"/>
            </w:r>
          </w:p>
        </w:tc>
        <w:tc>
          <w:tcPr>
            <w:tcW w:w="7115" w:type="dxa"/>
            <w:gridSpan w:val="8"/>
            <w:tcBorders>
              <w:top w:val="single" w:color="000000" w:sz="4" w:space="0"/>
              <w:left w:val="single" w:color="000000" w:sz="4" w:space="0"/>
              <w:bottom w:val="single" w:color="000000" w:sz="4" w:space="0"/>
              <w:right w:val="single" w:color="000000" w:sz="4" w:space="0"/>
            </w:tcBorders>
          </w:tcPr>
          <w:p>
            <w:pPr>
              <w:autoSpaceDE w:val="0"/>
              <w:autoSpaceDN w:val="0"/>
              <w:adjustRightInd w:val="0"/>
              <w:rPr>
                <w:color w:val="auto"/>
                <w:sz w:val="21"/>
                <w:szCs w:val="21"/>
                <w:highlight w:val="none"/>
              </w:rPr>
            </w:pPr>
          </w:p>
        </w:tc>
      </w:tr>
      <w:tr>
        <w:tblPrEx>
          <w:tblCellMar>
            <w:top w:w="0" w:type="dxa"/>
            <w:left w:w="108" w:type="dxa"/>
            <w:bottom w:w="0" w:type="dxa"/>
            <w:right w:w="108" w:type="dxa"/>
          </w:tblCellMar>
        </w:tblPrEx>
        <w:trPr>
          <w:trHeight w:val="474" w:hRule="atLeast"/>
        </w:trPr>
        <w:tc>
          <w:tcPr>
            <w:tcW w:w="9336" w:type="dxa"/>
            <w:gridSpan w:val="9"/>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color w:val="auto"/>
                <w:kern w:val="1"/>
                <w:sz w:val="21"/>
                <w:szCs w:val="24"/>
                <w:highlight w:val="none"/>
              </w:rPr>
            </w:pPr>
            <w:r>
              <w:rPr>
                <w:rFonts w:hint="eastAsia" w:cs="宋体"/>
                <w:color w:val="auto"/>
                <w:kern w:val="1"/>
                <w:sz w:val="21"/>
                <w:szCs w:val="24"/>
                <w:highlight w:val="none"/>
              </w:rPr>
              <w:t>说明：投标人基本情况表附件见后页，附件是本表的组成部分。</w:t>
            </w:r>
          </w:p>
        </w:tc>
      </w:tr>
    </w:tbl>
    <w:p>
      <w:pPr>
        <w:spacing w:beforeLines="100" w:afterLines="100" w:line="360" w:lineRule="auto"/>
        <w:rPr>
          <w:rFonts w:ascii="Times New Roman" w:hAnsi="Times New Roman"/>
          <w:color w:val="auto"/>
          <w:kern w:val="1"/>
          <w:sz w:val="21"/>
          <w:szCs w:val="21"/>
          <w:highlight w:val="none"/>
        </w:rPr>
      </w:pPr>
      <w:r>
        <w:rPr>
          <w:rFonts w:ascii="Times New Roman" w:hAnsi="Times New Roman"/>
          <w:color w:val="auto"/>
          <w:kern w:val="1"/>
          <w:sz w:val="21"/>
          <w:szCs w:val="24"/>
          <w:highlight w:val="none"/>
          <w:lang w:val="zh-CN"/>
        </w:rPr>
        <w:br w:type="page"/>
      </w:r>
      <w:r>
        <w:rPr>
          <w:rFonts w:ascii="黑体" w:hAnsi="黑体" w:eastAsia="黑体"/>
          <w:color w:val="auto"/>
          <w:sz w:val="21"/>
          <w:szCs w:val="21"/>
          <w:highlight w:val="none"/>
        </w:rPr>
        <w:t>投标人基本情况表附件</w:t>
      </w:r>
      <w:r>
        <w:rPr>
          <w:rFonts w:hint="eastAsia" w:ascii="黑体" w:hAnsi="黑体" w:eastAsia="黑体"/>
          <w:color w:val="auto"/>
          <w:sz w:val="21"/>
          <w:szCs w:val="21"/>
          <w:highlight w:val="none"/>
        </w:rPr>
        <w:t>1、资质证书</w:t>
      </w:r>
      <w:r>
        <w:rPr>
          <w:rFonts w:ascii="黑体" w:hAnsi="黑体" w:eastAsia="黑体"/>
          <w:color w:val="auto"/>
          <w:position w:val="-2"/>
          <w:sz w:val="21"/>
          <w:szCs w:val="21"/>
          <w:highlight w:val="none"/>
          <w:vertAlign w:val="superscript"/>
        </w:rPr>
        <w:footnoteReference w:id="32"/>
      </w:r>
      <w:r>
        <w:rPr>
          <w:rFonts w:ascii="黑体" w:hAnsi="黑体" w:eastAsia="黑体"/>
          <w:color w:val="auto"/>
          <w:sz w:val="21"/>
          <w:szCs w:val="21"/>
          <w:highlight w:val="none"/>
        </w:rPr>
        <w:t>：</w:t>
      </w:r>
    </w:p>
    <w:p>
      <w:pPr>
        <w:spacing w:line="360" w:lineRule="auto"/>
        <w:ind w:firstLine="420"/>
        <w:rPr>
          <w:rFonts w:cs="宋体"/>
          <w:color w:val="auto"/>
          <w:kern w:val="1"/>
          <w:sz w:val="21"/>
          <w:szCs w:val="24"/>
          <w:highlight w:val="none"/>
        </w:rPr>
      </w:pPr>
      <w:r>
        <w:rPr>
          <w:rFonts w:cs="宋体"/>
          <w:color w:val="auto"/>
          <w:kern w:val="1"/>
          <w:sz w:val="21"/>
          <w:szCs w:val="24"/>
          <w:highlight w:val="none"/>
        </w:rPr>
        <w:t>（</w:t>
      </w:r>
      <w:r>
        <w:rPr>
          <w:rFonts w:hint="eastAsia" w:cs="宋体"/>
          <w:color w:val="auto"/>
          <w:kern w:val="1"/>
          <w:sz w:val="21"/>
          <w:szCs w:val="24"/>
          <w:highlight w:val="none"/>
        </w:rPr>
        <w:t>1</w:t>
      </w:r>
      <w:r>
        <w:rPr>
          <w:rFonts w:cs="宋体"/>
          <w:color w:val="auto"/>
          <w:kern w:val="1"/>
          <w:sz w:val="21"/>
          <w:szCs w:val="24"/>
          <w:highlight w:val="none"/>
        </w:rPr>
        <w:t>）《建筑业企业资质证书》（副本）</w:t>
      </w:r>
    </w:p>
    <w:p>
      <w:pPr>
        <w:ind w:firstLine="420" w:firstLineChars="200"/>
        <w:rPr>
          <w:rFonts w:cs="宋体"/>
          <w:color w:val="auto"/>
          <w:kern w:val="1"/>
          <w:sz w:val="20"/>
          <w:highlight w:val="none"/>
        </w:rPr>
      </w:pPr>
      <w:r>
        <w:rPr>
          <w:rFonts w:cs="宋体"/>
          <w:color w:val="auto"/>
          <w:kern w:val="1"/>
          <w:sz w:val="21"/>
          <w:szCs w:val="24"/>
          <w:highlight w:val="none"/>
        </w:rPr>
        <w:t>（</w:t>
      </w:r>
      <w:r>
        <w:rPr>
          <w:rFonts w:hint="eastAsia" w:cs="宋体"/>
          <w:color w:val="auto"/>
          <w:kern w:val="1"/>
          <w:sz w:val="21"/>
          <w:szCs w:val="24"/>
          <w:highlight w:val="none"/>
        </w:rPr>
        <w:t>2</w:t>
      </w:r>
      <w:r>
        <w:rPr>
          <w:rFonts w:cs="宋体"/>
          <w:color w:val="auto"/>
          <w:kern w:val="1"/>
          <w:sz w:val="21"/>
          <w:szCs w:val="24"/>
          <w:highlight w:val="none"/>
        </w:rPr>
        <w:t>）《安全生产许可证》（副本）</w:t>
      </w:r>
    </w:p>
    <w:p>
      <w:pPr>
        <w:spacing w:line="360" w:lineRule="auto"/>
        <w:rPr>
          <w:rFonts w:cs="宋体"/>
          <w:color w:val="auto"/>
          <w:kern w:val="1"/>
          <w:sz w:val="21"/>
          <w:szCs w:val="24"/>
          <w:highlight w:val="none"/>
        </w:rPr>
      </w:pPr>
    </w:p>
    <w:p>
      <w:pPr>
        <w:spacing w:line="360" w:lineRule="auto"/>
        <w:rPr>
          <w:rFonts w:cs="宋体"/>
          <w:color w:val="auto"/>
          <w:kern w:val="1"/>
          <w:sz w:val="21"/>
          <w:szCs w:val="24"/>
          <w:highlight w:val="none"/>
        </w:rPr>
      </w:pPr>
    </w:p>
    <w:p>
      <w:pPr>
        <w:spacing w:line="360" w:lineRule="auto"/>
        <w:rPr>
          <w:rFonts w:cs="宋体"/>
          <w:color w:val="auto"/>
          <w:kern w:val="1"/>
          <w:sz w:val="21"/>
          <w:szCs w:val="24"/>
          <w:highlight w:val="none"/>
        </w:rPr>
      </w:pPr>
    </w:p>
    <w:p>
      <w:pPr>
        <w:spacing w:line="360" w:lineRule="auto"/>
        <w:rPr>
          <w:rFonts w:cs="宋体"/>
          <w:color w:val="auto"/>
          <w:kern w:val="1"/>
          <w:sz w:val="21"/>
          <w:szCs w:val="24"/>
          <w:highlight w:val="none"/>
        </w:rPr>
      </w:pPr>
    </w:p>
    <w:p>
      <w:pPr>
        <w:spacing w:beforeLines="100" w:afterLines="100" w:line="360" w:lineRule="auto"/>
        <w:jc w:val="left"/>
        <w:rPr>
          <w:rFonts w:ascii="Times New Roman" w:hAnsi="Times New Roman"/>
          <w:b/>
          <w:caps/>
          <w:color w:val="auto"/>
          <w:kern w:val="1"/>
          <w:sz w:val="24"/>
          <w:highlight w:val="none"/>
        </w:rPr>
      </w:pPr>
      <w:r>
        <w:rPr>
          <w:rFonts w:cs="宋体"/>
          <w:b/>
          <w:caps/>
          <w:color w:val="auto"/>
          <w:kern w:val="1"/>
          <w:sz w:val="20"/>
          <w:highlight w:val="none"/>
        </w:rPr>
        <w:br w:type="page"/>
      </w:r>
      <w:r>
        <w:rPr>
          <w:rFonts w:ascii="黑体" w:hAnsi="黑体" w:eastAsia="黑体"/>
          <w:b/>
          <w:caps/>
          <w:color w:val="auto"/>
          <w:sz w:val="21"/>
          <w:szCs w:val="21"/>
          <w:highlight w:val="none"/>
        </w:rPr>
        <w:t>投标人基本情况表附件</w:t>
      </w:r>
      <w:r>
        <w:rPr>
          <w:rFonts w:hint="eastAsia" w:ascii="黑体" w:hAnsi="黑体" w:eastAsia="黑体"/>
          <w:b/>
          <w:caps/>
          <w:color w:val="auto"/>
          <w:kern w:val="1"/>
          <w:sz w:val="20"/>
          <w:szCs w:val="21"/>
          <w:highlight w:val="none"/>
        </w:rPr>
        <w:t>2、类似工程业绩情况表及证明材料</w:t>
      </w:r>
      <w:r>
        <w:rPr>
          <w:rFonts w:ascii="黑体" w:hAnsi="黑体" w:eastAsia="黑体"/>
          <w:b/>
          <w:caps/>
          <w:color w:val="auto"/>
          <w:kern w:val="1"/>
          <w:position w:val="-2"/>
          <w:sz w:val="20"/>
          <w:szCs w:val="21"/>
          <w:highlight w:val="none"/>
          <w:vertAlign w:val="superscript"/>
        </w:rPr>
        <w:footnoteReference w:id="33"/>
      </w:r>
      <w:r>
        <w:rPr>
          <w:rFonts w:ascii="黑体" w:hAnsi="黑体" w:eastAsia="黑体"/>
          <w:b/>
          <w:caps/>
          <w:color w:val="auto"/>
          <w:sz w:val="21"/>
          <w:szCs w:val="21"/>
          <w:highlight w:val="none"/>
        </w:rPr>
        <w:t>：</w:t>
      </w:r>
    </w:p>
    <w:tbl>
      <w:tblPr>
        <w:tblStyle w:val="6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9"/>
        <w:gridCol w:w="606"/>
        <w:gridCol w:w="512"/>
        <w:gridCol w:w="684"/>
        <w:gridCol w:w="689"/>
        <w:gridCol w:w="615"/>
        <w:gridCol w:w="684"/>
        <w:gridCol w:w="684"/>
        <w:gridCol w:w="684"/>
        <w:gridCol w:w="684"/>
        <w:gridCol w:w="684"/>
        <w:gridCol w:w="684"/>
        <w:gridCol w:w="688"/>
        <w:gridCol w:w="684"/>
        <w:gridCol w:w="684"/>
        <w:gridCol w:w="4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529" w:type="dxa"/>
            <w:vMerge w:val="restart"/>
            <w:tcBorders>
              <w:top w:val="single" w:color="auto" w:sz="8" w:space="0"/>
              <w:left w:val="single" w:color="auto" w:sz="8" w:space="0"/>
            </w:tcBorders>
            <w:vAlign w:val="center"/>
          </w:tcPr>
          <w:p>
            <w:pPr>
              <w:adjustRightInd w:val="0"/>
              <w:spacing w:line="360" w:lineRule="exact"/>
              <w:jc w:val="center"/>
              <w:textAlignment w:val="baseline"/>
              <w:rPr>
                <w:color w:val="auto"/>
                <w:sz w:val="21"/>
                <w:szCs w:val="21"/>
                <w:highlight w:val="none"/>
              </w:rPr>
            </w:pPr>
            <w:r>
              <w:rPr>
                <w:rFonts w:hint="eastAsia"/>
                <w:color w:val="auto"/>
                <w:sz w:val="21"/>
                <w:szCs w:val="21"/>
                <w:highlight w:val="none"/>
              </w:rPr>
              <w:t>项目编号</w:t>
            </w:r>
          </w:p>
        </w:tc>
        <w:tc>
          <w:tcPr>
            <w:tcW w:w="606" w:type="dxa"/>
            <w:vMerge w:val="restart"/>
            <w:tcBorders>
              <w:top w:val="single" w:color="auto" w:sz="8" w:space="0"/>
            </w:tcBorders>
            <w:vAlign w:val="center"/>
          </w:tcPr>
          <w:p>
            <w:pPr>
              <w:adjustRightInd w:val="0"/>
              <w:spacing w:line="360" w:lineRule="exact"/>
              <w:jc w:val="center"/>
              <w:textAlignment w:val="baseline"/>
              <w:rPr>
                <w:color w:val="auto"/>
                <w:sz w:val="21"/>
                <w:szCs w:val="21"/>
                <w:highlight w:val="none"/>
              </w:rPr>
            </w:pPr>
            <w:r>
              <w:rPr>
                <w:rFonts w:hint="eastAsia"/>
                <w:color w:val="auto"/>
                <w:sz w:val="21"/>
                <w:szCs w:val="21"/>
                <w:highlight w:val="none"/>
              </w:rPr>
              <w:t>项目名称</w:t>
            </w:r>
          </w:p>
        </w:tc>
        <w:tc>
          <w:tcPr>
            <w:tcW w:w="512" w:type="dxa"/>
            <w:vMerge w:val="restart"/>
            <w:tcBorders>
              <w:top w:val="single" w:color="auto" w:sz="8" w:space="0"/>
            </w:tcBorders>
            <w:vAlign w:val="center"/>
          </w:tcPr>
          <w:p>
            <w:pPr>
              <w:adjustRightInd w:val="0"/>
              <w:spacing w:line="360" w:lineRule="exact"/>
              <w:jc w:val="center"/>
              <w:textAlignment w:val="baseline"/>
              <w:rPr>
                <w:color w:val="auto"/>
                <w:sz w:val="21"/>
                <w:szCs w:val="21"/>
                <w:highlight w:val="none"/>
              </w:rPr>
            </w:pPr>
            <w:r>
              <w:rPr>
                <w:rFonts w:hint="eastAsia"/>
                <w:color w:val="auto"/>
                <w:sz w:val="21"/>
                <w:szCs w:val="21"/>
                <w:highlight w:val="none"/>
              </w:rPr>
              <w:t>建设地点</w:t>
            </w:r>
          </w:p>
        </w:tc>
        <w:tc>
          <w:tcPr>
            <w:tcW w:w="1373" w:type="dxa"/>
            <w:gridSpan w:val="2"/>
            <w:tcBorders>
              <w:top w:val="single" w:color="auto" w:sz="8" w:space="0"/>
            </w:tcBorders>
            <w:vAlign w:val="center"/>
          </w:tcPr>
          <w:p>
            <w:pPr>
              <w:adjustRightInd w:val="0"/>
              <w:spacing w:line="320" w:lineRule="exact"/>
              <w:jc w:val="center"/>
              <w:textAlignment w:val="baseline"/>
              <w:rPr>
                <w:color w:val="auto"/>
                <w:sz w:val="21"/>
                <w:szCs w:val="21"/>
                <w:highlight w:val="none"/>
              </w:rPr>
            </w:pPr>
            <w:r>
              <w:rPr>
                <w:rFonts w:hint="eastAsia"/>
                <w:color w:val="auto"/>
                <w:sz w:val="21"/>
                <w:szCs w:val="21"/>
                <w:highlight w:val="none"/>
              </w:rPr>
              <w:t>合同信息</w:t>
            </w:r>
          </w:p>
        </w:tc>
        <w:tc>
          <w:tcPr>
            <w:tcW w:w="5407" w:type="dxa"/>
            <w:gridSpan w:val="8"/>
            <w:tcBorders>
              <w:top w:val="single" w:color="auto" w:sz="8" w:space="0"/>
            </w:tcBorders>
            <w:vAlign w:val="center"/>
          </w:tcPr>
          <w:p>
            <w:pPr>
              <w:adjustRightInd w:val="0"/>
              <w:spacing w:line="320" w:lineRule="exact"/>
              <w:jc w:val="center"/>
              <w:textAlignment w:val="baseline"/>
              <w:rPr>
                <w:color w:val="auto"/>
                <w:sz w:val="21"/>
                <w:szCs w:val="21"/>
                <w:highlight w:val="none"/>
              </w:rPr>
            </w:pPr>
            <w:r>
              <w:rPr>
                <w:rFonts w:hint="eastAsia"/>
                <w:color w:val="auto"/>
                <w:sz w:val="21"/>
                <w:szCs w:val="21"/>
                <w:highlight w:val="none"/>
              </w:rPr>
              <w:t>竣工验收信息</w:t>
            </w:r>
          </w:p>
        </w:tc>
        <w:tc>
          <w:tcPr>
            <w:tcW w:w="684" w:type="dxa"/>
            <w:vMerge w:val="restart"/>
            <w:tcBorders>
              <w:top w:val="single" w:color="auto" w:sz="8" w:space="0"/>
              <w:right w:val="single" w:color="auto" w:sz="4" w:space="0"/>
            </w:tcBorders>
            <w:vAlign w:val="center"/>
          </w:tcPr>
          <w:p>
            <w:pPr>
              <w:adjustRightInd w:val="0"/>
              <w:spacing w:line="320" w:lineRule="exact"/>
              <w:textAlignment w:val="baseline"/>
              <w:rPr>
                <w:color w:val="auto"/>
                <w:sz w:val="21"/>
                <w:szCs w:val="21"/>
                <w:highlight w:val="none"/>
              </w:rPr>
            </w:pPr>
            <w:r>
              <w:rPr>
                <w:rFonts w:hint="eastAsia"/>
                <w:color w:val="auto"/>
                <w:sz w:val="21"/>
                <w:szCs w:val="21"/>
                <w:highlight w:val="none"/>
              </w:rPr>
              <w:t>建设单位</w:t>
            </w:r>
          </w:p>
        </w:tc>
        <w:tc>
          <w:tcPr>
            <w:tcW w:w="684" w:type="dxa"/>
            <w:vMerge w:val="restart"/>
            <w:tcBorders>
              <w:top w:val="single" w:color="auto" w:sz="8" w:space="0"/>
              <w:left w:val="single" w:color="auto" w:sz="4" w:space="0"/>
              <w:right w:val="single" w:color="auto" w:sz="8" w:space="0"/>
            </w:tcBorders>
            <w:vAlign w:val="center"/>
          </w:tcPr>
          <w:p>
            <w:pPr>
              <w:adjustRightInd w:val="0"/>
              <w:spacing w:line="320" w:lineRule="exact"/>
              <w:textAlignment w:val="baseline"/>
              <w:rPr>
                <w:color w:val="auto"/>
                <w:sz w:val="21"/>
                <w:szCs w:val="21"/>
                <w:highlight w:val="none"/>
              </w:rPr>
            </w:pPr>
            <w:r>
              <w:rPr>
                <w:rFonts w:hint="eastAsia"/>
                <w:color w:val="auto"/>
                <w:sz w:val="21"/>
                <w:szCs w:val="21"/>
                <w:highlight w:val="none"/>
              </w:rPr>
              <w:t>建设单位联系人/电话</w:t>
            </w:r>
          </w:p>
        </w:tc>
        <w:tc>
          <w:tcPr>
            <w:tcW w:w="419" w:type="dxa"/>
            <w:vMerge w:val="restart"/>
            <w:tcBorders>
              <w:top w:val="single" w:color="auto" w:sz="8" w:space="0"/>
              <w:left w:val="single" w:color="auto" w:sz="4" w:space="0"/>
              <w:right w:val="single" w:color="auto" w:sz="8" w:space="0"/>
            </w:tcBorders>
            <w:vAlign w:val="center"/>
          </w:tcPr>
          <w:p>
            <w:pPr>
              <w:adjustRightInd w:val="0"/>
              <w:spacing w:line="440" w:lineRule="exact"/>
              <w:textAlignment w:val="baseline"/>
              <w:rPr>
                <w:color w:val="auto"/>
                <w:sz w:val="21"/>
                <w:szCs w:val="21"/>
                <w:highlight w:val="none"/>
              </w:rPr>
            </w:pPr>
            <w:r>
              <w:rPr>
                <w:rFonts w:hint="eastAsia"/>
                <w:color w:val="auto"/>
                <w:sz w:val="2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33" w:hRule="atLeast"/>
          <w:jc w:val="center"/>
        </w:trPr>
        <w:tc>
          <w:tcPr>
            <w:tcW w:w="529" w:type="dxa"/>
            <w:vMerge w:val="continue"/>
            <w:tcBorders>
              <w:left w:val="single" w:color="auto" w:sz="8" w:space="0"/>
            </w:tcBorders>
          </w:tcPr>
          <w:p>
            <w:pPr>
              <w:adjustRightInd w:val="0"/>
              <w:spacing w:line="360" w:lineRule="atLeast"/>
              <w:textAlignment w:val="baseline"/>
              <w:rPr>
                <w:color w:val="auto"/>
                <w:sz w:val="21"/>
                <w:szCs w:val="21"/>
                <w:highlight w:val="none"/>
              </w:rPr>
            </w:pPr>
          </w:p>
        </w:tc>
        <w:tc>
          <w:tcPr>
            <w:tcW w:w="606" w:type="dxa"/>
            <w:vMerge w:val="continue"/>
          </w:tcPr>
          <w:p>
            <w:pPr>
              <w:adjustRightInd w:val="0"/>
              <w:spacing w:line="360" w:lineRule="atLeast"/>
              <w:textAlignment w:val="baseline"/>
              <w:rPr>
                <w:color w:val="auto"/>
                <w:sz w:val="21"/>
                <w:szCs w:val="21"/>
                <w:highlight w:val="none"/>
              </w:rPr>
            </w:pPr>
          </w:p>
        </w:tc>
        <w:tc>
          <w:tcPr>
            <w:tcW w:w="512" w:type="dxa"/>
            <w:vMerge w:val="continue"/>
          </w:tcPr>
          <w:p>
            <w:pPr>
              <w:adjustRightInd w:val="0"/>
              <w:spacing w:line="360" w:lineRule="atLeast"/>
              <w:textAlignment w:val="baseline"/>
              <w:rPr>
                <w:color w:val="auto"/>
                <w:sz w:val="21"/>
                <w:szCs w:val="21"/>
                <w:highlight w:val="none"/>
              </w:rPr>
            </w:pPr>
          </w:p>
        </w:tc>
        <w:tc>
          <w:tcPr>
            <w:tcW w:w="684" w:type="dxa"/>
          </w:tcPr>
          <w:p>
            <w:pPr>
              <w:adjustRightInd w:val="0"/>
              <w:spacing w:line="320" w:lineRule="exact"/>
              <w:textAlignment w:val="baseline"/>
              <w:rPr>
                <w:color w:val="auto"/>
                <w:sz w:val="21"/>
                <w:szCs w:val="21"/>
                <w:highlight w:val="none"/>
              </w:rPr>
            </w:pPr>
            <w:r>
              <w:rPr>
                <w:rFonts w:hint="eastAsia"/>
                <w:color w:val="auto"/>
                <w:sz w:val="21"/>
                <w:szCs w:val="21"/>
                <w:highlight w:val="none"/>
              </w:rPr>
              <w:t>合同金额（万元）</w:t>
            </w:r>
          </w:p>
        </w:tc>
        <w:tc>
          <w:tcPr>
            <w:tcW w:w="689" w:type="dxa"/>
          </w:tcPr>
          <w:p>
            <w:pPr>
              <w:adjustRightInd w:val="0"/>
              <w:spacing w:line="320" w:lineRule="exact"/>
              <w:textAlignment w:val="baseline"/>
              <w:rPr>
                <w:color w:val="auto"/>
                <w:sz w:val="21"/>
                <w:szCs w:val="21"/>
                <w:highlight w:val="none"/>
              </w:rPr>
            </w:pPr>
            <w:r>
              <w:rPr>
                <w:rFonts w:hint="eastAsia"/>
                <w:color w:val="auto"/>
                <w:sz w:val="21"/>
                <w:szCs w:val="21"/>
                <w:highlight w:val="none"/>
              </w:rPr>
              <w:t>施工合同标注项目负责人</w:t>
            </w:r>
          </w:p>
        </w:tc>
        <w:tc>
          <w:tcPr>
            <w:tcW w:w="615" w:type="dxa"/>
          </w:tcPr>
          <w:p>
            <w:pPr>
              <w:adjustRightInd w:val="0"/>
              <w:spacing w:line="320" w:lineRule="exact"/>
              <w:textAlignment w:val="baseline"/>
              <w:rPr>
                <w:color w:val="auto"/>
                <w:sz w:val="21"/>
                <w:szCs w:val="21"/>
                <w:highlight w:val="none"/>
              </w:rPr>
            </w:pPr>
            <w:r>
              <w:rPr>
                <w:rFonts w:hint="eastAsia"/>
                <w:color w:val="auto"/>
                <w:sz w:val="21"/>
                <w:szCs w:val="21"/>
                <w:highlight w:val="none"/>
              </w:rPr>
              <w:t>竣工备案编号</w:t>
            </w:r>
          </w:p>
        </w:tc>
        <w:tc>
          <w:tcPr>
            <w:tcW w:w="684" w:type="dxa"/>
          </w:tcPr>
          <w:p>
            <w:pPr>
              <w:adjustRightInd w:val="0"/>
              <w:spacing w:line="320" w:lineRule="exact"/>
              <w:textAlignment w:val="baseline"/>
              <w:rPr>
                <w:color w:val="auto"/>
                <w:sz w:val="21"/>
                <w:szCs w:val="21"/>
                <w:highlight w:val="none"/>
              </w:rPr>
            </w:pPr>
            <w:r>
              <w:rPr>
                <w:rFonts w:hint="eastAsia"/>
                <w:color w:val="auto"/>
                <w:sz w:val="21"/>
                <w:szCs w:val="21"/>
                <w:highlight w:val="none"/>
              </w:rPr>
              <w:t>竣工验收证明材料标注项目负责人</w:t>
            </w:r>
          </w:p>
        </w:tc>
        <w:tc>
          <w:tcPr>
            <w:tcW w:w="684" w:type="dxa"/>
          </w:tcPr>
          <w:p>
            <w:pPr>
              <w:adjustRightInd w:val="0"/>
              <w:spacing w:line="320" w:lineRule="exact"/>
              <w:textAlignment w:val="baseline"/>
              <w:rPr>
                <w:color w:val="auto"/>
                <w:sz w:val="21"/>
                <w:szCs w:val="21"/>
                <w:highlight w:val="none"/>
              </w:rPr>
            </w:pPr>
            <w:r>
              <w:rPr>
                <w:rFonts w:hint="eastAsia"/>
                <w:color w:val="auto"/>
                <w:sz w:val="21"/>
                <w:szCs w:val="21"/>
                <w:highlight w:val="none"/>
              </w:rPr>
              <w:t>实际造价（万元）</w:t>
            </w:r>
          </w:p>
        </w:tc>
        <w:tc>
          <w:tcPr>
            <w:tcW w:w="684" w:type="dxa"/>
          </w:tcPr>
          <w:p>
            <w:pPr>
              <w:adjustRightInd w:val="0"/>
              <w:spacing w:line="320" w:lineRule="exact"/>
              <w:textAlignment w:val="baseline"/>
              <w:rPr>
                <w:color w:val="auto"/>
                <w:sz w:val="21"/>
                <w:szCs w:val="21"/>
                <w:highlight w:val="none"/>
              </w:rPr>
            </w:pPr>
            <w:r>
              <w:rPr>
                <w:rFonts w:hint="eastAsia"/>
                <w:color w:val="auto"/>
                <w:sz w:val="21"/>
                <w:szCs w:val="21"/>
                <w:highlight w:val="none"/>
              </w:rPr>
              <w:t>实际面积（平方米）</w:t>
            </w:r>
          </w:p>
        </w:tc>
        <w:tc>
          <w:tcPr>
            <w:tcW w:w="684" w:type="dxa"/>
          </w:tcPr>
          <w:p>
            <w:pPr>
              <w:adjustRightInd w:val="0"/>
              <w:spacing w:line="320" w:lineRule="exact"/>
              <w:textAlignment w:val="baseline"/>
              <w:rPr>
                <w:color w:val="auto"/>
                <w:sz w:val="21"/>
                <w:szCs w:val="21"/>
                <w:highlight w:val="none"/>
              </w:rPr>
            </w:pPr>
            <w:r>
              <w:rPr>
                <w:rFonts w:hint="eastAsia"/>
                <w:color w:val="auto"/>
                <w:sz w:val="21"/>
                <w:szCs w:val="21"/>
                <w:highlight w:val="none"/>
              </w:rPr>
              <w:t>其他工程特征指标</w:t>
            </w:r>
          </w:p>
        </w:tc>
        <w:tc>
          <w:tcPr>
            <w:tcW w:w="684" w:type="dxa"/>
          </w:tcPr>
          <w:p>
            <w:pPr>
              <w:adjustRightInd w:val="0"/>
              <w:spacing w:line="320" w:lineRule="exact"/>
              <w:textAlignment w:val="baseline"/>
              <w:rPr>
                <w:color w:val="auto"/>
                <w:sz w:val="21"/>
                <w:szCs w:val="21"/>
                <w:highlight w:val="none"/>
              </w:rPr>
            </w:pPr>
            <w:r>
              <w:rPr>
                <w:rFonts w:hint="eastAsia"/>
                <w:color w:val="auto"/>
                <w:sz w:val="21"/>
                <w:szCs w:val="21"/>
                <w:highlight w:val="none"/>
              </w:rPr>
              <w:t>工程质量</w:t>
            </w:r>
          </w:p>
        </w:tc>
        <w:tc>
          <w:tcPr>
            <w:tcW w:w="684" w:type="dxa"/>
          </w:tcPr>
          <w:p>
            <w:pPr>
              <w:adjustRightInd w:val="0"/>
              <w:spacing w:line="320" w:lineRule="exact"/>
              <w:textAlignment w:val="baseline"/>
              <w:rPr>
                <w:color w:val="auto"/>
                <w:sz w:val="21"/>
                <w:szCs w:val="21"/>
                <w:highlight w:val="none"/>
              </w:rPr>
            </w:pPr>
            <w:r>
              <w:rPr>
                <w:rFonts w:hint="eastAsia"/>
                <w:color w:val="auto"/>
                <w:sz w:val="21"/>
                <w:szCs w:val="21"/>
                <w:highlight w:val="none"/>
              </w:rPr>
              <w:t>实际开工日期</w:t>
            </w:r>
          </w:p>
        </w:tc>
        <w:tc>
          <w:tcPr>
            <w:tcW w:w="688" w:type="dxa"/>
          </w:tcPr>
          <w:p>
            <w:pPr>
              <w:adjustRightInd w:val="0"/>
              <w:spacing w:line="320" w:lineRule="exact"/>
              <w:textAlignment w:val="baseline"/>
              <w:rPr>
                <w:color w:val="auto"/>
                <w:sz w:val="21"/>
                <w:szCs w:val="21"/>
                <w:highlight w:val="none"/>
              </w:rPr>
            </w:pPr>
            <w:r>
              <w:rPr>
                <w:rFonts w:hint="eastAsia"/>
                <w:color w:val="auto"/>
                <w:sz w:val="21"/>
                <w:szCs w:val="21"/>
                <w:highlight w:val="none"/>
              </w:rPr>
              <w:t>实际竣工验收日期</w:t>
            </w:r>
          </w:p>
        </w:tc>
        <w:tc>
          <w:tcPr>
            <w:tcW w:w="684" w:type="dxa"/>
            <w:vMerge w:val="continue"/>
            <w:tcBorders>
              <w:right w:val="single" w:color="auto" w:sz="4" w:space="0"/>
            </w:tcBorders>
          </w:tcPr>
          <w:p>
            <w:pPr>
              <w:adjustRightInd w:val="0"/>
              <w:spacing w:line="360" w:lineRule="atLeast"/>
              <w:textAlignment w:val="baseline"/>
              <w:rPr>
                <w:color w:val="auto"/>
                <w:sz w:val="21"/>
                <w:szCs w:val="21"/>
                <w:highlight w:val="none"/>
              </w:rPr>
            </w:pPr>
          </w:p>
        </w:tc>
        <w:tc>
          <w:tcPr>
            <w:tcW w:w="684" w:type="dxa"/>
            <w:vMerge w:val="continue"/>
            <w:tcBorders>
              <w:left w:val="single" w:color="auto" w:sz="4" w:space="0"/>
              <w:right w:val="single" w:color="auto" w:sz="4" w:space="0"/>
            </w:tcBorders>
          </w:tcPr>
          <w:p>
            <w:pPr>
              <w:adjustRightInd w:val="0"/>
              <w:spacing w:line="360" w:lineRule="atLeast"/>
              <w:textAlignment w:val="baseline"/>
              <w:rPr>
                <w:color w:val="auto"/>
                <w:sz w:val="21"/>
                <w:szCs w:val="21"/>
                <w:highlight w:val="none"/>
              </w:rPr>
            </w:pPr>
          </w:p>
        </w:tc>
        <w:tc>
          <w:tcPr>
            <w:tcW w:w="419" w:type="dxa"/>
            <w:vMerge w:val="continue"/>
            <w:tcBorders>
              <w:left w:val="single" w:color="auto" w:sz="4" w:space="0"/>
              <w:right w:val="single" w:color="auto" w:sz="8" w:space="0"/>
            </w:tcBorders>
          </w:tcPr>
          <w:p>
            <w:pPr>
              <w:adjustRightInd w:val="0"/>
              <w:spacing w:line="360" w:lineRule="atLeast"/>
              <w:textAlignment w:val="baseline"/>
              <w:rPr>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2" w:hRule="atLeast"/>
          <w:jc w:val="center"/>
        </w:trPr>
        <w:tc>
          <w:tcPr>
            <w:tcW w:w="529" w:type="dxa"/>
            <w:tcBorders>
              <w:left w:val="single" w:color="auto" w:sz="8" w:space="0"/>
            </w:tcBorders>
          </w:tcPr>
          <w:p>
            <w:pPr>
              <w:adjustRightInd w:val="0"/>
              <w:spacing w:line="440" w:lineRule="exact"/>
              <w:textAlignment w:val="baseline"/>
              <w:rPr>
                <w:color w:val="auto"/>
                <w:sz w:val="21"/>
                <w:szCs w:val="21"/>
                <w:highlight w:val="none"/>
              </w:rPr>
            </w:pPr>
          </w:p>
        </w:tc>
        <w:tc>
          <w:tcPr>
            <w:tcW w:w="606" w:type="dxa"/>
          </w:tcPr>
          <w:p>
            <w:pPr>
              <w:adjustRightInd w:val="0"/>
              <w:spacing w:line="440" w:lineRule="exact"/>
              <w:textAlignment w:val="baseline"/>
              <w:rPr>
                <w:color w:val="auto"/>
                <w:sz w:val="21"/>
                <w:szCs w:val="21"/>
                <w:highlight w:val="none"/>
              </w:rPr>
            </w:pPr>
          </w:p>
        </w:tc>
        <w:tc>
          <w:tcPr>
            <w:tcW w:w="512" w:type="dxa"/>
          </w:tcPr>
          <w:p>
            <w:pPr>
              <w:adjustRightInd w:val="0"/>
              <w:spacing w:line="440" w:lineRule="exact"/>
              <w:textAlignment w:val="baseline"/>
              <w:rPr>
                <w:color w:val="auto"/>
                <w:sz w:val="21"/>
                <w:szCs w:val="21"/>
                <w:highlight w:val="none"/>
              </w:rPr>
            </w:pPr>
          </w:p>
        </w:tc>
        <w:tc>
          <w:tcPr>
            <w:tcW w:w="684" w:type="dxa"/>
          </w:tcPr>
          <w:p>
            <w:pPr>
              <w:adjustRightInd w:val="0"/>
              <w:spacing w:line="440" w:lineRule="exact"/>
              <w:textAlignment w:val="baseline"/>
              <w:rPr>
                <w:color w:val="auto"/>
                <w:sz w:val="21"/>
                <w:szCs w:val="21"/>
                <w:highlight w:val="none"/>
              </w:rPr>
            </w:pPr>
          </w:p>
        </w:tc>
        <w:tc>
          <w:tcPr>
            <w:tcW w:w="689" w:type="dxa"/>
          </w:tcPr>
          <w:p>
            <w:pPr>
              <w:adjustRightInd w:val="0"/>
              <w:spacing w:line="440" w:lineRule="exact"/>
              <w:textAlignment w:val="baseline"/>
              <w:rPr>
                <w:color w:val="auto"/>
                <w:sz w:val="21"/>
                <w:szCs w:val="21"/>
                <w:highlight w:val="none"/>
              </w:rPr>
            </w:pPr>
          </w:p>
        </w:tc>
        <w:tc>
          <w:tcPr>
            <w:tcW w:w="615" w:type="dxa"/>
          </w:tcPr>
          <w:p>
            <w:pPr>
              <w:adjustRightInd w:val="0"/>
              <w:spacing w:line="440" w:lineRule="exact"/>
              <w:textAlignment w:val="baseline"/>
              <w:rPr>
                <w:color w:val="auto"/>
                <w:sz w:val="21"/>
                <w:szCs w:val="21"/>
                <w:highlight w:val="none"/>
              </w:rPr>
            </w:pPr>
          </w:p>
        </w:tc>
        <w:tc>
          <w:tcPr>
            <w:tcW w:w="684" w:type="dxa"/>
          </w:tcPr>
          <w:p>
            <w:pPr>
              <w:adjustRightInd w:val="0"/>
              <w:spacing w:line="440" w:lineRule="exact"/>
              <w:textAlignment w:val="baseline"/>
              <w:rPr>
                <w:color w:val="auto"/>
                <w:sz w:val="21"/>
                <w:szCs w:val="21"/>
                <w:highlight w:val="none"/>
              </w:rPr>
            </w:pPr>
          </w:p>
        </w:tc>
        <w:tc>
          <w:tcPr>
            <w:tcW w:w="684" w:type="dxa"/>
          </w:tcPr>
          <w:p>
            <w:pPr>
              <w:adjustRightInd w:val="0"/>
              <w:spacing w:line="440" w:lineRule="exact"/>
              <w:textAlignment w:val="baseline"/>
              <w:rPr>
                <w:color w:val="auto"/>
                <w:sz w:val="21"/>
                <w:szCs w:val="21"/>
                <w:highlight w:val="none"/>
              </w:rPr>
            </w:pPr>
          </w:p>
        </w:tc>
        <w:tc>
          <w:tcPr>
            <w:tcW w:w="684" w:type="dxa"/>
          </w:tcPr>
          <w:p>
            <w:pPr>
              <w:adjustRightInd w:val="0"/>
              <w:spacing w:line="440" w:lineRule="exact"/>
              <w:textAlignment w:val="baseline"/>
              <w:rPr>
                <w:color w:val="auto"/>
                <w:sz w:val="21"/>
                <w:szCs w:val="21"/>
                <w:highlight w:val="none"/>
              </w:rPr>
            </w:pPr>
          </w:p>
        </w:tc>
        <w:tc>
          <w:tcPr>
            <w:tcW w:w="684" w:type="dxa"/>
          </w:tcPr>
          <w:p>
            <w:pPr>
              <w:adjustRightInd w:val="0"/>
              <w:spacing w:line="440" w:lineRule="exact"/>
              <w:textAlignment w:val="baseline"/>
              <w:rPr>
                <w:color w:val="auto"/>
                <w:sz w:val="21"/>
                <w:szCs w:val="21"/>
                <w:highlight w:val="none"/>
              </w:rPr>
            </w:pPr>
          </w:p>
        </w:tc>
        <w:tc>
          <w:tcPr>
            <w:tcW w:w="684" w:type="dxa"/>
          </w:tcPr>
          <w:p>
            <w:pPr>
              <w:adjustRightInd w:val="0"/>
              <w:spacing w:line="440" w:lineRule="exact"/>
              <w:textAlignment w:val="baseline"/>
              <w:rPr>
                <w:color w:val="auto"/>
                <w:sz w:val="21"/>
                <w:szCs w:val="21"/>
                <w:highlight w:val="none"/>
              </w:rPr>
            </w:pPr>
          </w:p>
        </w:tc>
        <w:tc>
          <w:tcPr>
            <w:tcW w:w="684" w:type="dxa"/>
          </w:tcPr>
          <w:p>
            <w:pPr>
              <w:adjustRightInd w:val="0"/>
              <w:spacing w:line="440" w:lineRule="exact"/>
              <w:textAlignment w:val="baseline"/>
              <w:rPr>
                <w:color w:val="auto"/>
                <w:sz w:val="21"/>
                <w:szCs w:val="21"/>
                <w:highlight w:val="none"/>
              </w:rPr>
            </w:pPr>
          </w:p>
        </w:tc>
        <w:tc>
          <w:tcPr>
            <w:tcW w:w="688" w:type="dxa"/>
          </w:tcPr>
          <w:p>
            <w:pPr>
              <w:adjustRightInd w:val="0"/>
              <w:spacing w:line="440" w:lineRule="exact"/>
              <w:textAlignment w:val="baseline"/>
              <w:rPr>
                <w:color w:val="auto"/>
                <w:sz w:val="21"/>
                <w:szCs w:val="21"/>
                <w:highlight w:val="none"/>
              </w:rPr>
            </w:pPr>
          </w:p>
        </w:tc>
        <w:tc>
          <w:tcPr>
            <w:tcW w:w="684" w:type="dxa"/>
          </w:tcPr>
          <w:p>
            <w:pPr>
              <w:adjustRightInd w:val="0"/>
              <w:spacing w:line="440" w:lineRule="exact"/>
              <w:textAlignment w:val="baseline"/>
              <w:rPr>
                <w:color w:val="auto"/>
                <w:sz w:val="21"/>
                <w:szCs w:val="21"/>
                <w:highlight w:val="none"/>
              </w:rPr>
            </w:pPr>
          </w:p>
        </w:tc>
        <w:tc>
          <w:tcPr>
            <w:tcW w:w="684" w:type="dxa"/>
            <w:tcBorders>
              <w:right w:val="single" w:color="auto" w:sz="4" w:space="0"/>
            </w:tcBorders>
          </w:tcPr>
          <w:p>
            <w:pPr>
              <w:adjustRightInd w:val="0"/>
              <w:spacing w:line="440" w:lineRule="exact"/>
              <w:textAlignment w:val="baseline"/>
              <w:rPr>
                <w:color w:val="auto"/>
                <w:sz w:val="21"/>
                <w:szCs w:val="21"/>
                <w:highlight w:val="none"/>
              </w:rPr>
            </w:pPr>
          </w:p>
        </w:tc>
        <w:tc>
          <w:tcPr>
            <w:tcW w:w="419" w:type="dxa"/>
            <w:tcBorders>
              <w:left w:val="single" w:color="auto" w:sz="4" w:space="0"/>
              <w:right w:val="single" w:color="auto" w:sz="8" w:space="0"/>
            </w:tcBorders>
          </w:tcPr>
          <w:p>
            <w:pPr>
              <w:adjustRightInd w:val="0"/>
              <w:spacing w:line="440" w:lineRule="exact"/>
              <w:textAlignment w:val="baseline"/>
              <w:rPr>
                <w:color w:val="auto"/>
                <w:sz w:val="21"/>
                <w:szCs w:val="21"/>
                <w:highlight w:val="none"/>
              </w:rPr>
            </w:pPr>
          </w:p>
        </w:tc>
      </w:tr>
    </w:tbl>
    <w:p>
      <w:pPr>
        <w:adjustRightInd w:val="0"/>
        <w:spacing w:line="360" w:lineRule="auto"/>
        <w:jc w:val="right"/>
        <w:textAlignment w:val="baseline"/>
        <w:rPr>
          <w:rFonts w:hAnsi="Times New Roman"/>
          <w:color w:val="auto"/>
          <w:kern w:val="2"/>
          <w:sz w:val="21"/>
          <w:szCs w:val="22"/>
          <w:highlight w:val="none"/>
        </w:rPr>
      </w:pPr>
    </w:p>
    <w:p>
      <w:pPr>
        <w:spacing w:beforeLines="100" w:afterLines="100" w:line="360" w:lineRule="auto"/>
        <w:rPr>
          <w:rFonts w:ascii="Times New Roman" w:hAnsi="Times New Roman"/>
          <w:color w:val="auto"/>
          <w:kern w:val="1"/>
          <w:sz w:val="21"/>
          <w:szCs w:val="21"/>
          <w:highlight w:val="none"/>
        </w:rPr>
      </w:pPr>
      <w:r>
        <w:rPr>
          <w:rFonts w:cs="宋体"/>
          <w:color w:val="auto"/>
          <w:kern w:val="1"/>
          <w:sz w:val="23"/>
          <w:szCs w:val="23"/>
          <w:highlight w:val="none"/>
        </w:rPr>
        <w:br w:type="page"/>
      </w:r>
      <w:r>
        <w:rPr>
          <w:rFonts w:ascii="黑体" w:hAnsi="黑体" w:eastAsia="黑体"/>
          <w:color w:val="auto"/>
          <w:sz w:val="21"/>
          <w:szCs w:val="21"/>
          <w:highlight w:val="none"/>
        </w:rPr>
        <w:t>投标人基本情况表附件</w:t>
      </w:r>
      <w:r>
        <w:rPr>
          <w:rFonts w:hint="eastAsia" w:ascii="黑体" w:hAnsi="黑体" w:eastAsia="黑体"/>
          <w:color w:val="auto"/>
          <w:sz w:val="21"/>
          <w:szCs w:val="21"/>
          <w:highlight w:val="none"/>
        </w:rPr>
        <w:t>3、信用证明</w:t>
      </w:r>
      <w:r>
        <w:rPr>
          <w:rFonts w:ascii="黑体" w:hAnsi="黑体" w:eastAsia="黑体"/>
          <w:color w:val="auto"/>
          <w:position w:val="-2"/>
          <w:sz w:val="21"/>
          <w:szCs w:val="21"/>
          <w:highlight w:val="none"/>
          <w:vertAlign w:val="superscript"/>
        </w:rPr>
        <w:footnoteReference w:id="34"/>
      </w:r>
      <w:r>
        <w:rPr>
          <w:rFonts w:ascii="黑体" w:hAnsi="黑体" w:eastAsia="黑体"/>
          <w:color w:val="auto"/>
          <w:sz w:val="21"/>
          <w:szCs w:val="21"/>
          <w:highlight w:val="none"/>
        </w:rPr>
        <w:t>：</w:t>
      </w:r>
    </w:p>
    <w:p>
      <w:pPr>
        <w:tabs>
          <w:tab w:val="left" w:pos="0"/>
          <w:tab w:val="left" w:pos="567"/>
          <w:tab w:val="left" w:pos="993"/>
          <w:tab w:val="left" w:pos="1134"/>
        </w:tabs>
        <w:snapToGrid w:val="0"/>
        <w:spacing w:beforeLines="100" w:afterLines="100" w:line="360" w:lineRule="auto"/>
        <w:jc w:val="left"/>
        <w:rPr>
          <w:rFonts w:hAnsi="Times New Roman"/>
          <w:b/>
          <w:color w:val="auto"/>
          <w:sz w:val="30"/>
          <w:szCs w:val="30"/>
          <w:highlight w:val="none"/>
        </w:rPr>
      </w:pPr>
      <w:r>
        <w:rPr>
          <w:rFonts w:hint="eastAsia" w:cs="宋体"/>
          <w:color w:val="auto"/>
          <w:kern w:val="1"/>
          <w:sz w:val="21"/>
          <w:szCs w:val="24"/>
          <w:highlight w:val="none"/>
        </w:rPr>
        <w:t xml:space="preserve">    </w:t>
      </w:r>
      <w:r>
        <w:rPr>
          <w:rFonts w:cs="宋体"/>
          <w:color w:val="auto"/>
          <w:kern w:val="1"/>
          <w:sz w:val="21"/>
          <w:szCs w:val="24"/>
          <w:highlight w:val="none"/>
        </w:rPr>
        <w:br w:type="page"/>
      </w:r>
      <w:r>
        <w:rPr>
          <w:rFonts w:ascii="黑体" w:hAnsi="黑体" w:eastAsia="黑体"/>
          <w:color w:val="auto"/>
          <w:sz w:val="21"/>
          <w:szCs w:val="21"/>
          <w:highlight w:val="none"/>
        </w:rPr>
        <w:t>投标人基本情况表附件</w:t>
      </w:r>
      <w:r>
        <w:rPr>
          <w:rFonts w:hint="eastAsia" w:ascii="黑体" w:hAnsi="黑体" w:eastAsia="黑体"/>
          <w:color w:val="auto"/>
          <w:sz w:val="21"/>
          <w:szCs w:val="21"/>
          <w:highlight w:val="none"/>
        </w:rPr>
        <w:t>4、项目负责人情况表及证明材料</w:t>
      </w:r>
      <w:r>
        <w:rPr>
          <w:rFonts w:ascii="黑体" w:hAnsi="黑体" w:eastAsia="黑体"/>
          <w:color w:val="auto"/>
          <w:position w:val="-2"/>
          <w:sz w:val="21"/>
          <w:szCs w:val="21"/>
          <w:highlight w:val="none"/>
          <w:vertAlign w:val="superscript"/>
        </w:rPr>
        <w:footnoteReference w:id="35"/>
      </w:r>
      <w:r>
        <w:rPr>
          <w:rFonts w:ascii="黑体" w:hAnsi="黑体" w:eastAsia="黑体"/>
          <w:color w:val="auto"/>
          <w:sz w:val="21"/>
          <w:szCs w:val="21"/>
          <w:highlight w:val="none"/>
        </w:rPr>
        <w:t>：</w:t>
      </w:r>
    </w:p>
    <w:tbl>
      <w:tblPr>
        <w:tblStyle w:val="60"/>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5"/>
        <w:gridCol w:w="954"/>
        <w:gridCol w:w="1867"/>
        <w:gridCol w:w="939"/>
        <w:gridCol w:w="1781"/>
        <w:gridCol w:w="107"/>
        <w:gridCol w:w="21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1265" w:type="dxa"/>
            <w:vAlign w:val="center"/>
          </w:tcPr>
          <w:p>
            <w:pPr>
              <w:adjustRightInd w:val="0"/>
              <w:spacing w:line="360" w:lineRule="atLeast"/>
              <w:jc w:val="center"/>
              <w:textAlignment w:val="baseline"/>
              <w:rPr>
                <w:color w:val="auto"/>
                <w:sz w:val="21"/>
                <w:szCs w:val="21"/>
                <w:highlight w:val="none"/>
              </w:rPr>
            </w:pPr>
            <w:r>
              <w:rPr>
                <w:rFonts w:hint="eastAsia"/>
                <w:color w:val="auto"/>
                <w:sz w:val="21"/>
                <w:szCs w:val="21"/>
                <w:highlight w:val="none"/>
              </w:rPr>
              <w:t>姓  名</w:t>
            </w:r>
          </w:p>
        </w:tc>
        <w:tc>
          <w:tcPr>
            <w:tcW w:w="954" w:type="dxa"/>
            <w:vAlign w:val="center"/>
          </w:tcPr>
          <w:p>
            <w:pPr>
              <w:adjustRightInd w:val="0"/>
              <w:spacing w:line="360" w:lineRule="atLeast"/>
              <w:jc w:val="center"/>
              <w:textAlignment w:val="baseline"/>
              <w:rPr>
                <w:color w:val="auto"/>
                <w:sz w:val="21"/>
                <w:szCs w:val="21"/>
                <w:highlight w:val="none"/>
              </w:rPr>
            </w:pPr>
          </w:p>
        </w:tc>
        <w:tc>
          <w:tcPr>
            <w:tcW w:w="1867" w:type="dxa"/>
            <w:vAlign w:val="center"/>
          </w:tcPr>
          <w:p>
            <w:pPr>
              <w:adjustRightInd w:val="0"/>
              <w:spacing w:line="360" w:lineRule="atLeast"/>
              <w:jc w:val="center"/>
              <w:textAlignment w:val="baseline"/>
              <w:rPr>
                <w:color w:val="auto"/>
                <w:sz w:val="21"/>
                <w:szCs w:val="21"/>
                <w:highlight w:val="none"/>
              </w:rPr>
            </w:pPr>
            <w:r>
              <w:rPr>
                <w:rFonts w:hint="eastAsia"/>
                <w:color w:val="auto"/>
                <w:sz w:val="21"/>
                <w:szCs w:val="21"/>
                <w:highlight w:val="none"/>
              </w:rPr>
              <w:t>身份证号码</w:t>
            </w:r>
          </w:p>
        </w:tc>
        <w:tc>
          <w:tcPr>
            <w:tcW w:w="4948" w:type="dxa"/>
            <w:gridSpan w:val="4"/>
            <w:vAlign w:val="center"/>
          </w:tcPr>
          <w:p>
            <w:pPr>
              <w:adjustRightInd w:val="0"/>
              <w:spacing w:line="360" w:lineRule="atLeast"/>
              <w:jc w:val="center"/>
              <w:textAlignment w:val="baseline"/>
              <w:rPr>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1265" w:type="dxa"/>
            <w:vAlign w:val="center"/>
          </w:tcPr>
          <w:p>
            <w:pPr>
              <w:adjustRightInd w:val="0"/>
              <w:spacing w:line="360" w:lineRule="atLeast"/>
              <w:jc w:val="center"/>
              <w:textAlignment w:val="baseline"/>
              <w:rPr>
                <w:color w:val="auto"/>
                <w:sz w:val="21"/>
                <w:szCs w:val="21"/>
                <w:highlight w:val="none"/>
              </w:rPr>
            </w:pPr>
            <w:r>
              <w:rPr>
                <w:rFonts w:hint="eastAsia"/>
                <w:color w:val="auto"/>
                <w:sz w:val="21"/>
                <w:szCs w:val="21"/>
                <w:highlight w:val="none"/>
              </w:rPr>
              <w:t>职  称</w:t>
            </w:r>
          </w:p>
        </w:tc>
        <w:tc>
          <w:tcPr>
            <w:tcW w:w="954" w:type="dxa"/>
            <w:vAlign w:val="center"/>
          </w:tcPr>
          <w:p>
            <w:pPr>
              <w:adjustRightInd w:val="0"/>
              <w:spacing w:line="360" w:lineRule="atLeast"/>
              <w:jc w:val="center"/>
              <w:textAlignment w:val="baseline"/>
              <w:rPr>
                <w:color w:val="auto"/>
                <w:sz w:val="21"/>
                <w:szCs w:val="21"/>
                <w:highlight w:val="none"/>
              </w:rPr>
            </w:pPr>
          </w:p>
        </w:tc>
        <w:tc>
          <w:tcPr>
            <w:tcW w:w="1867" w:type="dxa"/>
            <w:vAlign w:val="center"/>
          </w:tcPr>
          <w:p>
            <w:pPr>
              <w:adjustRightInd w:val="0"/>
              <w:spacing w:line="360" w:lineRule="atLeast"/>
              <w:jc w:val="center"/>
              <w:textAlignment w:val="baseline"/>
              <w:rPr>
                <w:color w:val="auto"/>
                <w:sz w:val="21"/>
                <w:szCs w:val="21"/>
                <w:highlight w:val="none"/>
              </w:rPr>
            </w:pPr>
            <w:r>
              <w:rPr>
                <w:rFonts w:hint="eastAsia"/>
                <w:color w:val="auto"/>
                <w:sz w:val="21"/>
                <w:szCs w:val="21"/>
                <w:highlight w:val="none"/>
              </w:rPr>
              <w:t>职称证书编号</w:t>
            </w:r>
          </w:p>
        </w:tc>
        <w:tc>
          <w:tcPr>
            <w:tcW w:w="939" w:type="dxa"/>
            <w:vAlign w:val="center"/>
          </w:tcPr>
          <w:p>
            <w:pPr>
              <w:adjustRightInd w:val="0"/>
              <w:spacing w:line="360" w:lineRule="atLeast"/>
              <w:jc w:val="center"/>
              <w:textAlignment w:val="baseline"/>
              <w:rPr>
                <w:color w:val="auto"/>
                <w:sz w:val="21"/>
                <w:szCs w:val="21"/>
                <w:highlight w:val="none"/>
              </w:rPr>
            </w:pPr>
          </w:p>
        </w:tc>
        <w:tc>
          <w:tcPr>
            <w:tcW w:w="1888" w:type="dxa"/>
            <w:gridSpan w:val="2"/>
            <w:vAlign w:val="center"/>
          </w:tcPr>
          <w:p>
            <w:pPr>
              <w:adjustRightInd w:val="0"/>
              <w:spacing w:line="360" w:lineRule="atLeast"/>
              <w:jc w:val="center"/>
              <w:textAlignment w:val="baseline"/>
              <w:rPr>
                <w:color w:val="auto"/>
                <w:sz w:val="21"/>
                <w:szCs w:val="21"/>
                <w:highlight w:val="none"/>
              </w:rPr>
            </w:pPr>
            <w:r>
              <w:rPr>
                <w:rFonts w:hint="eastAsia"/>
                <w:color w:val="auto"/>
                <w:sz w:val="21"/>
                <w:szCs w:val="21"/>
                <w:highlight w:val="none"/>
              </w:rPr>
              <w:t>性别</w:t>
            </w:r>
          </w:p>
        </w:tc>
        <w:tc>
          <w:tcPr>
            <w:tcW w:w="2121" w:type="dxa"/>
            <w:vAlign w:val="center"/>
          </w:tcPr>
          <w:p>
            <w:pPr>
              <w:adjustRightInd w:val="0"/>
              <w:spacing w:line="360" w:lineRule="atLeast"/>
              <w:jc w:val="center"/>
              <w:textAlignment w:val="baseline"/>
              <w:rPr>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4086" w:type="dxa"/>
            <w:gridSpan w:val="3"/>
            <w:vAlign w:val="center"/>
          </w:tcPr>
          <w:p>
            <w:pPr>
              <w:adjustRightInd w:val="0"/>
              <w:spacing w:line="360" w:lineRule="atLeast"/>
              <w:jc w:val="center"/>
              <w:textAlignment w:val="baseline"/>
              <w:rPr>
                <w:color w:val="auto"/>
                <w:sz w:val="21"/>
                <w:szCs w:val="21"/>
                <w:highlight w:val="none"/>
              </w:rPr>
            </w:pPr>
            <w:r>
              <w:rPr>
                <w:rFonts w:hint="eastAsia"/>
                <w:color w:val="auto"/>
                <w:sz w:val="21"/>
                <w:szCs w:val="21"/>
                <w:highlight w:val="none"/>
              </w:rPr>
              <w:t>注册建造师执业资格等级</w:t>
            </w:r>
          </w:p>
        </w:tc>
        <w:tc>
          <w:tcPr>
            <w:tcW w:w="939" w:type="dxa"/>
            <w:vAlign w:val="center"/>
          </w:tcPr>
          <w:p>
            <w:pPr>
              <w:adjustRightInd w:val="0"/>
              <w:spacing w:line="360" w:lineRule="atLeast"/>
              <w:jc w:val="center"/>
              <w:textAlignment w:val="baseline"/>
              <w:rPr>
                <w:color w:val="auto"/>
                <w:sz w:val="21"/>
                <w:szCs w:val="21"/>
                <w:highlight w:val="none"/>
              </w:rPr>
            </w:pPr>
            <w:r>
              <w:rPr>
                <w:rFonts w:hint="eastAsia"/>
                <w:color w:val="auto"/>
                <w:sz w:val="21"/>
                <w:szCs w:val="21"/>
                <w:highlight w:val="none"/>
              </w:rPr>
              <w:t xml:space="preserve">   级</w:t>
            </w:r>
          </w:p>
        </w:tc>
        <w:tc>
          <w:tcPr>
            <w:tcW w:w="1888" w:type="dxa"/>
            <w:gridSpan w:val="2"/>
            <w:vAlign w:val="center"/>
          </w:tcPr>
          <w:p>
            <w:pPr>
              <w:adjustRightInd w:val="0"/>
              <w:spacing w:line="360" w:lineRule="atLeast"/>
              <w:jc w:val="center"/>
              <w:textAlignment w:val="baseline"/>
              <w:rPr>
                <w:color w:val="auto"/>
                <w:sz w:val="21"/>
                <w:szCs w:val="21"/>
                <w:highlight w:val="none"/>
              </w:rPr>
            </w:pPr>
            <w:r>
              <w:rPr>
                <w:rFonts w:hint="eastAsia"/>
                <w:color w:val="auto"/>
                <w:sz w:val="21"/>
                <w:szCs w:val="21"/>
                <w:highlight w:val="none"/>
              </w:rPr>
              <w:t>建造师专业</w:t>
            </w:r>
          </w:p>
        </w:tc>
        <w:tc>
          <w:tcPr>
            <w:tcW w:w="2121" w:type="dxa"/>
            <w:vAlign w:val="center"/>
          </w:tcPr>
          <w:p>
            <w:pPr>
              <w:adjustRightInd w:val="0"/>
              <w:spacing w:line="360" w:lineRule="atLeast"/>
              <w:jc w:val="center"/>
              <w:textAlignment w:val="baseline"/>
              <w:rPr>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6" w:hRule="atLeast"/>
        </w:trPr>
        <w:tc>
          <w:tcPr>
            <w:tcW w:w="4086" w:type="dxa"/>
            <w:gridSpan w:val="3"/>
            <w:vAlign w:val="center"/>
          </w:tcPr>
          <w:p>
            <w:pPr>
              <w:adjustRightInd w:val="0"/>
              <w:spacing w:line="560" w:lineRule="exact"/>
              <w:jc w:val="center"/>
              <w:textAlignment w:val="baseline"/>
              <w:rPr>
                <w:color w:val="auto"/>
                <w:sz w:val="21"/>
                <w:szCs w:val="21"/>
                <w:highlight w:val="none"/>
              </w:rPr>
            </w:pPr>
            <w:r>
              <w:rPr>
                <w:rFonts w:hint="eastAsia"/>
                <w:color w:val="auto"/>
                <w:sz w:val="21"/>
                <w:szCs w:val="21"/>
                <w:highlight w:val="none"/>
              </w:rPr>
              <w:t>建造师注册编号</w:t>
            </w:r>
          </w:p>
        </w:tc>
        <w:tc>
          <w:tcPr>
            <w:tcW w:w="939" w:type="dxa"/>
            <w:vAlign w:val="center"/>
          </w:tcPr>
          <w:p>
            <w:pPr>
              <w:adjustRightInd w:val="0"/>
              <w:spacing w:line="360" w:lineRule="atLeast"/>
              <w:jc w:val="center"/>
              <w:textAlignment w:val="baseline"/>
              <w:rPr>
                <w:color w:val="auto"/>
                <w:sz w:val="21"/>
                <w:szCs w:val="21"/>
                <w:highlight w:val="none"/>
              </w:rPr>
            </w:pPr>
          </w:p>
        </w:tc>
        <w:tc>
          <w:tcPr>
            <w:tcW w:w="1888" w:type="dxa"/>
            <w:gridSpan w:val="2"/>
            <w:vAlign w:val="center"/>
          </w:tcPr>
          <w:p>
            <w:pPr>
              <w:adjustRightInd w:val="0"/>
              <w:spacing w:line="360" w:lineRule="atLeast"/>
              <w:jc w:val="center"/>
              <w:textAlignment w:val="baseline"/>
              <w:rPr>
                <w:color w:val="auto"/>
                <w:sz w:val="21"/>
                <w:szCs w:val="21"/>
                <w:highlight w:val="none"/>
              </w:rPr>
            </w:pPr>
            <w:r>
              <w:rPr>
                <w:rFonts w:hint="eastAsia"/>
                <w:color w:val="auto"/>
                <w:sz w:val="21"/>
                <w:szCs w:val="21"/>
                <w:highlight w:val="none"/>
              </w:rPr>
              <w:t>安全生产考核合格证书</w:t>
            </w:r>
          </w:p>
        </w:tc>
        <w:tc>
          <w:tcPr>
            <w:tcW w:w="2121" w:type="dxa"/>
            <w:vAlign w:val="center"/>
          </w:tcPr>
          <w:p>
            <w:pPr>
              <w:adjustRightInd w:val="0"/>
              <w:spacing w:line="360" w:lineRule="atLeast"/>
              <w:jc w:val="center"/>
              <w:textAlignment w:val="baseline"/>
              <w:rPr>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6" w:hRule="atLeast"/>
        </w:trPr>
        <w:tc>
          <w:tcPr>
            <w:tcW w:w="4086" w:type="dxa"/>
            <w:gridSpan w:val="3"/>
            <w:vAlign w:val="center"/>
          </w:tcPr>
          <w:p>
            <w:pPr>
              <w:adjustRightInd w:val="0"/>
              <w:spacing w:line="360" w:lineRule="auto"/>
              <w:jc w:val="center"/>
              <w:textAlignment w:val="baseline"/>
              <w:rPr>
                <w:color w:val="auto"/>
                <w:sz w:val="21"/>
                <w:szCs w:val="21"/>
                <w:highlight w:val="none"/>
              </w:rPr>
            </w:pPr>
            <w:r>
              <w:rPr>
                <w:rFonts w:hint="eastAsia"/>
                <w:color w:val="auto"/>
                <w:sz w:val="21"/>
                <w:szCs w:val="21"/>
                <w:highlight w:val="none"/>
              </w:rPr>
              <w:t>建造师注册证书使用有效期</w:t>
            </w:r>
          </w:p>
          <w:p>
            <w:pPr>
              <w:adjustRightInd w:val="0"/>
              <w:spacing w:line="360" w:lineRule="auto"/>
              <w:jc w:val="center"/>
              <w:textAlignment w:val="baseline"/>
              <w:rPr>
                <w:color w:val="auto"/>
                <w:sz w:val="21"/>
                <w:szCs w:val="21"/>
                <w:highlight w:val="none"/>
              </w:rPr>
            </w:pPr>
            <w:r>
              <w:rPr>
                <w:rFonts w:hint="eastAsia"/>
                <w:color w:val="auto"/>
                <w:sz w:val="21"/>
                <w:szCs w:val="21"/>
                <w:highlight w:val="none"/>
              </w:rPr>
              <w:t>（若有）</w:t>
            </w:r>
          </w:p>
        </w:tc>
        <w:tc>
          <w:tcPr>
            <w:tcW w:w="4948" w:type="dxa"/>
            <w:gridSpan w:val="4"/>
            <w:vAlign w:val="center"/>
          </w:tcPr>
          <w:p>
            <w:pPr>
              <w:adjustRightInd w:val="0"/>
              <w:spacing w:line="360" w:lineRule="atLeast"/>
              <w:jc w:val="center"/>
              <w:textAlignment w:val="baseline"/>
              <w:rPr>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4086" w:type="dxa"/>
            <w:gridSpan w:val="3"/>
            <w:vAlign w:val="center"/>
          </w:tcPr>
          <w:p>
            <w:pPr>
              <w:adjustRightInd w:val="0"/>
              <w:spacing w:line="360" w:lineRule="atLeast"/>
              <w:jc w:val="center"/>
              <w:textAlignment w:val="baseline"/>
              <w:rPr>
                <w:color w:val="auto"/>
                <w:sz w:val="21"/>
                <w:szCs w:val="21"/>
                <w:highlight w:val="none"/>
              </w:rPr>
            </w:pPr>
            <w:r>
              <w:rPr>
                <w:rFonts w:hint="eastAsia"/>
                <w:color w:val="auto"/>
                <w:sz w:val="21"/>
                <w:szCs w:val="21"/>
                <w:highlight w:val="none"/>
              </w:rPr>
              <w:t>手机号码</w:t>
            </w:r>
          </w:p>
        </w:tc>
        <w:tc>
          <w:tcPr>
            <w:tcW w:w="939" w:type="dxa"/>
            <w:tcBorders>
              <w:right w:val="single" w:color="auto" w:sz="4" w:space="0"/>
            </w:tcBorders>
            <w:vAlign w:val="center"/>
          </w:tcPr>
          <w:p>
            <w:pPr>
              <w:adjustRightInd w:val="0"/>
              <w:spacing w:line="360" w:lineRule="atLeast"/>
              <w:jc w:val="center"/>
              <w:textAlignment w:val="baseline"/>
              <w:rPr>
                <w:color w:val="auto"/>
                <w:sz w:val="21"/>
                <w:szCs w:val="21"/>
                <w:highlight w:val="none"/>
              </w:rPr>
            </w:pPr>
          </w:p>
        </w:tc>
        <w:tc>
          <w:tcPr>
            <w:tcW w:w="1888" w:type="dxa"/>
            <w:gridSpan w:val="2"/>
            <w:tcBorders>
              <w:left w:val="single" w:color="auto" w:sz="4" w:space="0"/>
              <w:right w:val="single" w:color="auto" w:sz="4" w:space="0"/>
            </w:tcBorders>
            <w:vAlign w:val="center"/>
          </w:tcPr>
          <w:p>
            <w:pPr>
              <w:adjustRightInd w:val="0"/>
              <w:spacing w:line="360" w:lineRule="atLeast"/>
              <w:jc w:val="center"/>
              <w:textAlignment w:val="baseline"/>
              <w:rPr>
                <w:color w:val="auto"/>
                <w:sz w:val="21"/>
                <w:szCs w:val="21"/>
                <w:highlight w:val="none"/>
              </w:rPr>
            </w:pPr>
            <w:r>
              <w:rPr>
                <w:rFonts w:hint="eastAsia"/>
                <w:color w:val="auto"/>
                <w:sz w:val="21"/>
                <w:szCs w:val="21"/>
                <w:highlight w:val="none"/>
              </w:rPr>
              <w:t>最高学历</w:t>
            </w:r>
          </w:p>
        </w:tc>
        <w:tc>
          <w:tcPr>
            <w:tcW w:w="2121" w:type="dxa"/>
            <w:tcBorders>
              <w:left w:val="single" w:color="auto" w:sz="4" w:space="0"/>
            </w:tcBorders>
            <w:vAlign w:val="center"/>
          </w:tcPr>
          <w:p>
            <w:pPr>
              <w:adjustRightInd w:val="0"/>
              <w:spacing w:line="360" w:lineRule="atLeast"/>
              <w:jc w:val="center"/>
              <w:textAlignment w:val="baseline"/>
              <w:rPr>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1265" w:type="dxa"/>
            <w:vAlign w:val="center"/>
          </w:tcPr>
          <w:p>
            <w:pPr>
              <w:adjustRightInd w:val="0"/>
              <w:spacing w:line="360" w:lineRule="atLeast"/>
              <w:jc w:val="center"/>
              <w:textAlignment w:val="baseline"/>
              <w:rPr>
                <w:color w:val="auto"/>
                <w:sz w:val="21"/>
                <w:szCs w:val="21"/>
                <w:highlight w:val="none"/>
              </w:rPr>
            </w:pPr>
            <w:r>
              <w:rPr>
                <w:rFonts w:hint="eastAsia"/>
                <w:color w:val="auto"/>
                <w:sz w:val="21"/>
                <w:szCs w:val="21"/>
                <w:highlight w:val="none"/>
              </w:rPr>
              <w:t>毕业学校</w:t>
            </w:r>
          </w:p>
        </w:tc>
        <w:tc>
          <w:tcPr>
            <w:tcW w:w="7769" w:type="dxa"/>
            <w:gridSpan w:val="6"/>
            <w:vAlign w:val="center"/>
          </w:tcPr>
          <w:p>
            <w:pPr>
              <w:adjustRightInd w:val="0"/>
              <w:spacing w:line="360" w:lineRule="atLeast"/>
              <w:ind w:firstLine="840" w:firstLineChars="400"/>
              <w:textAlignment w:val="baseline"/>
              <w:rPr>
                <w:color w:val="auto"/>
                <w:sz w:val="21"/>
                <w:szCs w:val="21"/>
                <w:highlight w:val="none"/>
              </w:rPr>
            </w:pPr>
            <w:r>
              <w:rPr>
                <w:rFonts w:hint="eastAsia"/>
                <w:color w:val="auto"/>
                <w:sz w:val="21"/>
                <w:szCs w:val="21"/>
                <w:highlight w:val="none"/>
              </w:rPr>
              <w:t>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9034" w:type="dxa"/>
            <w:gridSpan w:val="7"/>
            <w:vAlign w:val="center"/>
          </w:tcPr>
          <w:p>
            <w:pPr>
              <w:adjustRightInd w:val="0"/>
              <w:spacing w:line="360" w:lineRule="atLeast"/>
              <w:jc w:val="center"/>
              <w:textAlignment w:val="baseline"/>
              <w:rPr>
                <w:color w:val="auto"/>
                <w:sz w:val="21"/>
                <w:szCs w:val="21"/>
                <w:highlight w:val="none"/>
              </w:rPr>
            </w:pPr>
            <w:r>
              <w:rPr>
                <w:rFonts w:hint="eastAsia"/>
                <w:color w:val="auto"/>
                <w:sz w:val="21"/>
                <w:szCs w:val="21"/>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1265" w:type="dxa"/>
            <w:vAlign w:val="center"/>
          </w:tcPr>
          <w:p>
            <w:pPr>
              <w:adjustRightInd w:val="0"/>
              <w:spacing w:line="360" w:lineRule="atLeast"/>
              <w:jc w:val="center"/>
              <w:textAlignment w:val="baseline"/>
              <w:rPr>
                <w:color w:val="auto"/>
                <w:sz w:val="21"/>
                <w:szCs w:val="21"/>
                <w:highlight w:val="none"/>
              </w:rPr>
            </w:pPr>
            <w:r>
              <w:rPr>
                <w:rFonts w:hint="eastAsia"/>
                <w:color w:val="auto"/>
                <w:sz w:val="21"/>
                <w:szCs w:val="21"/>
                <w:highlight w:val="none"/>
              </w:rPr>
              <w:t>时  间</w:t>
            </w:r>
          </w:p>
        </w:tc>
        <w:tc>
          <w:tcPr>
            <w:tcW w:w="3760" w:type="dxa"/>
            <w:gridSpan w:val="3"/>
            <w:vAlign w:val="center"/>
          </w:tcPr>
          <w:p>
            <w:pPr>
              <w:adjustRightInd w:val="0"/>
              <w:spacing w:line="360" w:lineRule="atLeast"/>
              <w:jc w:val="center"/>
              <w:textAlignment w:val="baseline"/>
              <w:rPr>
                <w:color w:val="auto"/>
                <w:sz w:val="21"/>
                <w:szCs w:val="21"/>
                <w:highlight w:val="none"/>
              </w:rPr>
            </w:pPr>
            <w:r>
              <w:rPr>
                <w:rFonts w:hint="eastAsia"/>
                <w:color w:val="auto"/>
                <w:sz w:val="21"/>
                <w:szCs w:val="21"/>
                <w:highlight w:val="none"/>
              </w:rPr>
              <w:t>参加过的类似项目名称</w:t>
            </w:r>
          </w:p>
        </w:tc>
        <w:tc>
          <w:tcPr>
            <w:tcW w:w="1781" w:type="dxa"/>
            <w:vAlign w:val="center"/>
          </w:tcPr>
          <w:p>
            <w:pPr>
              <w:adjustRightInd w:val="0"/>
              <w:spacing w:line="360" w:lineRule="atLeast"/>
              <w:jc w:val="center"/>
              <w:textAlignment w:val="baseline"/>
              <w:rPr>
                <w:color w:val="auto"/>
                <w:sz w:val="21"/>
                <w:szCs w:val="21"/>
                <w:highlight w:val="none"/>
              </w:rPr>
            </w:pPr>
            <w:r>
              <w:rPr>
                <w:rFonts w:hint="eastAsia"/>
                <w:color w:val="auto"/>
                <w:sz w:val="21"/>
                <w:szCs w:val="21"/>
                <w:highlight w:val="none"/>
              </w:rPr>
              <w:t>工程概况说明</w:t>
            </w:r>
          </w:p>
        </w:tc>
        <w:tc>
          <w:tcPr>
            <w:tcW w:w="2228" w:type="dxa"/>
            <w:gridSpan w:val="2"/>
            <w:vAlign w:val="center"/>
          </w:tcPr>
          <w:p>
            <w:pPr>
              <w:adjustRightInd w:val="0"/>
              <w:spacing w:line="360" w:lineRule="atLeast"/>
              <w:jc w:val="center"/>
              <w:textAlignment w:val="baseline"/>
              <w:rPr>
                <w:color w:val="auto"/>
                <w:sz w:val="21"/>
                <w:szCs w:val="21"/>
                <w:highlight w:val="none"/>
              </w:rPr>
            </w:pPr>
            <w:r>
              <w:rPr>
                <w:rFonts w:hint="eastAsia"/>
                <w:color w:val="auto"/>
                <w:sz w:val="21"/>
                <w:szCs w:val="21"/>
                <w:highlight w:val="none"/>
              </w:rPr>
              <w:t>发包人名称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 w:hRule="atLeast"/>
        </w:trPr>
        <w:tc>
          <w:tcPr>
            <w:tcW w:w="1265" w:type="dxa"/>
            <w:vAlign w:val="center"/>
          </w:tcPr>
          <w:p>
            <w:pPr>
              <w:adjustRightInd w:val="0"/>
              <w:spacing w:line="360" w:lineRule="atLeast"/>
              <w:jc w:val="center"/>
              <w:textAlignment w:val="baseline"/>
              <w:rPr>
                <w:color w:val="auto"/>
                <w:sz w:val="21"/>
                <w:szCs w:val="21"/>
                <w:highlight w:val="none"/>
              </w:rPr>
            </w:pPr>
          </w:p>
        </w:tc>
        <w:tc>
          <w:tcPr>
            <w:tcW w:w="3760" w:type="dxa"/>
            <w:gridSpan w:val="3"/>
            <w:vAlign w:val="center"/>
          </w:tcPr>
          <w:p>
            <w:pPr>
              <w:adjustRightInd w:val="0"/>
              <w:spacing w:line="360" w:lineRule="atLeast"/>
              <w:jc w:val="center"/>
              <w:textAlignment w:val="baseline"/>
              <w:rPr>
                <w:color w:val="auto"/>
                <w:sz w:val="21"/>
                <w:szCs w:val="21"/>
                <w:highlight w:val="none"/>
              </w:rPr>
            </w:pPr>
          </w:p>
        </w:tc>
        <w:tc>
          <w:tcPr>
            <w:tcW w:w="1781" w:type="dxa"/>
            <w:vAlign w:val="center"/>
          </w:tcPr>
          <w:p>
            <w:pPr>
              <w:adjustRightInd w:val="0"/>
              <w:spacing w:line="360" w:lineRule="atLeast"/>
              <w:jc w:val="center"/>
              <w:textAlignment w:val="baseline"/>
              <w:rPr>
                <w:color w:val="auto"/>
                <w:sz w:val="21"/>
                <w:szCs w:val="21"/>
                <w:highlight w:val="none"/>
              </w:rPr>
            </w:pPr>
          </w:p>
        </w:tc>
        <w:tc>
          <w:tcPr>
            <w:tcW w:w="2228" w:type="dxa"/>
            <w:gridSpan w:val="2"/>
            <w:vAlign w:val="center"/>
          </w:tcPr>
          <w:p>
            <w:pPr>
              <w:adjustRightInd w:val="0"/>
              <w:spacing w:line="360" w:lineRule="atLeast"/>
              <w:jc w:val="center"/>
              <w:textAlignment w:val="baseline"/>
              <w:rPr>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 w:hRule="atLeast"/>
        </w:trPr>
        <w:tc>
          <w:tcPr>
            <w:tcW w:w="1265" w:type="dxa"/>
            <w:vAlign w:val="center"/>
          </w:tcPr>
          <w:p>
            <w:pPr>
              <w:adjustRightInd w:val="0"/>
              <w:spacing w:line="360" w:lineRule="atLeast"/>
              <w:jc w:val="center"/>
              <w:textAlignment w:val="baseline"/>
              <w:rPr>
                <w:color w:val="auto"/>
                <w:sz w:val="21"/>
                <w:szCs w:val="21"/>
                <w:highlight w:val="none"/>
              </w:rPr>
            </w:pPr>
          </w:p>
        </w:tc>
        <w:tc>
          <w:tcPr>
            <w:tcW w:w="3760" w:type="dxa"/>
            <w:gridSpan w:val="3"/>
            <w:vAlign w:val="center"/>
          </w:tcPr>
          <w:p>
            <w:pPr>
              <w:adjustRightInd w:val="0"/>
              <w:spacing w:line="360" w:lineRule="atLeast"/>
              <w:jc w:val="center"/>
              <w:textAlignment w:val="baseline"/>
              <w:rPr>
                <w:color w:val="auto"/>
                <w:sz w:val="21"/>
                <w:szCs w:val="21"/>
                <w:highlight w:val="none"/>
              </w:rPr>
            </w:pPr>
          </w:p>
        </w:tc>
        <w:tc>
          <w:tcPr>
            <w:tcW w:w="1781" w:type="dxa"/>
            <w:vAlign w:val="center"/>
          </w:tcPr>
          <w:p>
            <w:pPr>
              <w:adjustRightInd w:val="0"/>
              <w:spacing w:line="360" w:lineRule="atLeast"/>
              <w:jc w:val="center"/>
              <w:textAlignment w:val="baseline"/>
              <w:rPr>
                <w:color w:val="auto"/>
                <w:sz w:val="21"/>
                <w:szCs w:val="21"/>
                <w:highlight w:val="none"/>
              </w:rPr>
            </w:pPr>
          </w:p>
        </w:tc>
        <w:tc>
          <w:tcPr>
            <w:tcW w:w="2228" w:type="dxa"/>
            <w:gridSpan w:val="2"/>
            <w:vAlign w:val="center"/>
          </w:tcPr>
          <w:p>
            <w:pPr>
              <w:adjustRightInd w:val="0"/>
              <w:spacing w:line="360" w:lineRule="atLeast"/>
              <w:jc w:val="center"/>
              <w:textAlignment w:val="baseline"/>
              <w:rPr>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 w:hRule="atLeast"/>
        </w:trPr>
        <w:tc>
          <w:tcPr>
            <w:tcW w:w="1265" w:type="dxa"/>
            <w:vAlign w:val="center"/>
          </w:tcPr>
          <w:p>
            <w:pPr>
              <w:adjustRightInd w:val="0"/>
              <w:spacing w:line="360" w:lineRule="atLeast"/>
              <w:jc w:val="center"/>
              <w:textAlignment w:val="baseline"/>
              <w:rPr>
                <w:color w:val="auto"/>
                <w:sz w:val="21"/>
                <w:szCs w:val="21"/>
                <w:highlight w:val="none"/>
              </w:rPr>
            </w:pPr>
          </w:p>
        </w:tc>
        <w:tc>
          <w:tcPr>
            <w:tcW w:w="3760" w:type="dxa"/>
            <w:gridSpan w:val="3"/>
            <w:vAlign w:val="center"/>
          </w:tcPr>
          <w:p>
            <w:pPr>
              <w:adjustRightInd w:val="0"/>
              <w:spacing w:line="360" w:lineRule="atLeast"/>
              <w:jc w:val="center"/>
              <w:textAlignment w:val="baseline"/>
              <w:rPr>
                <w:color w:val="auto"/>
                <w:sz w:val="21"/>
                <w:szCs w:val="21"/>
                <w:highlight w:val="none"/>
              </w:rPr>
            </w:pPr>
          </w:p>
        </w:tc>
        <w:tc>
          <w:tcPr>
            <w:tcW w:w="1781" w:type="dxa"/>
            <w:vAlign w:val="center"/>
          </w:tcPr>
          <w:p>
            <w:pPr>
              <w:adjustRightInd w:val="0"/>
              <w:spacing w:line="360" w:lineRule="atLeast"/>
              <w:jc w:val="center"/>
              <w:textAlignment w:val="baseline"/>
              <w:rPr>
                <w:color w:val="auto"/>
                <w:sz w:val="21"/>
                <w:szCs w:val="21"/>
                <w:highlight w:val="none"/>
              </w:rPr>
            </w:pPr>
          </w:p>
        </w:tc>
        <w:tc>
          <w:tcPr>
            <w:tcW w:w="2228" w:type="dxa"/>
            <w:gridSpan w:val="2"/>
            <w:vAlign w:val="center"/>
          </w:tcPr>
          <w:p>
            <w:pPr>
              <w:adjustRightInd w:val="0"/>
              <w:spacing w:line="360" w:lineRule="atLeast"/>
              <w:jc w:val="center"/>
              <w:textAlignment w:val="baseline"/>
              <w:rPr>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 w:hRule="atLeast"/>
        </w:trPr>
        <w:tc>
          <w:tcPr>
            <w:tcW w:w="1265" w:type="dxa"/>
            <w:vAlign w:val="center"/>
          </w:tcPr>
          <w:p>
            <w:pPr>
              <w:adjustRightInd w:val="0"/>
              <w:spacing w:line="360" w:lineRule="atLeast"/>
              <w:jc w:val="center"/>
              <w:textAlignment w:val="baseline"/>
              <w:rPr>
                <w:color w:val="auto"/>
                <w:sz w:val="21"/>
                <w:szCs w:val="21"/>
                <w:highlight w:val="none"/>
              </w:rPr>
            </w:pPr>
          </w:p>
        </w:tc>
        <w:tc>
          <w:tcPr>
            <w:tcW w:w="3760" w:type="dxa"/>
            <w:gridSpan w:val="3"/>
            <w:vAlign w:val="center"/>
          </w:tcPr>
          <w:p>
            <w:pPr>
              <w:adjustRightInd w:val="0"/>
              <w:spacing w:line="360" w:lineRule="atLeast"/>
              <w:jc w:val="center"/>
              <w:textAlignment w:val="baseline"/>
              <w:rPr>
                <w:color w:val="auto"/>
                <w:sz w:val="21"/>
                <w:szCs w:val="21"/>
                <w:highlight w:val="none"/>
              </w:rPr>
            </w:pPr>
          </w:p>
        </w:tc>
        <w:tc>
          <w:tcPr>
            <w:tcW w:w="1781" w:type="dxa"/>
            <w:vAlign w:val="center"/>
          </w:tcPr>
          <w:p>
            <w:pPr>
              <w:adjustRightInd w:val="0"/>
              <w:spacing w:line="360" w:lineRule="atLeast"/>
              <w:jc w:val="center"/>
              <w:textAlignment w:val="baseline"/>
              <w:rPr>
                <w:color w:val="auto"/>
                <w:sz w:val="21"/>
                <w:szCs w:val="21"/>
                <w:highlight w:val="none"/>
              </w:rPr>
            </w:pPr>
          </w:p>
        </w:tc>
        <w:tc>
          <w:tcPr>
            <w:tcW w:w="2228" w:type="dxa"/>
            <w:gridSpan w:val="2"/>
            <w:vAlign w:val="center"/>
          </w:tcPr>
          <w:p>
            <w:pPr>
              <w:adjustRightInd w:val="0"/>
              <w:spacing w:line="360" w:lineRule="atLeast"/>
              <w:jc w:val="center"/>
              <w:textAlignment w:val="baseline"/>
              <w:rPr>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 w:hRule="atLeast"/>
        </w:trPr>
        <w:tc>
          <w:tcPr>
            <w:tcW w:w="1265" w:type="dxa"/>
            <w:vAlign w:val="center"/>
          </w:tcPr>
          <w:p>
            <w:pPr>
              <w:adjustRightInd w:val="0"/>
              <w:spacing w:line="360" w:lineRule="atLeast"/>
              <w:jc w:val="center"/>
              <w:textAlignment w:val="baseline"/>
              <w:rPr>
                <w:color w:val="auto"/>
                <w:sz w:val="21"/>
                <w:szCs w:val="21"/>
                <w:highlight w:val="none"/>
              </w:rPr>
            </w:pPr>
          </w:p>
        </w:tc>
        <w:tc>
          <w:tcPr>
            <w:tcW w:w="3760" w:type="dxa"/>
            <w:gridSpan w:val="3"/>
            <w:vAlign w:val="center"/>
          </w:tcPr>
          <w:p>
            <w:pPr>
              <w:adjustRightInd w:val="0"/>
              <w:spacing w:line="360" w:lineRule="atLeast"/>
              <w:jc w:val="center"/>
              <w:textAlignment w:val="baseline"/>
              <w:rPr>
                <w:color w:val="auto"/>
                <w:sz w:val="21"/>
                <w:szCs w:val="21"/>
                <w:highlight w:val="none"/>
              </w:rPr>
            </w:pPr>
          </w:p>
        </w:tc>
        <w:tc>
          <w:tcPr>
            <w:tcW w:w="1781" w:type="dxa"/>
            <w:vAlign w:val="center"/>
          </w:tcPr>
          <w:p>
            <w:pPr>
              <w:adjustRightInd w:val="0"/>
              <w:spacing w:line="360" w:lineRule="atLeast"/>
              <w:jc w:val="center"/>
              <w:textAlignment w:val="baseline"/>
              <w:rPr>
                <w:color w:val="auto"/>
                <w:sz w:val="21"/>
                <w:szCs w:val="21"/>
                <w:highlight w:val="none"/>
              </w:rPr>
            </w:pPr>
          </w:p>
        </w:tc>
        <w:tc>
          <w:tcPr>
            <w:tcW w:w="2228" w:type="dxa"/>
            <w:gridSpan w:val="2"/>
            <w:vAlign w:val="center"/>
          </w:tcPr>
          <w:p>
            <w:pPr>
              <w:adjustRightInd w:val="0"/>
              <w:spacing w:line="360" w:lineRule="atLeast"/>
              <w:jc w:val="center"/>
              <w:textAlignment w:val="baseline"/>
              <w:rPr>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 w:hRule="atLeast"/>
        </w:trPr>
        <w:tc>
          <w:tcPr>
            <w:tcW w:w="1265" w:type="dxa"/>
            <w:vAlign w:val="center"/>
          </w:tcPr>
          <w:p>
            <w:pPr>
              <w:adjustRightInd w:val="0"/>
              <w:spacing w:line="360" w:lineRule="atLeast"/>
              <w:jc w:val="center"/>
              <w:textAlignment w:val="baseline"/>
              <w:rPr>
                <w:color w:val="auto"/>
                <w:sz w:val="21"/>
                <w:szCs w:val="21"/>
                <w:highlight w:val="none"/>
              </w:rPr>
            </w:pPr>
          </w:p>
        </w:tc>
        <w:tc>
          <w:tcPr>
            <w:tcW w:w="3760" w:type="dxa"/>
            <w:gridSpan w:val="3"/>
            <w:vAlign w:val="center"/>
          </w:tcPr>
          <w:p>
            <w:pPr>
              <w:adjustRightInd w:val="0"/>
              <w:spacing w:line="360" w:lineRule="atLeast"/>
              <w:jc w:val="center"/>
              <w:textAlignment w:val="baseline"/>
              <w:rPr>
                <w:color w:val="auto"/>
                <w:sz w:val="21"/>
                <w:szCs w:val="21"/>
                <w:highlight w:val="none"/>
              </w:rPr>
            </w:pPr>
          </w:p>
        </w:tc>
        <w:tc>
          <w:tcPr>
            <w:tcW w:w="1781" w:type="dxa"/>
            <w:vAlign w:val="center"/>
          </w:tcPr>
          <w:p>
            <w:pPr>
              <w:adjustRightInd w:val="0"/>
              <w:spacing w:line="360" w:lineRule="atLeast"/>
              <w:jc w:val="center"/>
              <w:textAlignment w:val="baseline"/>
              <w:rPr>
                <w:color w:val="auto"/>
                <w:sz w:val="21"/>
                <w:szCs w:val="21"/>
                <w:highlight w:val="none"/>
              </w:rPr>
            </w:pPr>
          </w:p>
        </w:tc>
        <w:tc>
          <w:tcPr>
            <w:tcW w:w="2228" w:type="dxa"/>
            <w:gridSpan w:val="2"/>
            <w:vAlign w:val="center"/>
          </w:tcPr>
          <w:p>
            <w:pPr>
              <w:adjustRightInd w:val="0"/>
              <w:spacing w:line="360" w:lineRule="atLeast"/>
              <w:jc w:val="center"/>
              <w:textAlignment w:val="baseline"/>
              <w:rPr>
                <w:color w:val="auto"/>
                <w:sz w:val="21"/>
                <w:szCs w:val="21"/>
                <w:highlight w:val="none"/>
              </w:rPr>
            </w:pPr>
          </w:p>
        </w:tc>
      </w:tr>
    </w:tbl>
    <w:p>
      <w:pPr>
        <w:adjustRightInd w:val="0"/>
        <w:spacing w:beforeLines="100" w:afterLines="100" w:line="360" w:lineRule="auto"/>
        <w:jc w:val="left"/>
        <w:textAlignment w:val="baseline"/>
        <w:rPr>
          <w:rFonts w:ascii="黑体" w:hAnsi="黑体" w:eastAsia="黑体"/>
          <w:color w:val="auto"/>
          <w:sz w:val="21"/>
          <w:szCs w:val="21"/>
          <w:highlight w:val="none"/>
        </w:rPr>
      </w:pPr>
    </w:p>
    <w:p>
      <w:pPr>
        <w:pStyle w:val="59"/>
        <w:ind w:left="0" w:firstLine="0"/>
        <w:rPr>
          <w:rFonts w:ascii="黑体" w:hAnsi="黑体" w:eastAsia="黑体"/>
          <w:color w:val="auto"/>
          <w:szCs w:val="21"/>
          <w:highlight w:val="none"/>
        </w:rPr>
      </w:pPr>
      <w:r>
        <w:rPr>
          <w:rFonts w:ascii="黑体" w:hAnsi="黑体" w:eastAsia="黑体"/>
          <w:color w:val="auto"/>
          <w:szCs w:val="21"/>
          <w:highlight w:val="none"/>
        </w:rPr>
        <w:t>投标人基本情况表附件</w:t>
      </w:r>
      <w:r>
        <w:rPr>
          <w:rFonts w:hint="eastAsia" w:ascii="黑体" w:hAnsi="黑体" w:eastAsia="黑体"/>
          <w:color w:val="auto"/>
          <w:szCs w:val="21"/>
          <w:highlight w:val="none"/>
        </w:rPr>
        <w:t>4、项目负责人情况表及证明材料续页（1）</w:t>
      </w:r>
    </w:p>
    <w:p>
      <w:pPr>
        <w:pStyle w:val="59"/>
        <w:ind w:left="0" w:firstLine="0"/>
        <w:rPr>
          <w:rFonts w:ascii="宋体" w:hAnsi="宋体" w:cs="宋体"/>
          <w:b/>
          <w:color w:val="auto"/>
          <w:kern w:val="0"/>
          <w:sz w:val="30"/>
          <w:szCs w:val="30"/>
          <w:highlight w:val="none"/>
        </w:rPr>
      </w:pPr>
    </w:p>
    <w:p>
      <w:pPr>
        <w:pStyle w:val="59"/>
        <w:ind w:left="0" w:firstLine="0"/>
        <w:rPr>
          <w:rFonts w:ascii="宋体" w:hAnsi="宋体" w:cs="宋体"/>
          <w:b/>
          <w:color w:val="auto"/>
          <w:kern w:val="0"/>
          <w:sz w:val="30"/>
          <w:szCs w:val="30"/>
          <w:highlight w:val="none"/>
        </w:rPr>
      </w:pPr>
    </w:p>
    <w:p>
      <w:pPr>
        <w:pStyle w:val="59"/>
        <w:ind w:left="0" w:firstLine="0"/>
        <w:rPr>
          <w:rFonts w:ascii="宋体" w:hAnsi="宋体" w:cs="宋体"/>
          <w:b/>
          <w:color w:val="auto"/>
          <w:kern w:val="0"/>
          <w:sz w:val="30"/>
          <w:szCs w:val="30"/>
          <w:highlight w:val="none"/>
        </w:rPr>
      </w:pPr>
    </w:p>
    <w:p>
      <w:pPr>
        <w:pStyle w:val="59"/>
        <w:ind w:left="0" w:firstLine="0"/>
        <w:rPr>
          <w:rFonts w:ascii="宋体" w:hAnsi="宋体" w:cs="宋体"/>
          <w:b/>
          <w:color w:val="auto"/>
          <w:kern w:val="0"/>
          <w:sz w:val="30"/>
          <w:szCs w:val="30"/>
          <w:highlight w:val="none"/>
        </w:rPr>
      </w:pPr>
    </w:p>
    <w:p>
      <w:pPr>
        <w:pStyle w:val="59"/>
        <w:ind w:left="0" w:firstLine="0"/>
        <w:jc w:val="center"/>
        <w:rPr>
          <w:color w:val="auto"/>
          <w:highlight w:val="none"/>
        </w:rPr>
      </w:pPr>
      <w:r>
        <w:rPr>
          <w:rFonts w:hint="eastAsia" w:ascii="宋体" w:hAnsi="宋体" w:cs="宋体"/>
          <w:b/>
          <w:color w:val="auto"/>
          <w:kern w:val="0"/>
          <w:szCs w:val="21"/>
          <w:highlight w:val="none"/>
        </w:rPr>
        <w:t>（项目负责人的建造师电子注册证书上传处）</w:t>
      </w:r>
      <w:r>
        <w:rPr>
          <w:rStyle w:val="74"/>
          <w:rFonts w:ascii="宋体" w:hAnsi="宋体" w:cs="宋体"/>
          <w:b/>
          <w:color w:val="auto"/>
          <w:kern w:val="0"/>
          <w:sz w:val="30"/>
          <w:szCs w:val="30"/>
          <w:highlight w:val="none"/>
        </w:rPr>
        <w:footnoteReference w:id="36"/>
      </w:r>
    </w:p>
    <w:p>
      <w:pPr>
        <w:pStyle w:val="59"/>
        <w:rPr>
          <w:color w:val="auto"/>
          <w:highlight w:val="none"/>
        </w:rPr>
      </w:pPr>
    </w:p>
    <w:p>
      <w:pPr>
        <w:pStyle w:val="59"/>
        <w:ind w:left="0" w:firstLine="0"/>
        <w:jc w:val="left"/>
        <w:rPr>
          <w:rFonts w:ascii="黑体" w:hAnsi="黑体" w:eastAsia="黑体"/>
          <w:color w:val="auto"/>
          <w:szCs w:val="21"/>
          <w:highlight w:val="none"/>
        </w:rPr>
      </w:pPr>
      <w:r>
        <w:rPr>
          <w:color w:val="auto"/>
          <w:highlight w:val="none"/>
        </w:rPr>
        <w:br w:type="page"/>
      </w:r>
      <w:r>
        <w:rPr>
          <w:rFonts w:ascii="黑体" w:hAnsi="黑体" w:eastAsia="黑体"/>
          <w:color w:val="auto"/>
          <w:szCs w:val="21"/>
          <w:highlight w:val="none"/>
        </w:rPr>
        <w:t>投标人基本情况表附件</w:t>
      </w:r>
      <w:r>
        <w:rPr>
          <w:rFonts w:hint="eastAsia" w:ascii="黑体" w:hAnsi="黑体" w:eastAsia="黑体"/>
          <w:color w:val="auto"/>
          <w:szCs w:val="21"/>
          <w:highlight w:val="none"/>
        </w:rPr>
        <w:t>4、项目负责人情况表及证明材料续页（2）</w:t>
      </w:r>
    </w:p>
    <w:p>
      <w:pPr>
        <w:spacing w:beforeLines="100" w:afterLines="100" w:line="360" w:lineRule="auto"/>
        <w:jc w:val="center"/>
        <w:rPr>
          <w:rFonts w:ascii="黑体" w:hAnsi="黑体" w:eastAsia="黑体"/>
          <w:color w:val="auto"/>
          <w:sz w:val="28"/>
          <w:szCs w:val="28"/>
          <w:highlight w:val="none"/>
        </w:rPr>
      </w:pPr>
      <w:r>
        <w:rPr>
          <w:rFonts w:hint="eastAsia" w:ascii="黑体" w:hAnsi="黑体" w:eastAsia="黑体"/>
          <w:color w:val="auto"/>
          <w:sz w:val="28"/>
          <w:szCs w:val="28"/>
          <w:highlight w:val="none"/>
        </w:rPr>
        <w:t>拟派出项目负责人承诺函</w:t>
      </w:r>
      <w:r>
        <w:rPr>
          <w:rStyle w:val="74"/>
          <w:rFonts w:ascii="黑体" w:hAnsi="黑体" w:eastAsia="黑体"/>
          <w:color w:val="auto"/>
          <w:sz w:val="28"/>
          <w:szCs w:val="28"/>
          <w:highlight w:val="none"/>
        </w:rPr>
        <w:footnoteReference w:id="37"/>
      </w:r>
    </w:p>
    <w:p>
      <w:pPr>
        <w:spacing w:line="360" w:lineRule="auto"/>
        <w:rPr>
          <w:rFonts w:cs="宋体"/>
          <w:color w:val="auto"/>
          <w:sz w:val="21"/>
          <w:szCs w:val="21"/>
          <w:highlight w:val="none"/>
        </w:rPr>
      </w:pPr>
      <w:r>
        <w:rPr>
          <w:rFonts w:hint="eastAsia" w:cs="宋体"/>
          <w:color w:val="auto"/>
          <w:sz w:val="21"/>
          <w:szCs w:val="21"/>
          <w:highlight w:val="none"/>
          <w:u w:val="single"/>
        </w:rPr>
        <w:t xml:space="preserve">              （招标人名称）</w:t>
      </w:r>
      <w:r>
        <w:rPr>
          <w:rFonts w:hint="eastAsia" w:cs="宋体"/>
          <w:color w:val="auto"/>
          <w:sz w:val="21"/>
          <w:szCs w:val="21"/>
          <w:highlight w:val="none"/>
        </w:rPr>
        <w:t>：</w:t>
      </w:r>
    </w:p>
    <w:p>
      <w:pPr>
        <w:spacing w:line="360" w:lineRule="auto"/>
        <w:ind w:firstLine="420" w:firstLineChars="200"/>
        <w:rPr>
          <w:rFonts w:cs="宋体"/>
          <w:color w:val="auto"/>
          <w:sz w:val="21"/>
          <w:szCs w:val="21"/>
          <w:highlight w:val="none"/>
        </w:rPr>
      </w:pPr>
      <w:r>
        <w:rPr>
          <w:rFonts w:hint="eastAsia" w:cs="宋体"/>
          <w:color w:val="auto"/>
          <w:sz w:val="21"/>
          <w:szCs w:val="21"/>
          <w:highlight w:val="none"/>
        </w:rPr>
        <w:t xml:space="preserve">本人 </w:t>
      </w:r>
      <w:r>
        <w:rPr>
          <w:rFonts w:hint="eastAsia" w:cs="宋体"/>
          <w:color w:val="auto"/>
          <w:sz w:val="21"/>
          <w:szCs w:val="21"/>
          <w:highlight w:val="none"/>
          <w:u w:val="single"/>
        </w:rPr>
        <w:t xml:space="preserve">         （姓名）</w:t>
      </w:r>
      <w:r>
        <w:rPr>
          <w:rFonts w:hint="eastAsia" w:cs="宋体"/>
          <w:color w:val="auto"/>
          <w:sz w:val="21"/>
          <w:szCs w:val="21"/>
          <w:highlight w:val="none"/>
        </w:rPr>
        <w:t>系</w:t>
      </w:r>
      <w:r>
        <w:rPr>
          <w:rFonts w:hint="eastAsia" w:cs="宋体"/>
          <w:color w:val="auto"/>
          <w:sz w:val="21"/>
          <w:szCs w:val="21"/>
          <w:highlight w:val="none"/>
          <w:u w:val="single"/>
        </w:rPr>
        <w:t xml:space="preserve">             （投标人名称 ）</w:t>
      </w:r>
      <w:r>
        <w:rPr>
          <w:rFonts w:hint="eastAsia" w:cs="宋体"/>
          <w:color w:val="auto"/>
          <w:sz w:val="21"/>
          <w:szCs w:val="21"/>
          <w:highlight w:val="none"/>
        </w:rPr>
        <w:t>的在岗人员。本人已清楚知晓，本单位已确定本人作为</w:t>
      </w:r>
      <w:r>
        <w:rPr>
          <w:rFonts w:hint="eastAsia" w:cs="宋体"/>
          <w:color w:val="auto"/>
          <w:sz w:val="21"/>
          <w:szCs w:val="21"/>
          <w:highlight w:val="none"/>
          <w:u w:val="single"/>
        </w:rPr>
        <w:t xml:space="preserve">                （招标项目名称及标段）</w:t>
      </w:r>
      <w:r>
        <w:rPr>
          <w:rFonts w:hint="eastAsia" w:cs="宋体"/>
          <w:color w:val="auto"/>
          <w:sz w:val="21"/>
          <w:szCs w:val="21"/>
          <w:highlight w:val="none"/>
        </w:rPr>
        <w:t>的拟派出项目负责人，参与本招标项目的投标。</w:t>
      </w:r>
    </w:p>
    <w:p>
      <w:pPr>
        <w:spacing w:line="360" w:lineRule="auto"/>
        <w:ind w:firstLine="420" w:firstLineChars="200"/>
        <w:rPr>
          <w:rFonts w:cs="宋体"/>
          <w:color w:val="auto"/>
          <w:sz w:val="21"/>
          <w:szCs w:val="21"/>
          <w:highlight w:val="none"/>
        </w:rPr>
      </w:pPr>
      <w:r>
        <w:rPr>
          <w:rFonts w:hint="eastAsia" w:cs="宋体"/>
          <w:color w:val="auto"/>
          <w:sz w:val="21"/>
          <w:szCs w:val="21"/>
          <w:highlight w:val="none"/>
        </w:rPr>
        <w:t>本人承诺：</w:t>
      </w:r>
    </w:p>
    <w:p>
      <w:pPr>
        <w:spacing w:line="360" w:lineRule="auto"/>
        <w:ind w:firstLine="420" w:firstLineChars="200"/>
        <w:rPr>
          <w:rFonts w:cs="宋体"/>
          <w:color w:val="auto"/>
          <w:sz w:val="21"/>
          <w:szCs w:val="21"/>
          <w:highlight w:val="none"/>
        </w:rPr>
      </w:pPr>
      <w:r>
        <w:rPr>
          <w:rFonts w:hint="eastAsia" w:cs="宋体"/>
          <w:color w:val="auto"/>
          <w:sz w:val="21"/>
          <w:szCs w:val="21"/>
          <w:highlight w:val="none"/>
        </w:rPr>
        <w:t>一、中标后履行项目负责人职责，按照合同约定实际到岗履职。</w:t>
      </w:r>
    </w:p>
    <w:p>
      <w:pPr>
        <w:spacing w:line="360" w:lineRule="auto"/>
        <w:ind w:firstLine="420" w:firstLineChars="200"/>
        <w:rPr>
          <w:rFonts w:cs="宋体"/>
          <w:color w:val="auto"/>
          <w:sz w:val="21"/>
          <w:szCs w:val="21"/>
          <w:highlight w:val="none"/>
        </w:rPr>
      </w:pPr>
      <w:r>
        <w:rPr>
          <w:rFonts w:hint="eastAsia" w:cs="宋体"/>
          <w:color w:val="auto"/>
          <w:sz w:val="21"/>
          <w:szCs w:val="21"/>
          <w:highlight w:val="none"/>
        </w:rPr>
        <w:t>二、本承诺函由我单位盖章及本人亲自签字确认。</w:t>
      </w:r>
    </w:p>
    <w:p>
      <w:pPr>
        <w:spacing w:line="360" w:lineRule="auto"/>
        <w:ind w:firstLine="645"/>
        <w:rPr>
          <w:rFonts w:cs="宋体"/>
          <w:color w:val="auto"/>
          <w:sz w:val="21"/>
          <w:szCs w:val="21"/>
          <w:highlight w:val="none"/>
        </w:rPr>
      </w:pPr>
    </w:p>
    <w:p>
      <w:pPr>
        <w:spacing w:line="360" w:lineRule="auto"/>
        <w:ind w:firstLine="645"/>
        <w:rPr>
          <w:rFonts w:cs="宋体"/>
          <w:color w:val="auto"/>
          <w:sz w:val="21"/>
          <w:szCs w:val="21"/>
          <w:highlight w:val="none"/>
        </w:rPr>
      </w:pPr>
    </w:p>
    <w:p>
      <w:pPr>
        <w:spacing w:line="360" w:lineRule="auto"/>
        <w:ind w:firstLine="3675" w:firstLineChars="1750"/>
        <w:rPr>
          <w:rFonts w:cs="宋体"/>
          <w:color w:val="auto"/>
          <w:sz w:val="21"/>
          <w:szCs w:val="21"/>
          <w:highlight w:val="none"/>
        </w:rPr>
      </w:pPr>
      <w:r>
        <w:rPr>
          <w:rFonts w:hint="eastAsia" w:cs="宋体"/>
          <w:color w:val="auto"/>
          <w:sz w:val="21"/>
          <w:szCs w:val="21"/>
          <w:highlight w:val="none"/>
        </w:rPr>
        <w:t>投标人：</w:t>
      </w:r>
      <w:r>
        <w:rPr>
          <w:rFonts w:hint="eastAsia" w:cs="宋体"/>
          <w:color w:val="auto"/>
          <w:sz w:val="21"/>
          <w:szCs w:val="21"/>
          <w:highlight w:val="none"/>
          <w:u w:val="single"/>
        </w:rPr>
        <w:t xml:space="preserve">                  </w:t>
      </w:r>
      <w:r>
        <w:rPr>
          <w:rFonts w:hint="eastAsia" w:cs="宋体"/>
          <w:color w:val="auto"/>
          <w:sz w:val="21"/>
          <w:szCs w:val="21"/>
          <w:highlight w:val="none"/>
        </w:rPr>
        <w:t>（盖单位实体公章）</w:t>
      </w:r>
      <w:r>
        <w:rPr>
          <w:rStyle w:val="74"/>
          <w:rFonts w:cs="宋体"/>
          <w:color w:val="auto"/>
          <w:sz w:val="21"/>
          <w:szCs w:val="21"/>
          <w:highlight w:val="none"/>
        </w:rPr>
        <w:footnoteReference w:id="38"/>
      </w:r>
    </w:p>
    <w:p>
      <w:pPr>
        <w:spacing w:line="360" w:lineRule="auto"/>
        <w:ind w:firstLine="3675" w:firstLineChars="1750"/>
        <w:rPr>
          <w:rFonts w:cs="宋体"/>
          <w:color w:val="auto"/>
          <w:sz w:val="21"/>
          <w:szCs w:val="21"/>
          <w:highlight w:val="none"/>
        </w:rPr>
      </w:pPr>
      <w:r>
        <w:rPr>
          <w:rFonts w:hint="eastAsia" w:cs="宋体"/>
          <w:color w:val="auto"/>
          <w:sz w:val="21"/>
          <w:szCs w:val="21"/>
          <w:highlight w:val="none"/>
        </w:rPr>
        <w:t>拟派出项目负责人：</w:t>
      </w:r>
      <w:r>
        <w:rPr>
          <w:rFonts w:hint="eastAsia" w:cs="宋体"/>
          <w:color w:val="auto"/>
          <w:sz w:val="21"/>
          <w:szCs w:val="21"/>
          <w:highlight w:val="none"/>
          <w:u w:val="single"/>
        </w:rPr>
        <w:t xml:space="preserve">        </w:t>
      </w:r>
      <w:r>
        <w:rPr>
          <w:rFonts w:hint="eastAsia" w:cs="宋体"/>
          <w:color w:val="auto"/>
          <w:sz w:val="21"/>
          <w:szCs w:val="21"/>
          <w:highlight w:val="none"/>
        </w:rPr>
        <w:t>（签字）</w:t>
      </w:r>
      <w:r>
        <w:rPr>
          <w:rStyle w:val="74"/>
          <w:rFonts w:cs="宋体"/>
          <w:color w:val="auto"/>
          <w:sz w:val="21"/>
          <w:szCs w:val="21"/>
          <w:highlight w:val="none"/>
        </w:rPr>
        <w:footnoteReference w:id="39"/>
      </w:r>
    </w:p>
    <w:p>
      <w:pPr>
        <w:spacing w:line="360" w:lineRule="auto"/>
        <w:ind w:right="640" w:firstLine="3675" w:firstLineChars="1750"/>
        <w:rPr>
          <w:rFonts w:cs="宋体"/>
          <w:color w:val="auto"/>
          <w:sz w:val="21"/>
          <w:szCs w:val="21"/>
          <w:highlight w:val="none"/>
        </w:rPr>
      </w:pPr>
      <w:r>
        <w:rPr>
          <w:rFonts w:hint="eastAsia" w:cs="宋体"/>
          <w:color w:val="auto"/>
          <w:sz w:val="21"/>
          <w:szCs w:val="21"/>
          <w:highlight w:val="none"/>
        </w:rPr>
        <w:t>承诺时间：</w:t>
      </w:r>
      <w:r>
        <w:rPr>
          <w:rFonts w:hint="eastAsia" w:cs="宋体"/>
          <w:color w:val="auto"/>
          <w:sz w:val="21"/>
          <w:szCs w:val="21"/>
          <w:highlight w:val="none"/>
          <w:u w:val="single"/>
        </w:rPr>
        <w:t xml:space="preserve">      </w:t>
      </w:r>
      <w:r>
        <w:rPr>
          <w:rFonts w:hint="eastAsia" w:cs="宋体"/>
          <w:color w:val="auto"/>
          <w:sz w:val="21"/>
          <w:szCs w:val="21"/>
          <w:highlight w:val="none"/>
        </w:rPr>
        <w:t>年</w:t>
      </w:r>
      <w:r>
        <w:rPr>
          <w:rFonts w:hint="eastAsia" w:cs="宋体"/>
          <w:color w:val="auto"/>
          <w:sz w:val="21"/>
          <w:szCs w:val="21"/>
          <w:highlight w:val="none"/>
          <w:u w:val="single"/>
        </w:rPr>
        <w:t xml:space="preserve">   </w:t>
      </w:r>
      <w:r>
        <w:rPr>
          <w:rFonts w:hint="eastAsia" w:cs="宋体"/>
          <w:color w:val="auto"/>
          <w:sz w:val="21"/>
          <w:szCs w:val="21"/>
          <w:highlight w:val="none"/>
        </w:rPr>
        <w:t>月</w:t>
      </w:r>
      <w:r>
        <w:rPr>
          <w:rFonts w:hint="eastAsia" w:cs="宋体"/>
          <w:color w:val="auto"/>
          <w:sz w:val="21"/>
          <w:szCs w:val="21"/>
          <w:highlight w:val="none"/>
          <w:u w:val="single"/>
        </w:rPr>
        <w:t xml:space="preserve">   </w:t>
      </w:r>
      <w:r>
        <w:rPr>
          <w:rFonts w:hint="eastAsia" w:cs="宋体"/>
          <w:color w:val="auto"/>
          <w:sz w:val="21"/>
          <w:szCs w:val="21"/>
          <w:highlight w:val="none"/>
        </w:rPr>
        <w:t>日</w:t>
      </w:r>
    </w:p>
    <w:p>
      <w:pPr>
        <w:spacing w:line="360" w:lineRule="auto"/>
        <w:rPr>
          <w:rFonts w:cs="宋体"/>
          <w:color w:val="auto"/>
          <w:sz w:val="21"/>
          <w:szCs w:val="21"/>
          <w:highlight w:val="none"/>
        </w:rPr>
      </w:pPr>
    </w:p>
    <w:p>
      <w:pPr>
        <w:spacing w:line="360" w:lineRule="auto"/>
        <w:rPr>
          <w:rFonts w:cs="宋体"/>
          <w:color w:val="auto"/>
          <w:sz w:val="21"/>
          <w:szCs w:val="21"/>
          <w:highlight w:val="none"/>
        </w:rPr>
      </w:pPr>
    </w:p>
    <w:p>
      <w:pPr>
        <w:spacing w:line="360" w:lineRule="auto"/>
        <w:rPr>
          <w:rFonts w:cs="宋体"/>
          <w:color w:val="auto"/>
          <w:sz w:val="21"/>
          <w:szCs w:val="21"/>
          <w:highlight w:val="none"/>
        </w:rPr>
      </w:pPr>
    </w:p>
    <w:p>
      <w:pPr>
        <w:spacing w:line="360" w:lineRule="auto"/>
        <w:rPr>
          <w:rFonts w:cs="宋体"/>
          <w:color w:val="auto"/>
          <w:sz w:val="21"/>
          <w:szCs w:val="21"/>
          <w:highlight w:val="none"/>
        </w:rPr>
      </w:pPr>
    </w:p>
    <w:p>
      <w:pPr>
        <w:pStyle w:val="59"/>
        <w:ind w:left="0" w:firstLine="0"/>
        <w:jc w:val="left"/>
        <w:rPr>
          <w:color w:val="auto"/>
          <w:highlight w:val="none"/>
        </w:rPr>
      </w:pPr>
    </w:p>
    <w:p>
      <w:pPr>
        <w:adjustRightInd w:val="0"/>
        <w:spacing w:beforeLines="100" w:afterLines="100" w:line="360" w:lineRule="auto"/>
        <w:jc w:val="left"/>
        <w:textAlignment w:val="baseline"/>
        <w:rPr>
          <w:rFonts w:ascii="黑体" w:hAnsi="黑体" w:eastAsia="黑体"/>
          <w:color w:val="auto"/>
          <w:sz w:val="21"/>
          <w:szCs w:val="21"/>
          <w:highlight w:val="none"/>
        </w:rPr>
      </w:pPr>
    </w:p>
    <w:p>
      <w:pPr>
        <w:adjustRightInd w:val="0"/>
        <w:spacing w:beforeLines="100" w:afterLines="100" w:line="360" w:lineRule="auto"/>
        <w:jc w:val="left"/>
        <w:textAlignment w:val="baseline"/>
        <w:rPr>
          <w:rFonts w:ascii="黑体" w:hAnsi="黑体" w:eastAsia="黑体"/>
          <w:color w:val="auto"/>
          <w:sz w:val="21"/>
          <w:szCs w:val="21"/>
          <w:highlight w:val="none"/>
        </w:rPr>
      </w:pPr>
    </w:p>
    <w:p>
      <w:pPr>
        <w:adjustRightInd w:val="0"/>
        <w:spacing w:beforeLines="100" w:afterLines="100" w:line="360" w:lineRule="auto"/>
        <w:jc w:val="left"/>
        <w:textAlignment w:val="baseline"/>
        <w:rPr>
          <w:rFonts w:ascii="黑体" w:hAnsi="黑体" w:eastAsia="黑体"/>
          <w:color w:val="auto"/>
          <w:sz w:val="21"/>
          <w:szCs w:val="21"/>
          <w:highlight w:val="none"/>
        </w:rPr>
      </w:pPr>
    </w:p>
    <w:p>
      <w:pPr>
        <w:adjustRightInd w:val="0"/>
        <w:spacing w:beforeLines="100" w:afterLines="100" w:line="360" w:lineRule="auto"/>
        <w:jc w:val="left"/>
        <w:textAlignment w:val="baseline"/>
        <w:rPr>
          <w:rFonts w:ascii="黑体" w:hAnsi="黑体" w:eastAsia="黑体"/>
          <w:color w:val="auto"/>
          <w:sz w:val="21"/>
          <w:szCs w:val="21"/>
          <w:highlight w:val="none"/>
        </w:rPr>
      </w:pPr>
    </w:p>
    <w:p>
      <w:pPr>
        <w:adjustRightInd w:val="0"/>
        <w:spacing w:beforeLines="100" w:afterLines="100" w:line="360" w:lineRule="auto"/>
        <w:jc w:val="left"/>
        <w:textAlignment w:val="baseline"/>
        <w:rPr>
          <w:rFonts w:hAnsi="Times New Roman"/>
          <w:color w:val="auto"/>
          <w:kern w:val="2"/>
          <w:sz w:val="24"/>
          <w:szCs w:val="24"/>
          <w:highlight w:val="none"/>
        </w:rPr>
      </w:pPr>
      <w:r>
        <w:rPr>
          <w:rFonts w:ascii="黑体" w:hAnsi="黑体" w:eastAsia="黑体"/>
          <w:color w:val="auto"/>
          <w:sz w:val="21"/>
          <w:szCs w:val="21"/>
          <w:highlight w:val="none"/>
        </w:rPr>
        <w:br w:type="page"/>
      </w:r>
      <w:r>
        <w:rPr>
          <w:rFonts w:ascii="黑体" w:hAnsi="黑体" w:eastAsia="黑体"/>
          <w:color w:val="auto"/>
          <w:sz w:val="21"/>
          <w:szCs w:val="21"/>
          <w:highlight w:val="none"/>
        </w:rPr>
        <w:t>投标人基本情况表附件</w:t>
      </w:r>
      <w:r>
        <w:rPr>
          <w:rFonts w:hint="eastAsia" w:ascii="黑体" w:hAnsi="黑体" w:eastAsia="黑体"/>
          <w:color w:val="auto"/>
          <w:sz w:val="21"/>
          <w:szCs w:val="21"/>
          <w:highlight w:val="none"/>
        </w:rPr>
        <w:t>5、项目技术负责人情况表及证明材料</w:t>
      </w:r>
      <w:r>
        <w:rPr>
          <w:rFonts w:ascii="黑体" w:hAnsi="黑体" w:eastAsia="黑体"/>
          <w:color w:val="auto"/>
          <w:position w:val="-2"/>
          <w:sz w:val="21"/>
          <w:szCs w:val="21"/>
          <w:highlight w:val="none"/>
          <w:vertAlign w:val="superscript"/>
        </w:rPr>
        <w:footnoteReference w:id="40"/>
      </w:r>
      <w:r>
        <w:rPr>
          <w:rFonts w:ascii="黑体" w:hAnsi="黑体" w:eastAsia="黑体"/>
          <w:color w:val="auto"/>
          <w:sz w:val="21"/>
          <w:szCs w:val="21"/>
          <w:highlight w:val="none"/>
        </w:rPr>
        <w:t>：</w:t>
      </w:r>
    </w:p>
    <w:tbl>
      <w:tblPr>
        <w:tblStyle w:val="60"/>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0"/>
        <w:gridCol w:w="1076"/>
        <w:gridCol w:w="1753"/>
        <w:gridCol w:w="1041"/>
        <w:gridCol w:w="1780"/>
        <w:gridCol w:w="2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1140" w:type="dxa"/>
            <w:vAlign w:val="center"/>
          </w:tcPr>
          <w:p>
            <w:pPr>
              <w:adjustRightInd w:val="0"/>
              <w:spacing w:line="360" w:lineRule="atLeast"/>
              <w:jc w:val="center"/>
              <w:textAlignment w:val="baseline"/>
              <w:rPr>
                <w:color w:val="auto"/>
                <w:sz w:val="21"/>
                <w:szCs w:val="21"/>
                <w:highlight w:val="none"/>
              </w:rPr>
            </w:pPr>
            <w:r>
              <w:rPr>
                <w:rFonts w:hint="eastAsia"/>
                <w:color w:val="auto"/>
                <w:sz w:val="21"/>
                <w:szCs w:val="21"/>
                <w:highlight w:val="none"/>
              </w:rPr>
              <w:t>姓  名</w:t>
            </w:r>
          </w:p>
        </w:tc>
        <w:tc>
          <w:tcPr>
            <w:tcW w:w="1076" w:type="dxa"/>
            <w:vAlign w:val="center"/>
          </w:tcPr>
          <w:p>
            <w:pPr>
              <w:adjustRightInd w:val="0"/>
              <w:spacing w:line="360" w:lineRule="atLeast"/>
              <w:jc w:val="center"/>
              <w:textAlignment w:val="baseline"/>
              <w:rPr>
                <w:color w:val="auto"/>
                <w:sz w:val="21"/>
                <w:szCs w:val="21"/>
                <w:highlight w:val="none"/>
              </w:rPr>
            </w:pPr>
          </w:p>
        </w:tc>
        <w:tc>
          <w:tcPr>
            <w:tcW w:w="1753" w:type="dxa"/>
            <w:vAlign w:val="center"/>
          </w:tcPr>
          <w:p>
            <w:pPr>
              <w:adjustRightInd w:val="0"/>
              <w:spacing w:line="360" w:lineRule="atLeast"/>
              <w:jc w:val="center"/>
              <w:textAlignment w:val="baseline"/>
              <w:rPr>
                <w:color w:val="auto"/>
                <w:sz w:val="21"/>
                <w:szCs w:val="21"/>
                <w:highlight w:val="none"/>
              </w:rPr>
            </w:pPr>
            <w:r>
              <w:rPr>
                <w:rFonts w:hint="eastAsia"/>
                <w:color w:val="auto"/>
                <w:sz w:val="21"/>
                <w:szCs w:val="21"/>
                <w:highlight w:val="none"/>
              </w:rPr>
              <w:t>身份证号码</w:t>
            </w:r>
          </w:p>
        </w:tc>
        <w:tc>
          <w:tcPr>
            <w:tcW w:w="5039" w:type="dxa"/>
            <w:gridSpan w:val="3"/>
            <w:vAlign w:val="center"/>
          </w:tcPr>
          <w:p>
            <w:pPr>
              <w:adjustRightInd w:val="0"/>
              <w:spacing w:line="360" w:lineRule="atLeast"/>
              <w:jc w:val="center"/>
              <w:textAlignment w:val="baseline"/>
              <w:rPr>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1140" w:type="dxa"/>
            <w:tcBorders>
              <w:right w:val="single" w:color="auto" w:sz="4" w:space="0"/>
            </w:tcBorders>
            <w:vAlign w:val="center"/>
          </w:tcPr>
          <w:p>
            <w:pPr>
              <w:adjustRightInd w:val="0"/>
              <w:spacing w:line="360" w:lineRule="atLeast"/>
              <w:jc w:val="center"/>
              <w:textAlignment w:val="baseline"/>
              <w:rPr>
                <w:color w:val="auto"/>
                <w:sz w:val="21"/>
                <w:szCs w:val="21"/>
                <w:highlight w:val="none"/>
              </w:rPr>
            </w:pPr>
            <w:r>
              <w:rPr>
                <w:rFonts w:hint="eastAsia"/>
                <w:color w:val="auto"/>
                <w:sz w:val="21"/>
                <w:szCs w:val="21"/>
                <w:highlight w:val="none"/>
              </w:rPr>
              <w:t>职  称</w:t>
            </w:r>
          </w:p>
        </w:tc>
        <w:tc>
          <w:tcPr>
            <w:tcW w:w="1076" w:type="dxa"/>
            <w:tcBorders>
              <w:left w:val="single" w:color="auto" w:sz="4" w:space="0"/>
            </w:tcBorders>
            <w:vAlign w:val="center"/>
          </w:tcPr>
          <w:p>
            <w:pPr>
              <w:adjustRightInd w:val="0"/>
              <w:spacing w:line="360" w:lineRule="atLeast"/>
              <w:jc w:val="center"/>
              <w:textAlignment w:val="baseline"/>
              <w:rPr>
                <w:color w:val="auto"/>
                <w:sz w:val="21"/>
                <w:szCs w:val="21"/>
                <w:highlight w:val="none"/>
              </w:rPr>
            </w:pPr>
          </w:p>
        </w:tc>
        <w:tc>
          <w:tcPr>
            <w:tcW w:w="1753" w:type="dxa"/>
            <w:vAlign w:val="center"/>
          </w:tcPr>
          <w:p>
            <w:pPr>
              <w:adjustRightInd w:val="0"/>
              <w:spacing w:line="360" w:lineRule="atLeast"/>
              <w:jc w:val="center"/>
              <w:textAlignment w:val="baseline"/>
              <w:rPr>
                <w:color w:val="auto"/>
                <w:sz w:val="21"/>
                <w:szCs w:val="21"/>
                <w:highlight w:val="none"/>
              </w:rPr>
            </w:pPr>
            <w:r>
              <w:rPr>
                <w:rFonts w:hint="eastAsia"/>
                <w:color w:val="auto"/>
                <w:sz w:val="21"/>
                <w:szCs w:val="21"/>
                <w:highlight w:val="none"/>
              </w:rPr>
              <w:t>职  务</w:t>
            </w:r>
          </w:p>
        </w:tc>
        <w:tc>
          <w:tcPr>
            <w:tcW w:w="1041" w:type="dxa"/>
            <w:vAlign w:val="center"/>
          </w:tcPr>
          <w:p>
            <w:pPr>
              <w:adjustRightInd w:val="0"/>
              <w:spacing w:line="360" w:lineRule="atLeast"/>
              <w:jc w:val="center"/>
              <w:textAlignment w:val="baseline"/>
              <w:rPr>
                <w:color w:val="auto"/>
                <w:sz w:val="21"/>
                <w:szCs w:val="21"/>
                <w:highlight w:val="none"/>
              </w:rPr>
            </w:pPr>
          </w:p>
        </w:tc>
        <w:tc>
          <w:tcPr>
            <w:tcW w:w="1780" w:type="dxa"/>
            <w:vAlign w:val="center"/>
          </w:tcPr>
          <w:p>
            <w:pPr>
              <w:adjustRightInd w:val="0"/>
              <w:spacing w:line="360" w:lineRule="atLeast"/>
              <w:jc w:val="center"/>
              <w:textAlignment w:val="baseline"/>
              <w:rPr>
                <w:color w:val="auto"/>
                <w:sz w:val="21"/>
                <w:szCs w:val="21"/>
                <w:highlight w:val="none"/>
              </w:rPr>
            </w:pPr>
            <w:r>
              <w:rPr>
                <w:rFonts w:hint="eastAsia"/>
                <w:color w:val="auto"/>
                <w:sz w:val="21"/>
                <w:szCs w:val="21"/>
                <w:highlight w:val="none"/>
              </w:rPr>
              <w:t>性别</w:t>
            </w:r>
          </w:p>
        </w:tc>
        <w:tc>
          <w:tcPr>
            <w:tcW w:w="2218" w:type="dxa"/>
            <w:vAlign w:val="center"/>
          </w:tcPr>
          <w:p>
            <w:pPr>
              <w:adjustRightInd w:val="0"/>
              <w:spacing w:line="360" w:lineRule="atLeast"/>
              <w:jc w:val="center"/>
              <w:textAlignment w:val="baseline"/>
              <w:rPr>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4" w:hRule="atLeast"/>
        </w:trPr>
        <w:tc>
          <w:tcPr>
            <w:tcW w:w="3969" w:type="dxa"/>
            <w:gridSpan w:val="3"/>
            <w:tcBorders>
              <w:right w:val="single" w:color="auto" w:sz="4" w:space="0"/>
            </w:tcBorders>
            <w:vAlign w:val="center"/>
          </w:tcPr>
          <w:p>
            <w:pPr>
              <w:adjustRightInd w:val="0"/>
              <w:spacing w:line="400" w:lineRule="exact"/>
              <w:jc w:val="center"/>
              <w:textAlignment w:val="baseline"/>
              <w:rPr>
                <w:color w:val="auto"/>
                <w:sz w:val="21"/>
                <w:szCs w:val="21"/>
                <w:highlight w:val="none"/>
              </w:rPr>
            </w:pPr>
            <w:r>
              <w:rPr>
                <w:rFonts w:hint="eastAsia"/>
                <w:color w:val="auto"/>
                <w:sz w:val="21"/>
                <w:szCs w:val="21"/>
                <w:highlight w:val="none"/>
              </w:rPr>
              <w:t>技术职称情况</w:t>
            </w:r>
          </w:p>
          <w:p>
            <w:pPr>
              <w:adjustRightInd w:val="0"/>
              <w:spacing w:line="400" w:lineRule="exact"/>
              <w:jc w:val="center"/>
              <w:textAlignment w:val="baseline"/>
              <w:rPr>
                <w:color w:val="auto"/>
                <w:sz w:val="21"/>
                <w:szCs w:val="21"/>
                <w:highlight w:val="none"/>
              </w:rPr>
            </w:pPr>
            <w:r>
              <w:rPr>
                <w:rFonts w:hint="eastAsia"/>
                <w:color w:val="auto"/>
                <w:sz w:val="21"/>
                <w:szCs w:val="21"/>
                <w:highlight w:val="none"/>
              </w:rPr>
              <w:t>（职称专业、证书编号、发证机关等）</w:t>
            </w:r>
          </w:p>
        </w:tc>
        <w:tc>
          <w:tcPr>
            <w:tcW w:w="5039" w:type="dxa"/>
            <w:gridSpan w:val="3"/>
            <w:tcBorders>
              <w:left w:val="single" w:color="auto" w:sz="4" w:space="0"/>
            </w:tcBorders>
            <w:vAlign w:val="center"/>
          </w:tcPr>
          <w:p>
            <w:pPr>
              <w:adjustRightInd w:val="0"/>
              <w:spacing w:line="560" w:lineRule="exact"/>
              <w:textAlignment w:val="baseline"/>
              <w:rPr>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3969" w:type="dxa"/>
            <w:gridSpan w:val="3"/>
            <w:vAlign w:val="center"/>
          </w:tcPr>
          <w:p>
            <w:pPr>
              <w:adjustRightInd w:val="0"/>
              <w:spacing w:line="560" w:lineRule="exact"/>
              <w:jc w:val="center"/>
              <w:textAlignment w:val="baseline"/>
              <w:rPr>
                <w:color w:val="auto"/>
                <w:sz w:val="21"/>
                <w:szCs w:val="21"/>
                <w:highlight w:val="none"/>
              </w:rPr>
            </w:pPr>
            <w:r>
              <w:rPr>
                <w:rFonts w:hint="eastAsia"/>
                <w:color w:val="auto"/>
                <w:sz w:val="21"/>
                <w:szCs w:val="21"/>
                <w:highlight w:val="none"/>
              </w:rPr>
              <w:t>最高学历</w:t>
            </w:r>
          </w:p>
        </w:tc>
        <w:tc>
          <w:tcPr>
            <w:tcW w:w="1041" w:type="dxa"/>
            <w:vAlign w:val="center"/>
          </w:tcPr>
          <w:p>
            <w:pPr>
              <w:adjustRightInd w:val="0"/>
              <w:spacing w:line="360" w:lineRule="atLeast"/>
              <w:jc w:val="center"/>
              <w:textAlignment w:val="baseline"/>
              <w:rPr>
                <w:color w:val="auto"/>
                <w:sz w:val="21"/>
                <w:szCs w:val="21"/>
                <w:highlight w:val="none"/>
              </w:rPr>
            </w:pPr>
          </w:p>
        </w:tc>
        <w:tc>
          <w:tcPr>
            <w:tcW w:w="1780" w:type="dxa"/>
            <w:vAlign w:val="center"/>
          </w:tcPr>
          <w:p>
            <w:pPr>
              <w:adjustRightInd w:val="0"/>
              <w:spacing w:line="360" w:lineRule="atLeast"/>
              <w:jc w:val="center"/>
              <w:textAlignment w:val="baseline"/>
              <w:rPr>
                <w:color w:val="auto"/>
                <w:sz w:val="21"/>
                <w:szCs w:val="21"/>
                <w:highlight w:val="none"/>
              </w:rPr>
            </w:pPr>
            <w:r>
              <w:rPr>
                <w:rFonts w:hint="eastAsia"/>
                <w:color w:val="auto"/>
                <w:sz w:val="21"/>
                <w:szCs w:val="21"/>
                <w:highlight w:val="none"/>
              </w:rPr>
              <w:t>手机号码</w:t>
            </w:r>
          </w:p>
        </w:tc>
        <w:tc>
          <w:tcPr>
            <w:tcW w:w="2218" w:type="dxa"/>
            <w:vAlign w:val="center"/>
          </w:tcPr>
          <w:p>
            <w:pPr>
              <w:adjustRightInd w:val="0"/>
              <w:spacing w:line="360" w:lineRule="atLeast"/>
              <w:jc w:val="center"/>
              <w:textAlignment w:val="baseline"/>
              <w:rPr>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1140" w:type="dxa"/>
            <w:vAlign w:val="center"/>
          </w:tcPr>
          <w:p>
            <w:pPr>
              <w:adjustRightInd w:val="0"/>
              <w:spacing w:line="360" w:lineRule="atLeast"/>
              <w:jc w:val="center"/>
              <w:textAlignment w:val="baseline"/>
              <w:rPr>
                <w:color w:val="auto"/>
                <w:sz w:val="21"/>
                <w:szCs w:val="21"/>
                <w:highlight w:val="none"/>
              </w:rPr>
            </w:pPr>
            <w:r>
              <w:rPr>
                <w:rFonts w:hint="eastAsia"/>
                <w:color w:val="auto"/>
                <w:sz w:val="21"/>
                <w:szCs w:val="21"/>
                <w:highlight w:val="none"/>
              </w:rPr>
              <w:t>毕业学校</w:t>
            </w:r>
          </w:p>
        </w:tc>
        <w:tc>
          <w:tcPr>
            <w:tcW w:w="7868" w:type="dxa"/>
            <w:gridSpan w:val="5"/>
            <w:vAlign w:val="center"/>
          </w:tcPr>
          <w:p>
            <w:pPr>
              <w:adjustRightInd w:val="0"/>
              <w:spacing w:line="360" w:lineRule="atLeast"/>
              <w:ind w:firstLine="840" w:firstLineChars="400"/>
              <w:textAlignment w:val="baseline"/>
              <w:rPr>
                <w:color w:val="auto"/>
                <w:sz w:val="21"/>
                <w:szCs w:val="21"/>
                <w:highlight w:val="none"/>
              </w:rPr>
            </w:pPr>
            <w:r>
              <w:rPr>
                <w:rFonts w:hint="eastAsia"/>
                <w:color w:val="auto"/>
                <w:sz w:val="21"/>
                <w:szCs w:val="21"/>
                <w:highlight w:val="none"/>
              </w:rPr>
              <w:t>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9008" w:type="dxa"/>
            <w:gridSpan w:val="6"/>
            <w:vAlign w:val="center"/>
          </w:tcPr>
          <w:p>
            <w:pPr>
              <w:adjustRightInd w:val="0"/>
              <w:spacing w:line="360" w:lineRule="atLeast"/>
              <w:jc w:val="center"/>
              <w:textAlignment w:val="baseline"/>
              <w:rPr>
                <w:color w:val="auto"/>
                <w:sz w:val="21"/>
                <w:szCs w:val="21"/>
                <w:highlight w:val="none"/>
              </w:rPr>
            </w:pPr>
            <w:r>
              <w:rPr>
                <w:rFonts w:hint="eastAsia"/>
                <w:color w:val="auto"/>
                <w:sz w:val="21"/>
                <w:szCs w:val="21"/>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1140" w:type="dxa"/>
            <w:vAlign w:val="center"/>
          </w:tcPr>
          <w:p>
            <w:pPr>
              <w:adjustRightInd w:val="0"/>
              <w:spacing w:line="360" w:lineRule="atLeast"/>
              <w:jc w:val="center"/>
              <w:textAlignment w:val="baseline"/>
              <w:rPr>
                <w:color w:val="auto"/>
                <w:sz w:val="21"/>
                <w:szCs w:val="21"/>
                <w:highlight w:val="none"/>
              </w:rPr>
            </w:pPr>
            <w:r>
              <w:rPr>
                <w:rFonts w:hint="eastAsia"/>
                <w:color w:val="auto"/>
                <w:sz w:val="21"/>
                <w:szCs w:val="21"/>
                <w:highlight w:val="none"/>
              </w:rPr>
              <w:t>时  间</w:t>
            </w:r>
          </w:p>
        </w:tc>
        <w:tc>
          <w:tcPr>
            <w:tcW w:w="3870" w:type="dxa"/>
            <w:gridSpan w:val="3"/>
            <w:vAlign w:val="center"/>
          </w:tcPr>
          <w:p>
            <w:pPr>
              <w:adjustRightInd w:val="0"/>
              <w:spacing w:line="360" w:lineRule="atLeast"/>
              <w:jc w:val="center"/>
              <w:textAlignment w:val="baseline"/>
              <w:rPr>
                <w:color w:val="auto"/>
                <w:sz w:val="21"/>
                <w:szCs w:val="21"/>
                <w:highlight w:val="none"/>
              </w:rPr>
            </w:pPr>
            <w:r>
              <w:rPr>
                <w:rFonts w:hint="eastAsia"/>
                <w:color w:val="auto"/>
                <w:sz w:val="21"/>
                <w:szCs w:val="21"/>
                <w:highlight w:val="none"/>
              </w:rPr>
              <w:t>参加过的类似项目名称</w:t>
            </w:r>
          </w:p>
        </w:tc>
        <w:tc>
          <w:tcPr>
            <w:tcW w:w="1780" w:type="dxa"/>
            <w:vAlign w:val="center"/>
          </w:tcPr>
          <w:p>
            <w:pPr>
              <w:adjustRightInd w:val="0"/>
              <w:spacing w:line="360" w:lineRule="atLeast"/>
              <w:jc w:val="center"/>
              <w:textAlignment w:val="baseline"/>
              <w:rPr>
                <w:color w:val="auto"/>
                <w:sz w:val="21"/>
                <w:szCs w:val="21"/>
                <w:highlight w:val="none"/>
              </w:rPr>
            </w:pPr>
            <w:r>
              <w:rPr>
                <w:rFonts w:hint="eastAsia"/>
                <w:color w:val="auto"/>
                <w:sz w:val="21"/>
                <w:szCs w:val="21"/>
                <w:highlight w:val="none"/>
              </w:rPr>
              <w:t>工程概况说明</w:t>
            </w:r>
          </w:p>
        </w:tc>
        <w:tc>
          <w:tcPr>
            <w:tcW w:w="2218" w:type="dxa"/>
            <w:vAlign w:val="center"/>
          </w:tcPr>
          <w:p>
            <w:pPr>
              <w:adjustRightInd w:val="0"/>
              <w:spacing w:line="360" w:lineRule="atLeast"/>
              <w:jc w:val="center"/>
              <w:textAlignment w:val="baseline"/>
              <w:rPr>
                <w:color w:val="auto"/>
                <w:sz w:val="21"/>
                <w:szCs w:val="21"/>
                <w:highlight w:val="none"/>
              </w:rPr>
            </w:pPr>
            <w:r>
              <w:rPr>
                <w:rFonts w:hint="eastAsia"/>
                <w:color w:val="auto"/>
                <w:sz w:val="21"/>
                <w:szCs w:val="21"/>
                <w:highlight w:val="none"/>
              </w:rPr>
              <w:t>发包人名称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1140" w:type="dxa"/>
            <w:vAlign w:val="center"/>
          </w:tcPr>
          <w:p>
            <w:pPr>
              <w:adjustRightInd w:val="0"/>
              <w:spacing w:line="360" w:lineRule="atLeast"/>
              <w:jc w:val="center"/>
              <w:textAlignment w:val="baseline"/>
              <w:rPr>
                <w:color w:val="auto"/>
                <w:sz w:val="21"/>
                <w:szCs w:val="21"/>
                <w:highlight w:val="none"/>
              </w:rPr>
            </w:pPr>
          </w:p>
        </w:tc>
        <w:tc>
          <w:tcPr>
            <w:tcW w:w="3870" w:type="dxa"/>
            <w:gridSpan w:val="3"/>
            <w:vAlign w:val="center"/>
          </w:tcPr>
          <w:p>
            <w:pPr>
              <w:adjustRightInd w:val="0"/>
              <w:spacing w:line="360" w:lineRule="atLeast"/>
              <w:jc w:val="center"/>
              <w:textAlignment w:val="baseline"/>
              <w:rPr>
                <w:color w:val="auto"/>
                <w:sz w:val="21"/>
                <w:szCs w:val="21"/>
                <w:highlight w:val="none"/>
              </w:rPr>
            </w:pPr>
          </w:p>
        </w:tc>
        <w:tc>
          <w:tcPr>
            <w:tcW w:w="1780" w:type="dxa"/>
            <w:vAlign w:val="center"/>
          </w:tcPr>
          <w:p>
            <w:pPr>
              <w:adjustRightInd w:val="0"/>
              <w:spacing w:line="360" w:lineRule="atLeast"/>
              <w:jc w:val="center"/>
              <w:textAlignment w:val="baseline"/>
              <w:rPr>
                <w:color w:val="auto"/>
                <w:sz w:val="21"/>
                <w:szCs w:val="21"/>
                <w:highlight w:val="none"/>
              </w:rPr>
            </w:pPr>
          </w:p>
        </w:tc>
        <w:tc>
          <w:tcPr>
            <w:tcW w:w="2218" w:type="dxa"/>
            <w:vAlign w:val="center"/>
          </w:tcPr>
          <w:p>
            <w:pPr>
              <w:adjustRightInd w:val="0"/>
              <w:spacing w:line="360" w:lineRule="atLeast"/>
              <w:jc w:val="center"/>
              <w:textAlignment w:val="baseline"/>
              <w:rPr>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1140" w:type="dxa"/>
            <w:vAlign w:val="center"/>
          </w:tcPr>
          <w:p>
            <w:pPr>
              <w:adjustRightInd w:val="0"/>
              <w:spacing w:line="360" w:lineRule="atLeast"/>
              <w:jc w:val="center"/>
              <w:textAlignment w:val="baseline"/>
              <w:rPr>
                <w:color w:val="auto"/>
                <w:sz w:val="21"/>
                <w:szCs w:val="21"/>
                <w:highlight w:val="none"/>
              </w:rPr>
            </w:pPr>
          </w:p>
        </w:tc>
        <w:tc>
          <w:tcPr>
            <w:tcW w:w="3870" w:type="dxa"/>
            <w:gridSpan w:val="3"/>
            <w:vAlign w:val="center"/>
          </w:tcPr>
          <w:p>
            <w:pPr>
              <w:adjustRightInd w:val="0"/>
              <w:spacing w:line="360" w:lineRule="atLeast"/>
              <w:jc w:val="center"/>
              <w:textAlignment w:val="baseline"/>
              <w:rPr>
                <w:color w:val="auto"/>
                <w:sz w:val="21"/>
                <w:szCs w:val="21"/>
                <w:highlight w:val="none"/>
              </w:rPr>
            </w:pPr>
          </w:p>
        </w:tc>
        <w:tc>
          <w:tcPr>
            <w:tcW w:w="1780" w:type="dxa"/>
            <w:vAlign w:val="center"/>
          </w:tcPr>
          <w:p>
            <w:pPr>
              <w:adjustRightInd w:val="0"/>
              <w:spacing w:line="360" w:lineRule="atLeast"/>
              <w:jc w:val="center"/>
              <w:textAlignment w:val="baseline"/>
              <w:rPr>
                <w:color w:val="auto"/>
                <w:sz w:val="21"/>
                <w:szCs w:val="21"/>
                <w:highlight w:val="none"/>
              </w:rPr>
            </w:pPr>
          </w:p>
        </w:tc>
        <w:tc>
          <w:tcPr>
            <w:tcW w:w="2218" w:type="dxa"/>
            <w:vAlign w:val="center"/>
          </w:tcPr>
          <w:p>
            <w:pPr>
              <w:adjustRightInd w:val="0"/>
              <w:spacing w:line="360" w:lineRule="atLeast"/>
              <w:jc w:val="center"/>
              <w:textAlignment w:val="baseline"/>
              <w:rPr>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1140" w:type="dxa"/>
            <w:vAlign w:val="center"/>
          </w:tcPr>
          <w:p>
            <w:pPr>
              <w:adjustRightInd w:val="0"/>
              <w:spacing w:line="360" w:lineRule="atLeast"/>
              <w:jc w:val="center"/>
              <w:textAlignment w:val="baseline"/>
              <w:rPr>
                <w:color w:val="auto"/>
                <w:sz w:val="21"/>
                <w:szCs w:val="21"/>
                <w:highlight w:val="none"/>
              </w:rPr>
            </w:pPr>
          </w:p>
        </w:tc>
        <w:tc>
          <w:tcPr>
            <w:tcW w:w="3870" w:type="dxa"/>
            <w:gridSpan w:val="3"/>
            <w:vAlign w:val="center"/>
          </w:tcPr>
          <w:p>
            <w:pPr>
              <w:adjustRightInd w:val="0"/>
              <w:spacing w:line="360" w:lineRule="atLeast"/>
              <w:jc w:val="center"/>
              <w:textAlignment w:val="baseline"/>
              <w:rPr>
                <w:color w:val="auto"/>
                <w:sz w:val="21"/>
                <w:szCs w:val="21"/>
                <w:highlight w:val="none"/>
              </w:rPr>
            </w:pPr>
          </w:p>
        </w:tc>
        <w:tc>
          <w:tcPr>
            <w:tcW w:w="1780" w:type="dxa"/>
            <w:vAlign w:val="center"/>
          </w:tcPr>
          <w:p>
            <w:pPr>
              <w:adjustRightInd w:val="0"/>
              <w:spacing w:line="360" w:lineRule="atLeast"/>
              <w:jc w:val="center"/>
              <w:textAlignment w:val="baseline"/>
              <w:rPr>
                <w:color w:val="auto"/>
                <w:sz w:val="21"/>
                <w:szCs w:val="21"/>
                <w:highlight w:val="none"/>
              </w:rPr>
            </w:pPr>
          </w:p>
        </w:tc>
        <w:tc>
          <w:tcPr>
            <w:tcW w:w="2218" w:type="dxa"/>
            <w:vAlign w:val="center"/>
          </w:tcPr>
          <w:p>
            <w:pPr>
              <w:adjustRightInd w:val="0"/>
              <w:spacing w:line="360" w:lineRule="atLeast"/>
              <w:jc w:val="center"/>
              <w:textAlignment w:val="baseline"/>
              <w:rPr>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1140" w:type="dxa"/>
            <w:vAlign w:val="center"/>
          </w:tcPr>
          <w:p>
            <w:pPr>
              <w:adjustRightInd w:val="0"/>
              <w:spacing w:line="360" w:lineRule="atLeast"/>
              <w:jc w:val="center"/>
              <w:textAlignment w:val="baseline"/>
              <w:rPr>
                <w:color w:val="auto"/>
                <w:sz w:val="21"/>
                <w:szCs w:val="21"/>
                <w:highlight w:val="none"/>
              </w:rPr>
            </w:pPr>
          </w:p>
        </w:tc>
        <w:tc>
          <w:tcPr>
            <w:tcW w:w="3870" w:type="dxa"/>
            <w:gridSpan w:val="3"/>
            <w:vAlign w:val="center"/>
          </w:tcPr>
          <w:p>
            <w:pPr>
              <w:adjustRightInd w:val="0"/>
              <w:spacing w:line="360" w:lineRule="atLeast"/>
              <w:jc w:val="center"/>
              <w:textAlignment w:val="baseline"/>
              <w:rPr>
                <w:color w:val="auto"/>
                <w:sz w:val="21"/>
                <w:szCs w:val="21"/>
                <w:highlight w:val="none"/>
              </w:rPr>
            </w:pPr>
          </w:p>
        </w:tc>
        <w:tc>
          <w:tcPr>
            <w:tcW w:w="1780" w:type="dxa"/>
            <w:vAlign w:val="center"/>
          </w:tcPr>
          <w:p>
            <w:pPr>
              <w:adjustRightInd w:val="0"/>
              <w:spacing w:line="360" w:lineRule="atLeast"/>
              <w:jc w:val="center"/>
              <w:textAlignment w:val="baseline"/>
              <w:rPr>
                <w:color w:val="auto"/>
                <w:sz w:val="21"/>
                <w:szCs w:val="21"/>
                <w:highlight w:val="none"/>
              </w:rPr>
            </w:pPr>
          </w:p>
        </w:tc>
        <w:tc>
          <w:tcPr>
            <w:tcW w:w="2218" w:type="dxa"/>
            <w:vAlign w:val="center"/>
          </w:tcPr>
          <w:p>
            <w:pPr>
              <w:adjustRightInd w:val="0"/>
              <w:spacing w:line="360" w:lineRule="atLeast"/>
              <w:jc w:val="center"/>
              <w:textAlignment w:val="baseline"/>
              <w:rPr>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1140" w:type="dxa"/>
            <w:vAlign w:val="center"/>
          </w:tcPr>
          <w:p>
            <w:pPr>
              <w:adjustRightInd w:val="0"/>
              <w:spacing w:line="360" w:lineRule="atLeast"/>
              <w:jc w:val="center"/>
              <w:textAlignment w:val="baseline"/>
              <w:rPr>
                <w:color w:val="auto"/>
                <w:sz w:val="21"/>
                <w:szCs w:val="21"/>
                <w:highlight w:val="none"/>
              </w:rPr>
            </w:pPr>
          </w:p>
        </w:tc>
        <w:tc>
          <w:tcPr>
            <w:tcW w:w="3870" w:type="dxa"/>
            <w:gridSpan w:val="3"/>
            <w:vAlign w:val="center"/>
          </w:tcPr>
          <w:p>
            <w:pPr>
              <w:adjustRightInd w:val="0"/>
              <w:spacing w:line="360" w:lineRule="atLeast"/>
              <w:jc w:val="center"/>
              <w:textAlignment w:val="baseline"/>
              <w:rPr>
                <w:color w:val="auto"/>
                <w:sz w:val="21"/>
                <w:szCs w:val="21"/>
                <w:highlight w:val="none"/>
              </w:rPr>
            </w:pPr>
          </w:p>
        </w:tc>
        <w:tc>
          <w:tcPr>
            <w:tcW w:w="1780" w:type="dxa"/>
            <w:vAlign w:val="center"/>
          </w:tcPr>
          <w:p>
            <w:pPr>
              <w:adjustRightInd w:val="0"/>
              <w:spacing w:line="360" w:lineRule="atLeast"/>
              <w:jc w:val="center"/>
              <w:textAlignment w:val="baseline"/>
              <w:rPr>
                <w:color w:val="auto"/>
                <w:sz w:val="21"/>
                <w:szCs w:val="21"/>
                <w:highlight w:val="none"/>
              </w:rPr>
            </w:pPr>
          </w:p>
        </w:tc>
        <w:tc>
          <w:tcPr>
            <w:tcW w:w="2218" w:type="dxa"/>
            <w:vAlign w:val="center"/>
          </w:tcPr>
          <w:p>
            <w:pPr>
              <w:adjustRightInd w:val="0"/>
              <w:spacing w:line="360" w:lineRule="atLeast"/>
              <w:jc w:val="center"/>
              <w:textAlignment w:val="baseline"/>
              <w:rPr>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1140" w:type="dxa"/>
            <w:vAlign w:val="center"/>
          </w:tcPr>
          <w:p>
            <w:pPr>
              <w:adjustRightInd w:val="0"/>
              <w:spacing w:line="360" w:lineRule="atLeast"/>
              <w:jc w:val="center"/>
              <w:textAlignment w:val="baseline"/>
              <w:rPr>
                <w:color w:val="auto"/>
                <w:sz w:val="21"/>
                <w:szCs w:val="21"/>
                <w:highlight w:val="none"/>
              </w:rPr>
            </w:pPr>
          </w:p>
        </w:tc>
        <w:tc>
          <w:tcPr>
            <w:tcW w:w="3870" w:type="dxa"/>
            <w:gridSpan w:val="3"/>
            <w:vAlign w:val="center"/>
          </w:tcPr>
          <w:p>
            <w:pPr>
              <w:adjustRightInd w:val="0"/>
              <w:spacing w:line="360" w:lineRule="atLeast"/>
              <w:jc w:val="center"/>
              <w:textAlignment w:val="baseline"/>
              <w:rPr>
                <w:color w:val="auto"/>
                <w:sz w:val="21"/>
                <w:szCs w:val="21"/>
                <w:highlight w:val="none"/>
              </w:rPr>
            </w:pPr>
          </w:p>
        </w:tc>
        <w:tc>
          <w:tcPr>
            <w:tcW w:w="1780" w:type="dxa"/>
            <w:vAlign w:val="center"/>
          </w:tcPr>
          <w:p>
            <w:pPr>
              <w:adjustRightInd w:val="0"/>
              <w:spacing w:line="360" w:lineRule="atLeast"/>
              <w:jc w:val="center"/>
              <w:textAlignment w:val="baseline"/>
              <w:rPr>
                <w:color w:val="auto"/>
                <w:sz w:val="21"/>
                <w:szCs w:val="21"/>
                <w:highlight w:val="none"/>
              </w:rPr>
            </w:pPr>
          </w:p>
        </w:tc>
        <w:tc>
          <w:tcPr>
            <w:tcW w:w="2218" w:type="dxa"/>
            <w:vAlign w:val="center"/>
          </w:tcPr>
          <w:p>
            <w:pPr>
              <w:adjustRightInd w:val="0"/>
              <w:spacing w:line="360" w:lineRule="atLeast"/>
              <w:jc w:val="center"/>
              <w:textAlignment w:val="baseline"/>
              <w:rPr>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1140" w:type="dxa"/>
            <w:vAlign w:val="center"/>
          </w:tcPr>
          <w:p>
            <w:pPr>
              <w:adjustRightInd w:val="0"/>
              <w:spacing w:line="360" w:lineRule="atLeast"/>
              <w:jc w:val="center"/>
              <w:textAlignment w:val="baseline"/>
              <w:rPr>
                <w:color w:val="auto"/>
                <w:sz w:val="21"/>
                <w:szCs w:val="21"/>
                <w:highlight w:val="none"/>
              </w:rPr>
            </w:pPr>
          </w:p>
        </w:tc>
        <w:tc>
          <w:tcPr>
            <w:tcW w:w="3870" w:type="dxa"/>
            <w:gridSpan w:val="3"/>
            <w:vAlign w:val="center"/>
          </w:tcPr>
          <w:p>
            <w:pPr>
              <w:adjustRightInd w:val="0"/>
              <w:spacing w:line="360" w:lineRule="atLeast"/>
              <w:jc w:val="center"/>
              <w:textAlignment w:val="baseline"/>
              <w:rPr>
                <w:color w:val="auto"/>
                <w:sz w:val="21"/>
                <w:szCs w:val="21"/>
                <w:highlight w:val="none"/>
              </w:rPr>
            </w:pPr>
          </w:p>
        </w:tc>
        <w:tc>
          <w:tcPr>
            <w:tcW w:w="1780" w:type="dxa"/>
            <w:vAlign w:val="center"/>
          </w:tcPr>
          <w:p>
            <w:pPr>
              <w:adjustRightInd w:val="0"/>
              <w:spacing w:line="360" w:lineRule="atLeast"/>
              <w:jc w:val="center"/>
              <w:textAlignment w:val="baseline"/>
              <w:rPr>
                <w:color w:val="auto"/>
                <w:sz w:val="21"/>
                <w:szCs w:val="21"/>
                <w:highlight w:val="none"/>
              </w:rPr>
            </w:pPr>
          </w:p>
        </w:tc>
        <w:tc>
          <w:tcPr>
            <w:tcW w:w="2218" w:type="dxa"/>
            <w:vAlign w:val="center"/>
          </w:tcPr>
          <w:p>
            <w:pPr>
              <w:adjustRightInd w:val="0"/>
              <w:spacing w:line="360" w:lineRule="atLeast"/>
              <w:jc w:val="center"/>
              <w:textAlignment w:val="baseline"/>
              <w:rPr>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1140" w:type="dxa"/>
            <w:vAlign w:val="center"/>
          </w:tcPr>
          <w:p>
            <w:pPr>
              <w:adjustRightInd w:val="0"/>
              <w:spacing w:line="360" w:lineRule="atLeast"/>
              <w:jc w:val="center"/>
              <w:textAlignment w:val="baseline"/>
              <w:rPr>
                <w:color w:val="auto"/>
                <w:sz w:val="21"/>
                <w:szCs w:val="21"/>
                <w:highlight w:val="none"/>
              </w:rPr>
            </w:pPr>
          </w:p>
        </w:tc>
        <w:tc>
          <w:tcPr>
            <w:tcW w:w="3870" w:type="dxa"/>
            <w:gridSpan w:val="3"/>
            <w:vAlign w:val="center"/>
          </w:tcPr>
          <w:p>
            <w:pPr>
              <w:adjustRightInd w:val="0"/>
              <w:spacing w:line="360" w:lineRule="atLeast"/>
              <w:jc w:val="center"/>
              <w:textAlignment w:val="baseline"/>
              <w:rPr>
                <w:color w:val="auto"/>
                <w:sz w:val="21"/>
                <w:szCs w:val="21"/>
                <w:highlight w:val="none"/>
              </w:rPr>
            </w:pPr>
          </w:p>
        </w:tc>
        <w:tc>
          <w:tcPr>
            <w:tcW w:w="1780" w:type="dxa"/>
            <w:vAlign w:val="center"/>
          </w:tcPr>
          <w:p>
            <w:pPr>
              <w:adjustRightInd w:val="0"/>
              <w:spacing w:line="360" w:lineRule="atLeast"/>
              <w:jc w:val="center"/>
              <w:textAlignment w:val="baseline"/>
              <w:rPr>
                <w:color w:val="auto"/>
                <w:sz w:val="21"/>
                <w:szCs w:val="21"/>
                <w:highlight w:val="none"/>
              </w:rPr>
            </w:pPr>
          </w:p>
        </w:tc>
        <w:tc>
          <w:tcPr>
            <w:tcW w:w="2218" w:type="dxa"/>
            <w:vAlign w:val="center"/>
          </w:tcPr>
          <w:p>
            <w:pPr>
              <w:adjustRightInd w:val="0"/>
              <w:spacing w:line="360" w:lineRule="atLeast"/>
              <w:jc w:val="center"/>
              <w:textAlignment w:val="baseline"/>
              <w:rPr>
                <w:color w:val="auto"/>
                <w:sz w:val="21"/>
                <w:szCs w:val="21"/>
                <w:highlight w:val="none"/>
              </w:rPr>
            </w:pPr>
          </w:p>
        </w:tc>
      </w:tr>
    </w:tbl>
    <w:p>
      <w:pPr>
        <w:tabs>
          <w:tab w:val="left" w:pos="1600"/>
        </w:tabs>
        <w:adjustRightInd w:val="0"/>
        <w:snapToGrid w:val="0"/>
        <w:spacing w:beforeLines="100" w:afterLines="100" w:line="360" w:lineRule="auto"/>
        <w:textAlignment w:val="baseline"/>
        <w:rPr>
          <w:rFonts w:hAnsi="Times New Roman"/>
          <w:b/>
          <w:color w:val="auto"/>
          <w:sz w:val="24"/>
          <w:highlight w:val="none"/>
        </w:rPr>
      </w:pPr>
      <w:r>
        <w:rPr>
          <w:rFonts w:hint="eastAsia" w:hAnsi="Times New Roman"/>
          <w:color w:val="auto"/>
          <w:sz w:val="21"/>
          <w:highlight w:val="none"/>
        </w:rPr>
        <w:br w:type="page"/>
      </w:r>
      <w:r>
        <w:rPr>
          <w:rFonts w:ascii="黑体" w:hAnsi="黑体" w:eastAsia="黑体"/>
          <w:color w:val="auto"/>
          <w:sz w:val="21"/>
          <w:szCs w:val="21"/>
          <w:highlight w:val="none"/>
        </w:rPr>
        <w:t>投标人基本情况表附件</w:t>
      </w:r>
      <w:r>
        <w:rPr>
          <w:rFonts w:hint="eastAsia" w:ascii="黑体" w:hAnsi="黑体" w:eastAsia="黑体"/>
          <w:color w:val="auto"/>
          <w:sz w:val="21"/>
          <w:szCs w:val="21"/>
          <w:highlight w:val="none"/>
        </w:rPr>
        <w:t>6、拟派出施工现场管理人员表</w:t>
      </w:r>
      <w:r>
        <w:rPr>
          <w:rStyle w:val="74"/>
          <w:rFonts w:ascii="黑体" w:hAnsi="黑体" w:eastAsia="黑体"/>
          <w:color w:val="auto"/>
          <w:sz w:val="21"/>
          <w:szCs w:val="21"/>
          <w:highlight w:val="none"/>
        </w:rPr>
        <w:footnoteReference w:id="41"/>
      </w:r>
      <w:r>
        <w:rPr>
          <w:rFonts w:ascii="黑体" w:hAnsi="黑体" w:eastAsia="黑体"/>
          <w:color w:val="auto"/>
          <w:sz w:val="21"/>
          <w:szCs w:val="21"/>
          <w:highlight w:val="none"/>
        </w:rPr>
        <w:t>：</w:t>
      </w:r>
    </w:p>
    <w:p>
      <w:pPr>
        <w:tabs>
          <w:tab w:val="left" w:pos="0"/>
          <w:tab w:val="left" w:pos="567"/>
          <w:tab w:val="left" w:pos="993"/>
          <w:tab w:val="left" w:pos="1134"/>
        </w:tabs>
        <w:adjustRightInd w:val="0"/>
        <w:snapToGrid w:val="0"/>
        <w:spacing w:before="120" w:after="120" w:line="300" w:lineRule="auto"/>
        <w:jc w:val="center"/>
        <w:textAlignment w:val="baseline"/>
        <w:rPr>
          <w:rFonts w:ascii="黑体" w:hAnsi="黑体" w:eastAsia="黑体"/>
          <w:color w:val="auto"/>
          <w:sz w:val="21"/>
          <w:szCs w:val="21"/>
          <w:highlight w:val="none"/>
        </w:rPr>
      </w:pPr>
      <w:r>
        <w:rPr>
          <w:rFonts w:hint="eastAsia" w:ascii="黑体" w:hAnsi="黑体" w:eastAsia="黑体"/>
          <w:color w:val="auto"/>
          <w:sz w:val="21"/>
          <w:szCs w:val="21"/>
          <w:highlight w:val="none"/>
        </w:rPr>
        <w:t>拟派出施工现场管理人员表</w:t>
      </w:r>
    </w:p>
    <w:p>
      <w:pPr>
        <w:pStyle w:val="59"/>
        <w:ind w:left="0" w:firstLine="0"/>
        <w:jc w:val="center"/>
        <w:rPr>
          <w:color w:val="auto"/>
          <w:highlight w:val="none"/>
        </w:rPr>
      </w:pPr>
      <w:r>
        <w:rPr>
          <w:rFonts w:hint="eastAsia" w:ascii="宋体" w:hAnsi="宋体"/>
          <w:color w:val="auto"/>
          <w:highlight w:val="none"/>
        </w:rPr>
        <w:t>（格式）</w:t>
      </w:r>
    </w:p>
    <w:p>
      <w:pPr>
        <w:tabs>
          <w:tab w:val="left" w:pos="0"/>
          <w:tab w:val="left" w:pos="567"/>
          <w:tab w:val="left" w:pos="993"/>
          <w:tab w:val="left" w:pos="1134"/>
        </w:tabs>
        <w:adjustRightInd w:val="0"/>
        <w:snapToGrid w:val="0"/>
        <w:spacing w:before="120" w:after="120" w:line="300" w:lineRule="auto"/>
        <w:jc w:val="left"/>
        <w:textAlignment w:val="baseline"/>
        <w:rPr>
          <w:rFonts w:cs="宋体"/>
          <w:b/>
          <w:bCs/>
          <w:color w:val="auto"/>
          <w:kern w:val="2"/>
          <w:sz w:val="21"/>
          <w:szCs w:val="21"/>
          <w:highlight w:val="none"/>
          <w:u w:val="single"/>
        </w:rPr>
      </w:pPr>
      <w:r>
        <w:rPr>
          <w:rFonts w:hint="eastAsia" w:cs="宋体"/>
          <w:b/>
          <w:bCs/>
          <w:color w:val="auto"/>
          <w:kern w:val="2"/>
          <w:sz w:val="21"/>
          <w:szCs w:val="21"/>
          <w:highlight w:val="none"/>
        </w:rPr>
        <w:t>编号：</w:t>
      </w:r>
      <w:r>
        <w:rPr>
          <w:rFonts w:hint="eastAsia" w:ascii="Times New Roman" w:hAnsi="Times New Roman"/>
          <w:color w:val="auto"/>
          <w:sz w:val="30"/>
          <w:szCs w:val="30"/>
          <w:highlight w:val="none"/>
          <w:u w:val="single"/>
        </w:rPr>
        <w:t xml:space="preserve">       </w:t>
      </w:r>
      <w:r>
        <w:rPr>
          <w:rFonts w:hint="eastAsia" w:cs="宋体"/>
          <w:b/>
          <w:bCs/>
          <w:color w:val="auto"/>
          <w:kern w:val="2"/>
          <w:sz w:val="21"/>
          <w:szCs w:val="21"/>
          <w:highlight w:val="none"/>
          <w:u w:val="single"/>
        </w:rPr>
        <w:t xml:space="preserve">（由福建省住房和城乡建设政务服务系统自动生成）    </w:t>
      </w:r>
      <w:r>
        <w:rPr>
          <w:rFonts w:hint="eastAsia" w:ascii="Times New Roman" w:hAnsi="Times New Roman"/>
          <w:color w:val="auto"/>
          <w:sz w:val="30"/>
          <w:szCs w:val="30"/>
          <w:highlight w:val="none"/>
          <w:u w:val="single"/>
        </w:rPr>
        <w:t xml:space="preserve">   </w:t>
      </w:r>
      <w:r>
        <w:rPr>
          <w:rFonts w:hint="eastAsia" w:cs="宋体"/>
          <w:b/>
          <w:bCs/>
          <w:color w:val="auto"/>
          <w:kern w:val="2"/>
          <w:sz w:val="21"/>
          <w:szCs w:val="21"/>
          <w:highlight w:val="none"/>
          <w:u w:val="single"/>
        </w:rPr>
        <w:t xml:space="preserve"> </w:t>
      </w:r>
    </w:p>
    <w:tbl>
      <w:tblPr>
        <w:tblStyle w:val="60"/>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8"/>
        <w:gridCol w:w="2259"/>
        <w:gridCol w:w="741"/>
        <w:gridCol w:w="1680"/>
        <w:gridCol w:w="1234"/>
        <w:gridCol w:w="2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977" w:type="dxa"/>
            <w:gridSpan w:val="2"/>
            <w:tcBorders>
              <w:top w:val="single" w:color="auto" w:sz="8" w:space="0"/>
              <w:left w:val="single" w:color="auto" w:sz="4" w:space="0"/>
              <w:right w:val="single" w:color="auto" w:sz="4" w:space="0"/>
            </w:tcBorders>
            <w:shd w:val="clear" w:color="auto" w:fill="FFFFFF"/>
            <w:vAlign w:val="center"/>
          </w:tcPr>
          <w:p>
            <w:pPr>
              <w:adjustRightInd w:val="0"/>
              <w:spacing w:line="440" w:lineRule="exact"/>
              <w:jc w:val="center"/>
              <w:textAlignment w:val="baseline"/>
              <w:rPr>
                <w:rFonts w:cs="宋体"/>
                <w:b/>
                <w:color w:val="auto"/>
                <w:kern w:val="2"/>
                <w:sz w:val="21"/>
                <w:szCs w:val="21"/>
                <w:highlight w:val="none"/>
              </w:rPr>
            </w:pPr>
            <w:r>
              <w:rPr>
                <w:rFonts w:hint="eastAsia" w:cs="宋体"/>
                <w:b/>
                <w:color w:val="auto"/>
                <w:kern w:val="2"/>
                <w:sz w:val="21"/>
                <w:szCs w:val="21"/>
                <w:highlight w:val="none"/>
              </w:rPr>
              <w:t>招标项目名称</w:t>
            </w:r>
          </w:p>
        </w:tc>
        <w:tc>
          <w:tcPr>
            <w:tcW w:w="6095" w:type="dxa"/>
            <w:gridSpan w:val="4"/>
            <w:tcBorders>
              <w:top w:val="single" w:color="auto" w:sz="8" w:space="0"/>
              <w:left w:val="single" w:color="auto" w:sz="4" w:space="0"/>
              <w:right w:val="single" w:color="auto" w:sz="4" w:space="0"/>
            </w:tcBorders>
            <w:shd w:val="clear" w:color="auto" w:fill="FFFFFF"/>
            <w:vAlign w:val="center"/>
          </w:tcPr>
          <w:p>
            <w:pPr>
              <w:adjustRightInd w:val="0"/>
              <w:spacing w:line="440" w:lineRule="exact"/>
              <w:jc w:val="center"/>
              <w:textAlignment w:val="baseline"/>
              <w:rPr>
                <w:rFonts w:cs="宋体"/>
                <w:b/>
                <w:color w:val="auto"/>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977" w:type="dxa"/>
            <w:gridSpan w:val="2"/>
            <w:tcBorders>
              <w:top w:val="single" w:color="auto" w:sz="8" w:space="0"/>
              <w:left w:val="single" w:color="auto" w:sz="4" w:space="0"/>
              <w:right w:val="single" w:color="auto" w:sz="4" w:space="0"/>
            </w:tcBorders>
            <w:shd w:val="clear" w:color="auto" w:fill="FFFFFF"/>
            <w:vAlign w:val="center"/>
          </w:tcPr>
          <w:p>
            <w:pPr>
              <w:adjustRightInd w:val="0"/>
              <w:spacing w:line="440" w:lineRule="exact"/>
              <w:jc w:val="center"/>
              <w:textAlignment w:val="baseline"/>
              <w:rPr>
                <w:rFonts w:cs="宋体"/>
                <w:b/>
                <w:color w:val="auto"/>
                <w:kern w:val="2"/>
                <w:sz w:val="21"/>
                <w:szCs w:val="21"/>
                <w:highlight w:val="none"/>
              </w:rPr>
            </w:pPr>
            <w:r>
              <w:rPr>
                <w:rFonts w:hint="eastAsia" w:cs="宋体"/>
                <w:b/>
                <w:color w:val="auto"/>
                <w:kern w:val="2"/>
                <w:sz w:val="21"/>
                <w:szCs w:val="21"/>
                <w:highlight w:val="none"/>
              </w:rPr>
              <w:t>招标项目编号</w:t>
            </w:r>
          </w:p>
        </w:tc>
        <w:tc>
          <w:tcPr>
            <w:tcW w:w="6095" w:type="dxa"/>
            <w:gridSpan w:val="4"/>
            <w:tcBorders>
              <w:top w:val="single" w:color="auto" w:sz="8" w:space="0"/>
              <w:left w:val="single" w:color="auto" w:sz="4" w:space="0"/>
              <w:right w:val="single" w:color="auto" w:sz="4" w:space="0"/>
            </w:tcBorders>
            <w:shd w:val="clear" w:color="auto" w:fill="FFFFFF"/>
            <w:vAlign w:val="center"/>
          </w:tcPr>
          <w:p>
            <w:pPr>
              <w:adjustRightInd w:val="0"/>
              <w:spacing w:line="440" w:lineRule="exact"/>
              <w:jc w:val="center"/>
              <w:textAlignment w:val="baseline"/>
              <w:rPr>
                <w:rFonts w:cs="宋体"/>
                <w:b/>
                <w:color w:val="auto"/>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977" w:type="dxa"/>
            <w:gridSpan w:val="2"/>
            <w:tcBorders>
              <w:top w:val="single" w:color="auto" w:sz="8" w:space="0"/>
              <w:left w:val="single" w:color="auto" w:sz="4" w:space="0"/>
              <w:right w:val="single" w:color="auto" w:sz="4" w:space="0"/>
            </w:tcBorders>
            <w:shd w:val="clear" w:color="auto" w:fill="FFFFFF"/>
            <w:vAlign w:val="center"/>
          </w:tcPr>
          <w:p>
            <w:pPr>
              <w:adjustRightInd w:val="0"/>
              <w:spacing w:line="440" w:lineRule="exact"/>
              <w:jc w:val="center"/>
              <w:textAlignment w:val="baseline"/>
              <w:rPr>
                <w:rFonts w:cs="宋体"/>
                <w:b/>
                <w:color w:val="auto"/>
                <w:kern w:val="2"/>
                <w:sz w:val="21"/>
                <w:szCs w:val="21"/>
                <w:highlight w:val="none"/>
              </w:rPr>
            </w:pPr>
            <w:r>
              <w:rPr>
                <w:rFonts w:hint="eastAsia" w:cs="宋体"/>
                <w:b/>
                <w:color w:val="auto"/>
                <w:kern w:val="2"/>
                <w:sz w:val="21"/>
                <w:szCs w:val="21"/>
                <w:highlight w:val="none"/>
              </w:rPr>
              <w:t>标段名称</w:t>
            </w:r>
          </w:p>
        </w:tc>
        <w:tc>
          <w:tcPr>
            <w:tcW w:w="6095" w:type="dxa"/>
            <w:gridSpan w:val="4"/>
            <w:tcBorders>
              <w:top w:val="single" w:color="auto" w:sz="8" w:space="0"/>
              <w:left w:val="single" w:color="auto" w:sz="4" w:space="0"/>
              <w:right w:val="single" w:color="auto" w:sz="4" w:space="0"/>
            </w:tcBorders>
            <w:shd w:val="clear" w:color="auto" w:fill="FFFFFF"/>
            <w:vAlign w:val="center"/>
          </w:tcPr>
          <w:p>
            <w:pPr>
              <w:adjustRightInd w:val="0"/>
              <w:spacing w:line="440" w:lineRule="exact"/>
              <w:jc w:val="center"/>
              <w:textAlignment w:val="baseline"/>
              <w:rPr>
                <w:rFonts w:cs="宋体"/>
                <w:b/>
                <w:color w:val="auto"/>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977" w:type="dxa"/>
            <w:gridSpan w:val="2"/>
            <w:tcBorders>
              <w:top w:val="single" w:color="auto" w:sz="8" w:space="0"/>
              <w:left w:val="single" w:color="auto" w:sz="4" w:space="0"/>
              <w:right w:val="single" w:color="auto" w:sz="4" w:space="0"/>
            </w:tcBorders>
            <w:shd w:val="clear" w:color="auto" w:fill="FFFFFF"/>
            <w:vAlign w:val="center"/>
          </w:tcPr>
          <w:p>
            <w:pPr>
              <w:adjustRightInd w:val="0"/>
              <w:spacing w:line="440" w:lineRule="exact"/>
              <w:jc w:val="center"/>
              <w:textAlignment w:val="baseline"/>
              <w:rPr>
                <w:rFonts w:cs="宋体"/>
                <w:b/>
                <w:color w:val="auto"/>
                <w:kern w:val="2"/>
                <w:sz w:val="21"/>
                <w:szCs w:val="21"/>
                <w:highlight w:val="none"/>
              </w:rPr>
            </w:pPr>
            <w:r>
              <w:rPr>
                <w:rFonts w:hint="eastAsia" w:cs="宋体"/>
                <w:b/>
                <w:color w:val="auto"/>
                <w:kern w:val="2"/>
                <w:sz w:val="21"/>
                <w:szCs w:val="21"/>
                <w:highlight w:val="none"/>
              </w:rPr>
              <w:t>标段编号</w:t>
            </w:r>
          </w:p>
        </w:tc>
        <w:tc>
          <w:tcPr>
            <w:tcW w:w="6095" w:type="dxa"/>
            <w:gridSpan w:val="4"/>
            <w:tcBorders>
              <w:top w:val="single" w:color="auto" w:sz="8" w:space="0"/>
              <w:left w:val="single" w:color="auto" w:sz="4" w:space="0"/>
              <w:right w:val="single" w:color="auto" w:sz="4" w:space="0"/>
            </w:tcBorders>
            <w:shd w:val="clear" w:color="auto" w:fill="FFFFFF"/>
            <w:vAlign w:val="center"/>
          </w:tcPr>
          <w:p>
            <w:pPr>
              <w:adjustRightInd w:val="0"/>
              <w:spacing w:line="440" w:lineRule="exact"/>
              <w:jc w:val="center"/>
              <w:textAlignment w:val="baseline"/>
              <w:rPr>
                <w:rFonts w:cs="宋体"/>
                <w:b/>
                <w:color w:val="auto"/>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977" w:type="dxa"/>
            <w:gridSpan w:val="2"/>
            <w:tcBorders>
              <w:top w:val="single" w:color="auto" w:sz="8" w:space="0"/>
              <w:left w:val="single" w:color="auto" w:sz="4" w:space="0"/>
              <w:right w:val="single" w:color="auto" w:sz="4" w:space="0"/>
            </w:tcBorders>
            <w:shd w:val="clear" w:color="auto" w:fill="FFFFFF"/>
            <w:vAlign w:val="center"/>
          </w:tcPr>
          <w:p>
            <w:pPr>
              <w:adjustRightInd w:val="0"/>
              <w:spacing w:line="440" w:lineRule="exact"/>
              <w:jc w:val="center"/>
              <w:textAlignment w:val="baseline"/>
              <w:rPr>
                <w:rFonts w:cs="宋体"/>
                <w:b/>
                <w:color w:val="auto"/>
                <w:kern w:val="2"/>
                <w:sz w:val="21"/>
                <w:szCs w:val="21"/>
                <w:highlight w:val="none"/>
              </w:rPr>
            </w:pPr>
            <w:r>
              <w:rPr>
                <w:rFonts w:hint="eastAsia" w:cs="宋体"/>
                <w:b/>
                <w:color w:val="auto"/>
                <w:kern w:val="2"/>
                <w:sz w:val="21"/>
                <w:szCs w:val="21"/>
                <w:highlight w:val="none"/>
              </w:rPr>
              <w:t>投标人名称</w:t>
            </w:r>
          </w:p>
        </w:tc>
        <w:tc>
          <w:tcPr>
            <w:tcW w:w="6095" w:type="dxa"/>
            <w:gridSpan w:val="4"/>
            <w:tcBorders>
              <w:top w:val="single" w:color="auto" w:sz="8" w:space="0"/>
              <w:left w:val="single" w:color="auto" w:sz="4" w:space="0"/>
              <w:right w:val="single" w:color="auto" w:sz="4" w:space="0"/>
            </w:tcBorders>
            <w:shd w:val="clear" w:color="auto" w:fill="FFFFFF"/>
            <w:vAlign w:val="center"/>
          </w:tcPr>
          <w:p>
            <w:pPr>
              <w:adjustRightInd w:val="0"/>
              <w:spacing w:line="440" w:lineRule="exact"/>
              <w:jc w:val="center"/>
              <w:textAlignment w:val="baseline"/>
              <w:rPr>
                <w:rFonts w:cs="宋体"/>
                <w:b/>
                <w:color w:val="auto"/>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977" w:type="dxa"/>
            <w:gridSpan w:val="2"/>
            <w:tcBorders>
              <w:top w:val="single" w:color="auto" w:sz="8" w:space="0"/>
              <w:left w:val="single" w:color="auto" w:sz="4" w:space="0"/>
              <w:right w:val="single" w:color="auto" w:sz="4" w:space="0"/>
            </w:tcBorders>
            <w:shd w:val="clear" w:color="auto" w:fill="FFFFFF"/>
            <w:vAlign w:val="center"/>
          </w:tcPr>
          <w:p>
            <w:pPr>
              <w:adjustRightInd w:val="0"/>
              <w:spacing w:line="440" w:lineRule="exact"/>
              <w:jc w:val="center"/>
              <w:textAlignment w:val="baseline"/>
              <w:rPr>
                <w:rFonts w:cs="宋体"/>
                <w:b/>
                <w:color w:val="auto"/>
                <w:kern w:val="2"/>
                <w:sz w:val="21"/>
                <w:szCs w:val="21"/>
                <w:highlight w:val="none"/>
              </w:rPr>
            </w:pPr>
            <w:r>
              <w:rPr>
                <w:rFonts w:hint="eastAsia" w:cs="宋体"/>
                <w:b/>
                <w:color w:val="auto"/>
                <w:kern w:val="2"/>
                <w:sz w:val="21"/>
                <w:szCs w:val="21"/>
                <w:highlight w:val="none"/>
              </w:rPr>
              <w:t>统一社会信用代码</w:t>
            </w:r>
          </w:p>
        </w:tc>
        <w:tc>
          <w:tcPr>
            <w:tcW w:w="6095" w:type="dxa"/>
            <w:gridSpan w:val="4"/>
            <w:tcBorders>
              <w:top w:val="single" w:color="auto" w:sz="8" w:space="0"/>
              <w:left w:val="single" w:color="auto" w:sz="4" w:space="0"/>
              <w:right w:val="single" w:color="auto" w:sz="4" w:space="0"/>
            </w:tcBorders>
            <w:shd w:val="clear" w:color="auto" w:fill="FFFFFF"/>
            <w:vAlign w:val="center"/>
          </w:tcPr>
          <w:p>
            <w:pPr>
              <w:adjustRightInd w:val="0"/>
              <w:spacing w:line="440" w:lineRule="exact"/>
              <w:jc w:val="center"/>
              <w:textAlignment w:val="baseline"/>
              <w:rPr>
                <w:rFonts w:cs="宋体"/>
                <w:b/>
                <w:color w:val="auto"/>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18" w:type="dxa"/>
            <w:tcBorders>
              <w:top w:val="single" w:color="auto" w:sz="8" w:space="0"/>
              <w:left w:val="single" w:color="auto" w:sz="4" w:space="0"/>
            </w:tcBorders>
            <w:shd w:val="clear" w:color="auto" w:fill="E7E6E6"/>
            <w:vAlign w:val="center"/>
          </w:tcPr>
          <w:p>
            <w:pPr>
              <w:adjustRightInd w:val="0"/>
              <w:spacing w:line="360" w:lineRule="exact"/>
              <w:jc w:val="center"/>
              <w:textAlignment w:val="baseline"/>
              <w:rPr>
                <w:rFonts w:cs="宋体"/>
                <w:b/>
                <w:color w:val="auto"/>
                <w:kern w:val="2"/>
                <w:sz w:val="21"/>
                <w:szCs w:val="21"/>
                <w:highlight w:val="none"/>
              </w:rPr>
            </w:pPr>
            <w:r>
              <w:rPr>
                <w:rFonts w:hint="eastAsia" w:cs="宋体"/>
                <w:b/>
                <w:color w:val="auto"/>
                <w:kern w:val="2"/>
                <w:sz w:val="21"/>
                <w:szCs w:val="21"/>
                <w:highlight w:val="none"/>
              </w:rPr>
              <w:t>一</w:t>
            </w:r>
          </w:p>
        </w:tc>
        <w:tc>
          <w:tcPr>
            <w:tcW w:w="2259" w:type="dxa"/>
            <w:tcBorders>
              <w:top w:val="single" w:color="auto" w:sz="8" w:space="0"/>
              <w:left w:val="single" w:color="auto" w:sz="4" w:space="0"/>
            </w:tcBorders>
            <w:shd w:val="clear" w:color="auto" w:fill="E7E6E6"/>
            <w:vAlign w:val="center"/>
          </w:tcPr>
          <w:p>
            <w:pPr>
              <w:adjustRightInd w:val="0"/>
              <w:spacing w:line="360" w:lineRule="exact"/>
              <w:jc w:val="center"/>
              <w:textAlignment w:val="baseline"/>
              <w:rPr>
                <w:rFonts w:cs="宋体"/>
                <w:b/>
                <w:color w:val="auto"/>
                <w:kern w:val="2"/>
                <w:sz w:val="21"/>
                <w:szCs w:val="21"/>
                <w:highlight w:val="none"/>
              </w:rPr>
            </w:pPr>
            <w:r>
              <w:rPr>
                <w:rFonts w:hint="eastAsia" w:cs="宋体"/>
                <w:b/>
                <w:color w:val="auto"/>
                <w:kern w:val="2"/>
                <w:sz w:val="21"/>
                <w:szCs w:val="21"/>
                <w:highlight w:val="none"/>
              </w:rPr>
              <w:t>岗位名称</w:t>
            </w:r>
          </w:p>
        </w:tc>
        <w:tc>
          <w:tcPr>
            <w:tcW w:w="741" w:type="dxa"/>
            <w:tcBorders>
              <w:top w:val="single" w:color="auto" w:sz="8" w:space="0"/>
            </w:tcBorders>
            <w:shd w:val="clear" w:color="auto" w:fill="E7E6E6"/>
            <w:vAlign w:val="center"/>
          </w:tcPr>
          <w:p>
            <w:pPr>
              <w:adjustRightInd w:val="0"/>
              <w:spacing w:line="360" w:lineRule="exact"/>
              <w:jc w:val="center"/>
              <w:textAlignment w:val="baseline"/>
              <w:rPr>
                <w:rFonts w:cs="宋体"/>
                <w:b/>
                <w:color w:val="auto"/>
                <w:kern w:val="2"/>
                <w:sz w:val="21"/>
                <w:szCs w:val="21"/>
                <w:highlight w:val="none"/>
              </w:rPr>
            </w:pPr>
            <w:r>
              <w:rPr>
                <w:rFonts w:hint="eastAsia" w:cs="宋体"/>
                <w:b/>
                <w:color w:val="auto"/>
                <w:kern w:val="2"/>
                <w:sz w:val="21"/>
                <w:szCs w:val="21"/>
                <w:highlight w:val="none"/>
              </w:rPr>
              <w:t>姓名</w:t>
            </w:r>
          </w:p>
        </w:tc>
        <w:tc>
          <w:tcPr>
            <w:tcW w:w="1680" w:type="dxa"/>
            <w:tcBorders>
              <w:top w:val="single" w:color="auto" w:sz="8" w:space="0"/>
            </w:tcBorders>
            <w:shd w:val="clear" w:color="auto" w:fill="E7E6E6"/>
            <w:vAlign w:val="center"/>
          </w:tcPr>
          <w:p>
            <w:pPr>
              <w:adjustRightInd w:val="0"/>
              <w:spacing w:line="360" w:lineRule="exact"/>
              <w:jc w:val="center"/>
              <w:textAlignment w:val="baseline"/>
              <w:rPr>
                <w:rFonts w:cs="宋体"/>
                <w:b/>
                <w:color w:val="auto"/>
                <w:kern w:val="2"/>
                <w:sz w:val="21"/>
                <w:szCs w:val="21"/>
                <w:highlight w:val="none"/>
              </w:rPr>
            </w:pPr>
            <w:r>
              <w:rPr>
                <w:rFonts w:hint="eastAsia" w:cs="宋体"/>
                <w:b/>
                <w:color w:val="auto"/>
                <w:kern w:val="2"/>
                <w:sz w:val="21"/>
                <w:szCs w:val="21"/>
                <w:highlight w:val="none"/>
              </w:rPr>
              <w:t>执业注册证书类型及等级</w:t>
            </w:r>
          </w:p>
        </w:tc>
        <w:tc>
          <w:tcPr>
            <w:tcW w:w="1234" w:type="dxa"/>
            <w:tcBorders>
              <w:top w:val="single" w:color="auto" w:sz="8" w:space="0"/>
              <w:right w:val="single" w:color="auto" w:sz="4" w:space="0"/>
            </w:tcBorders>
            <w:shd w:val="clear" w:color="auto" w:fill="E7E6E6"/>
            <w:vAlign w:val="center"/>
          </w:tcPr>
          <w:p>
            <w:pPr>
              <w:adjustRightInd w:val="0"/>
              <w:spacing w:line="360" w:lineRule="exact"/>
              <w:jc w:val="center"/>
              <w:textAlignment w:val="baseline"/>
              <w:rPr>
                <w:rFonts w:cs="宋体"/>
                <w:b/>
                <w:color w:val="auto"/>
                <w:kern w:val="2"/>
                <w:sz w:val="21"/>
                <w:szCs w:val="21"/>
                <w:highlight w:val="none"/>
              </w:rPr>
            </w:pPr>
            <w:r>
              <w:rPr>
                <w:rFonts w:hint="eastAsia" w:cs="宋体"/>
                <w:b/>
                <w:color w:val="auto"/>
                <w:kern w:val="2"/>
                <w:sz w:val="21"/>
                <w:szCs w:val="21"/>
                <w:highlight w:val="none"/>
              </w:rPr>
              <w:t>注册编号</w:t>
            </w:r>
          </w:p>
        </w:tc>
        <w:tc>
          <w:tcPr>
            <w:tcW w:w="2440" w:type="dxa"/>
            <w:tcBorders>
              <w:top w:val="single" w:color="auto" w:sz="8" w:space="0"/>
              <w:right w:val="single" w:color="auto" w:sz="4" w:space="0"/>
            </w:tcBorders>
            <w:shd w:val="clear" w:color="auto" w:fill="E7E6E6"/>
            <w:vAlign w:val="center"/>
          </w:tcPr>
          <w:p>
            <w:pPr>
              <w:adjustRightInd w:val="0"/>
              <w:spacing w:line="360" w:lineRule="exact"/>
              <w:jc w:val="center"/>
              <w:textAlignment w:val="baseline"/>
              <w:rPr>
                <w:rFonts w:cs="宋体"/>
                <w:b/>
                <w:color w:val="auto"/>
                <w:kern w:val="2"/>
                <w:sz w:val="21"/>
                <w:szCs w:val="21"/>
                <w:highlight w:val="none"/>
              </w:rPr>
            </w:pPr>
            <w:r>
              <w:rPr>
                <w:rFonts w:hint="eastAsia" w:cs="宋体"/>
                <w:b/>
                <w:color w:val="auto"/>
                <w:kern w:val="2"/>
                <w:sz w:val="21"/>
                <w:szCs w:val="21"/>
                <w:highlight w:val="none"/>
              </w:rPr>
              <w:t>注册专业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18" w:type="dxa"/>
            <w:tcBorders>
              <w:left w:val="single" w:color="auto" w:sz="4" w:space="0"/>
            </w:tcBorders>
          </w:tcPr>
          <w:p>
            <w:pPr>
              <w:adjustRightInd w:val="0"/>
              <w:spacing w:line="360" w:lineRule="exact"/>
              <w:jc w:val="center"/>
              <w:textAlignment w:val="baseline"/>
              <w:rPr>
                <w:rFonts w:cs="宋体"/>
                <w:color w:val="auto"/>
                <w:kern w:val="2"/>
                <w:sz w:val="21"/>
                <w:szCs w:val="21"/>
                <w:highlight w:val="none"/>
              </w:rPr>
            </w:pPr>
            <w:r>
              <w:rPr>
                <w:rFonts w:hint="eastAsia" w:cs="宋体"/>
                <w:color w:val="auto"/>
                <w:kern w:val="2"/>
                <w:sz w:val="21"/>
                <w:szCs w:val="21"/>
                <w:highlight w:val="none"/>
              </w:rPr>
              <w:t>1</w:t>
            </w:r>
          </w:p>
        </w:tc>
        <w:tc>
          <w:tcPr>
            <w:tcW w:w="2259" w:type="dxa"/>
            <w:tcBorders>
              <w:left w:val="single" w:color="auto" w:sz="4" w:space="0"/>
            </w:tcBorders>
          </w:tcPr>
          <w:p>
            <w:pPr>
              <w:adjustRightInd w:val="0"/>
              <w:spacing w:line="360" w:lineRule="exact"/>
              <w:jc w:val="center"/>
              <w:textAlignment w:val="baseline"/>
              <w:rPr>
                <w:rFonts w:cs="宋体"/>
                <w:color w:val="auto"/>
                <w:kern w:val="2"/>
                <w:sz w:val="21"/>
                <w:szCs w:val="21"/>
                <w:highlight w:val="none"/>
              </w:rPr>
            </w:pPr>
            <w:r>
              <w:rPr>
                <w:rFonts w:hint="eastAsia" w:cs="宋体"/>
                <w:color w:val="auto"/>
                <w:kern w:val="2"/>
                <w:sz w:val="21"/>
                <w:szCs w:val="21"/>
                <w:highlight w:val="none"/>
              </w:rPr>
              <w:t>项目负责人</w:t>
            </w:r>
          </w:p>
        </w:tc>
        <w:tc>
          <w:tcPr>
            <w:tcW w:w="741" w:type="dxa"/>
          </w:tcPr>
          <w:p>
            <w:pPr>
              <w:adjustRightInd w:val="0"/>
              <w:spacing w:line="360" w:lineRule="exact"/>
              <w:jc w:val="center"/>
              <w:textAlignment w:val="baseline"/>
              <w:rPr>
                <w:rFonts w:cs="宋体"/>
                <w:color w:val="auto"/>
                <w:kern w:val="2"/>
                <w:sz w:val="21"/>
                <w:szCs w:val="21"/>
                <w:highlight w:val="none"/>
              </w:rPr>
            </w:pPr>
          </w:p>
        </w:tc>
        <w:tc>
          <w:tcPr>
            <w:tcW w:w="1680" w:type="dxa"/>
          </w:tcPr>
          <w:p>
            <w:pPr>
              <w:adjustRightInd w:val="0"/>
              <w:spacing w:line="360" w:lineRule="exact"/>
              <w:jc w:val="center"/>
              <w:textAlignment w:val="baseline"/>
              <w:rPr>
                <w:rFonts w:cs="宋体"/>
                <w:color w:val="auto"/>
                <w:kern w:val="2"/>
                <w:sz w:val="21"/>
                <w:szCs w:val="21"/>
                <w:highlight w:val="none"/>
              </w:rPr>
            </w:pPr>
          </w:p>
        </w:tc>
        <w:tc>
          <w:tcPr>
            <w:tcW w:w="1234" w:type="dxa"/>
            <w:tcBorders>
              <w:right w:val="single" w:color="auto" w:sz="4" w:space="0"/>
            </w:tcBorders>
          </w:tcPr>
          <w:p>
            <w:pPr>
              <w:adjustRightInd w:val="0"/>
              <w:spacing w:line="360" w:lineRule="exact"/>
              <w:jc w:val="center"/>
              <w:textAlignment w:val="baseline"/>
              <w:rPr>
                <w:rFonts w:cs="宋体"/>
                <w:color w:val="auto"/>
                <w:kern w:val="2"/>
                <w:sz w:val="21"/>
                <w:szCs w:val="21"/>
                <w:highlight w:val="none"/>
              </w:rPr>
            </w:pPr>
          </w:p>
        </w:tc>
        <w:tc>
          <w:tcPr>
            <w:tcW w:w="2440" w:type="dxa"/>
            <w:tcBorders>
              <w:right w:val="single" w:color="auto" w:sz="4" w:space="0"/>
            </w:tcBorders>
          </w:tcPr>
          <w:p>
            <w:pPr>
              <w:adjustRightInd w:val="0"/>
              <w:spacing w:line="360" w:lineRule="exact"/>
              <w:jc w:val="center"/>
              <w:textAlignment w:val="baseline"/>
              <w:rPr>
                <w:rFonts w:cs="宋体"/>
                <w:color w:val="auto"/>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18" w:type="dxa"/>
            <w:tcBorders>
              <w:left w:val="single" w:color="auto" w:sz="4" w:space="0"/>
            </w:tcBorders>
          </w:tcPr>
          <w:p>
            <w:pPr>
              <w:adjustRightInd w:val="0"/>
              <w:spacing w:line="360" w:lineRule="exact"/>
              <w:jc w:val="center"/>
              <w:textAlignment w:val="baseline"/>
              <w:rPr>
                <w:rFonts w:cs="宋体"/>
                <w:color w:val="auto"/>
                <w:kern w:val="2"/>
                <w:sz w:val="21"/>
                <w:szCs w:val="21"/>
                <w:highlight w:val="none"/>
              </w:rPr>
            </w:pPr>
            <w:r>
              <w:rPr>
                <w:rFonts w:hint="eastAsia" w:cs="宋体"/>
                <w:color w:val="auto"/>
                <w:kern w:val="2"/>
                <w:sz w:val="21"/>
                <w:szCs w:val="21"/>
                <w:highlight w:val="none"/>
              </w:rPr>
              <w:t>2</w:t>
            </w:r>
          </w:p>
        </w:tc>
        <w:tc>
          <w:tcPr>
            <w:tcW w:w="2259" w:type="dxa"/>
            <w:tcBorders>
              <w:left w:val="single" w:color="auto" w:sz="4" w:space="0"/>
            </w:tcBorders>
          </w:tcPr>
          <w:p>
            <w:pPr>
              <w:adjustRightInd w:val="0"/>
              <w:spacing w:line="360" w:lineRule="exact"/>
              <w:jc w:val="center"/>
              <w:textAlignment w:val="baseline"/>
              <w:rPr>
                <w:rFonts w:cs="宋体"/>
                <w:color w:val="auto"/>
                <w:kern w:val="2"/>
                <w:sz w:val="21"/>
                <w:szCs w:val="21"/>
                <w:highlight w:val="none"/>
              </w:rPr>
            </w:pPr>
            <w:r>
              <w:rPr>
                <w:rFonts w:hint="eastAsia" w:cs="宋体"/>
                <w:color w:val="auto"/>
                <w:kern w:val="2"/>
                <w:sz w:val="21"/>
                <w:szCs w:val="21"/>
                <w:highlight w:val="none"/>
              </w:rPr>
              <w:t>项目副经理（如有）</w:t>
            </w:r>
          </w:p>
        </w:tc>
        <w:tc>
          <w:tcPr>
            <w:tcW w:w="741" w:type="dxa"/>
          </w:tcPr>
          <w:p>
            <w:pPr>
              <w:adjustRightInd w:val="0"/>
              <w:spacing w:line="360" w:lineRule="exact"/>
              <w:jc w:val="center"/>
              <w:textAlignment w:val="baseline"/>
              <w:rPr>
                <w:rFonts w:cs="宋体"/>
                <w:color w:val="auto"/>
                <w:kern w:val="2"/>
                <w:sz w:val="21"/>
                <w:szCs w:val="21"/>
                <w:highlight w:val="none"/>
              </w:rPr>
            </w:pPr>
          </w:p>
        </w:tc>
        <w:tc>
          <w:tcPr>
            <w:tcW w:w="1680" w:type="dxa"/>
          </w:tcPr>
          <w:p>
            <w:pPr>
              <w:adjustRightInd w:val="0"/>
              <w:spacing w:line="360" w:lineRule="exact"/>
              <w:jc w:val="center"/>
              <w:textAlignment w:val="baseline"/>
              <w:rPr>
                <w:rFonts w:cs="宋体"/>
                <w:color w:val="auto"/>
                <w:kern w:val="2"/>
                <w:sz w:val="21"/>
                <w:szCs w:val="21"/>
                <w:highlight w:val="none"/>
              </w:rPr>
            </w:pPr>
          </w:p>
        </w:tc>
        <w:tc>
          <w:tcPr>
            <w:tcW w:w="1234" w:type="dxa"/>
            <w:tcBorders>
              <w:right w:val="single" w:color="auto" w:sz="4" w:space="0"/>
            </w:tcBorders>
          </w:tcPr>
          <w:p>
            <w:pPr>
              <w:adjustRightInd w:val="0"/>
              <w:spacing w:line="360" w:lineRule="exact"/>
              <w:jc w:val="center"/>
              <w:textAlignment w:val="baseline"/>
              <w:rPr>
                <w:rFonts w:cs="宋体"/>
                <w:color w:val="auto"/>
                <w:kern w:val="2"/>
                <w:sz w:val="21"/>
                <w:szCs w:val="21"/>
                <w:highlight w:val="none"/>
              </w:rPr>
            </w:pPr>
          </w:p>
        </w:tc>
        <w:tc>
          <w:tcPr>
            <w:tcW w:w="2440" w:type="dxa"/>
            <w:tcBorders>
              <w:right w:val="single" w:color="auto" w:sz="4" w:space="0"/>
            </w:tcBorders>
          </w:tcPr>
          <w:p>
            <w:pPr>
              <w:adjustRightInd w:val="0"/>
              <w:spacing w:line="360" w:lineRule="exact"/>
              <w:jc w:val="center"/>
              <w:textAlignment w:val="baseline"/>
              <w:rPr>
                <w:rFonts w:cs="宋体"/>
                <w:color w:val="auto"/>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18" w:type="dxa"/>
            <w:tcBorders>
              <w:left w:val="single" w:color="auto" w:sz="4" w:space="0"/>
            </w:tcBorders>
            <w:shd w:val="clear" w:color="auto" w:fill="E7E6E6"/>
          </w:tcPr>
          <w:p>
            <w:pPr>
              <w:adjustRightInd w:val="0"/>
              <w:spacing w:line="360" w:lineRule="exact"/>
              <w:jc w:val="center"/>
              <w:textAlignment w:val="baseline"/>
              <w:rPr>
                <w:rFonts w:cs="宋体"/>
                <w:color w:val="auto"/>
                <w:kern w:val="2"/>
                <w:sz w:val="21"/>
                <w:szCs w:val="21"/>
                <w:highlight w:val="none"/>
              </w:rPr>
            </w:pPr>
            <w:r>
              <w:rPr>
                <w:rFonts w:hint="eastAsia" w:cs="宋体"/>
                <w:b/>
                <w:color w:val="auto"/>
                <w:kern w:val="2"/>
                <w:sz w:val="21"/>
                <w:szCs w:val="21"/>
                <w:highlight w:val="none"/>
              </w:rPr>
              <w:t>二</w:t>
            </w:r>
          </w:p>
        </w:tc>
        <w:tc>
          <w:tcPr>
            <w:tcW w:w="2259" w:type="dxa"/>
            <w:tcBorders>
              <w:left w:val="single" w:color="auto" w:sz="4" w:space="0"/>
            </w:tcBorders>
            <w:shd w:val="clear" w:color="auto" w:fill="E7E6E6"/>
          </w:tcPr>
          <w:p>
            <w:pPr>
              <w:adjustRightInd w:val="0"/>
              <w:spacing w:line="360" w:lineRule="exact"/>
              <w:jc w:val="center"/>
              <w:textAlignment w:val="baseline"/>
              <w:rPr>
                <w:rFonts w:cs="宋体"/>
                <w:b/>
                <w:color w:val="auto"/>
                <w:kern w:val="2"/>
                <w:sz w:val="21"/>
                <w:szCs w:val="21"/>
                <w:highlight w:val="none"/>
              </w:rPr>
            </w:pPr>
            <w:r>
              <w:rPr>
                <w:rFonts w:hint="eastAsia" w:cs="宋体"/>
                <w:b/>
                <w:color w:val="auto"/>
                <w:kern w:val="2"/>
                <w:sz w:val="21"/>
                <w:szCs w:val="21"/>
                <w:highlight w:val="none"/>
              </w:rPr>
              <w:t>岗位名称</w:t>
            </w:r>
          </w:p>
        </w:tc>
        <w:tc>
          <w:tcPr>
            <w:tcW w:w="741" w:type="dxa"/>
            <w:shd w:val="clear" w:color="auto" w:fill="E7E6E6"/>
          </w:tcPr>
          <w:p>
            <w:pPr>
              <w:adjustRightInd w:val="0"/>
              <w:spacing w:line="360" w:lineRule="exact"/>
              <w:jc w:val="center"/>
              <w:textAlignment w:val="baseline"/>
              <w:rPr>
                <w:rFonts w:cs="宋体"/>
                <w:color w:val="auto"/>
                <w:kern w:val="2"/>
                <w:sz w:val="21"/>
                <w:szCs w:val="21"/>
                <w:highlight w:val="none"/>
              </w:rPr>
            </w:pPr>
            <w:r>
              <w:rPr>
                <w:rFonts w:hint="eastAsia" w:cs="宋体"/>
                <w:b/>
                <w:color w:val="auto"/>
                <w:kern w:val="2"/>
                <w:sz w:val="21"/>
                <w:szCs w:val="21"/>
                <w:highlight w:val="none"/>
              </w:rPr>
              <w:t>姓名</w:t>
            </w:r>
          </w:p>
        </w:tc>
        <w:tc>
          <w:tcPr>
            <w:tcW w:w="1680" w:type="dxa"/>
            <w:shd w:val="clear" w:color="auto" w:fill="E7E6E6"/>
          </w:tcPr>
          <w:p>
            <w:pPr>
              <w:adjustRightInd w:val="0"/>
              <w:spacing w:line="360" w:lineRule="exact"/>
              <w:jc w:val="center"/>
              <w:textAlignment w:val="baseline"/>
              <w:rPr>
                <w:rFonts w:cs="宋体"/>
                <w:b/>
                <w:bCs/>
                <w:color w:val="auto"/>
                <w:kern w:val="2"/>
                <w:sz w:val="21"/>
                <w:szCs w:val="21"/>
                <w:highlight w:val="none"/>
              </w:rPr>
            </w:pPr>
            <w:r>
              <w:rPr>
                <w:rFonts w:hint="eastAsia" w:cs="宋体"/>
                <w:b/>
                <w:bCs/>
                <w:color w:val="auto"/>
                <w:kern w:val="2"/>
                <w:sz w:val="21"/>
                <w:szCs w:val="21"/>
                <w:highlight w:val="none"/>
              </w:rPr>
              <w:t>职称类型</w:t>
            </w:r>
          </w:p>
        </w:tc>
        <w:tc>
          <w:tcPr>
            <w:tcW w:w="1234" w:type="dxa"/>
            <w:tcBorders>
              <w:right w:val="single" w:color="auto" w:sz="4" w:space="0"/>
            </w:tcBorders>
            <w:shd w:val="clear" w:color="auto" w:fill="E7E6E6"/>
          </w:tcPr>
          <w:p>
            <w:pPr>
              <w:adjustRightInd w:val="0"/>
              <w:spacing w:line="360" w:lineRule="exact"/>
              <w:jc w:val="center"/>
              <w:textAlignment w:val="baseline"/>
              <w:rPr>
                <w:rFonts w:cs="宋体"/>
                <w:b/>
                <w:bCs/>
                <w:color w:val="auto"/>
                <w:kern w:val="2"/>
                <w:sz w:val="21"/>
                <w:szCs w:val="21"/>
                <w:highlight w:val="none"/>
              </w:rPr>
            </w:pPr>
            <w:r>
              <w:rPr>
                <w:rFonts w:hint="eastAsia" w:cs="宋体"/>
                <w:b/>
                <w:bCs/>
                <w:color w:val="auto"/>
                <w:kern w:val="2"/>
                <w:sz w:val="21"/>
                <w:szCs w:val="21"/>
                <w:highlight w:val="none"/>
              </w:rPr>
              <w:t>职称编号</w:t>
            </w:r>
          </w:p>
        </w:tc>
        <w:tc>
          <w:tcPr>
            <w:tcW w:w="2440" w:type="dxa"/>
            <w:tcBorders>
              <w:right w:val="single" w:color="auto" w:sz="4" w:space="0"/>
            </w:tcBorders>
            <w:shd w:val="clear" w:color="auto" w:fill="E7E6E6"/>
          </w:tcPr>
          <w:p>
            <w:pPr>
              <w:adjustRightInd w:val="0"/>
              <w:spacing w:line="360" w:lineRule="exact"/>
              <w:jc w:val="center"/>
              <w:textAlignment w:val="baseline"/>
              <w:rPr>
                <w:rFonts w:cs="宋体"/>
                <w:b/>
                <w:bCs/>
                <w:color w:val="auto"/>
                <w:kern w:val="2"/>
                <w:sz w:val="21"/>
                <w:szCs w:val="21"/>
                <w:highlight w:val="none"/>
              </w:rPr>
            </w:pPr>
            <w:r>
              <w:rPr>
                <w:rFonts w:hint="eastAsia" w:cs="宋体"/>
                <w:b/>
                <w:bCs/>
                <w:color w:val="auto"/>
                <w:kern w:val="2"/>
                <w:sz w:val="21"/>
                <w:szCs w:val="21"/>
                <w:highlight w:val="none"/>
              </w:rPr>
              <w:t>职称专业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18" w:type="dxa"/>
            <w:tcBorders>
              <w:left w:val="single" w:color="auto" w:sz="4" w:space="0"/>
            </w:tcBorders>
          </w:tcPr>
          <w:p>
            <w:pPr>
              <w:adjustRightInd w:val="0"/>
              <w:spacing w:line="360" w:lineRule="exact"/>
              <w:jc w:val="center"/>
              <w:textAlignment w:val="baseline"/>
              <w:rPr>
                <w:rFonts w:cs="宋体"/>
                <w:color w:val="auto"/>
                <w:kern w:val="2"/>
                <w:sz w:val="21"/>
                <w:szCs w:val="21"/>
                <w:highlight w:val="none"/>
              </w:rPr>
            </w:pPr>
            <w:r>
              <w:rPr>
                <w:rFonts w:hint="eastAsia" w:cs="宋体"/>
                <w:color w:val="auto"/>
                <w:kern w:val="2"/>
                <w:sz w:val="21"/>
                <w:szCs w:val="21"/>
                <w:highlight w:val="none"/>
              </w:rPr>
              <w:t>3</w:t>
            </w:r>
          </w:p>
        </w:tc>
        <w:tc>
          <w:tcPr>
            <w:tcW w:w="2259" w:type="dxa"/>
            <w:tcBorders>
              <w:left w:val="single" w:color="auto" w:sz="4" w:space="0"/>
            </w:tcBorders>
          </w:tcPr>
          <w:p>
            <w:pPr>
              <w:adjustRightInd w:val="0"/>
              <w:spacing w:line="360" w:lineRule="exact"/>
              <w:jc w:val="center"/>
              <w:textAlignment w:val="baseline"/>
              <w:rPr>
                <w:rFonts w:cs="宋体"/>
                <w:color w:val="auto"/>
                <w:kern w:val="2"/>
                <w:sz w:val="21"/>
                <w:szCs w:val="21"/>
                <w:highlight w:val="none"/>
              </w:rPr>
            </w:pPr>
            <w:r>
              <w:rPr>
                <w:rFonts w:hint="eastAsia" w:cs="宋体"/>
                <w:color w:val="auto"/>
                <w:kern w:val="2"/>
                <w:sz w:val="21"/>
                <w:szCs w:val="21"/>
                <w:highlight w:val="none"/>
              </w:rPr>
              <w:t>项目技术负责人</w:t>
            </w:r>
          </w:p>
        </w:tc>
        <w:tc>
          <w:tcPr>
            <w:tcW w:w="741" w:type="dxa"/>
          </w:tcPr>
          <w:p>
            <w:pPr>
              <w:adjustRightInd w:val="0"/>
              <w:spacing w:line="360" w:lineRule="exact"/>
              <w:jc w:val="center"/>
              <w:textAlignment w:val="baseline"/>
              <w:rPr>
                <w:rFonts w:cs="宋体"/>
                <w:color w:val="auto"/>
                <w:kern w:val="2"/>
                <w:sz w:val="21"/>
                <w:szCs w:val="21"/>
                <w:highlight w:val="none"/>
              </w:rPr>
            </w:pPr>
          </w:p>
        </w:tc>
        <w:tc>
          <w:tcPr>
            <w:tcW w:w="1680" w:type="dxa"/>
          </w:tcPr>
          <w:p>
            <w:pPr>
              <w:adjustRightInd w:val="0"/>
              <w:spacing w:line="360" w:lineRule="exact"/>
              <w:jc w:val="center"/>
              <w:textAlignment w:val="baseline"/>
              <w:rPr>
                <w:rFonts w:cs="宋体"/>
                <w:b/>
                <w:bCs/>
                <w:color w:val="auto"/>
                <w:kern w:val="2"/>
                <w:sz w:val="21"/>
                <w:szCs w:val="21"/>
                <w:highlight w:val="none"/>
              </w:rPr>
            </w:pPr>
          </w:p>
        </w:tc>
        <w:tc>
          <w:tcPr>
            <w:tcW w:w="1234" w:type="dxa"/>
            <w:tcBorders>
              <w:right w:val="single" w:color="auto" w:sz="4" w:space="0"/>
            </w:tcBorders>
          </w:tcPr>
          <w:p>
            <w:pPr>
              <w:adjustRightInd w:val="0"/>
              <w:spacing w:line="360" w:lineRule="exact"/>
              <w:jc w:val="center"/>
              <w:textAlignment w:val="baseline"/>
              <w:rPr>
                <w:rFonts w:cs="宋体"/>
                <w:b/>
                <w:bCs/>
                <w:color w:val="auto"/>
                <w:kern w:val="2"/>
                <w:sz w:val="21"/>
                <w:szCs w:val="21"/>
                <w:highlight w:val="none"/>
              </w:rPr>
            </w:pPr>
          </w:p>
        </w:tc>
        <w:tc>
          <w:tcPr>
            <w:tcW w:w="2440" w:type="dxa"/>
            <w:tcBorders>
              <w:right w:val="single" w:color="auto" w:sz="4" w:space="0"/>
            </w:tcBorders>
          </w:tcPr>
          <w:p>
            <w:pPr>
              <w:adjustRightInd w:val="0"/>
              <w:spacing w:line="360" w:lineRule="exact"/>
              <w:jc w:val="center"/>
              <w:textAlignment w:val="baseline"/>
              <w:rPr>
                <w:rFonts w:cs="宋体"/>
                <w:b/>
                <w:bCs/>
                <w:color w:val="auto"/>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18" w:type="dxa"/>
            <w:tcBorders>
              <w:left w:val="single" w:color="auto" w:sz="4" w:space="0"/>
            </w:tcBorders>
            <w:shd w:val="clear" w:color="auto" w:fill="E7E6E6"/>
          </w:tcPr>
          <w:p>
            <w:pPr>
              <w:adjustRightInd w:val="0"/>
              <w:spacing w:line="360" w:lineRule="exact"/>
              <w:jc w:val="center"/>
              <w:textAlignment w:val="baseline"/>
              <w:rPr>
                <w:rFonts w:cs="宋体"/>
                <w:color w:val="auto"/>
                <w:kern w:val="2"/>
                <w:sz w:val="21"/>
                <w:szCs w:val="21"/>
                <w:highlight w:val="none"/>
              </w:rPr>
            </w:pPr>
            <w:r>
              <w:rPr>
                <w:rFonts w:hint="eastAsia" w:cs="宋体"/>
                <w:b/>
                <w:color w:val="auto"/>
                <w:kern w:val="2"/>
                <w:sz w:val="21"/>
                <w:szCs w:val="21"/>
                <w:highlight w:val="none"/>
              </w:rPr>
              <w:t>三</w:t>
            </w:r>
          </w:p>
        </w:tc>
        <w:tc>
          <w:tcPr>
            <w:tcW w:w="2259" w:type="dxa"/>
            <w:tcBorders>
              <w:left w:val="single" w:color="auto" w:sz="4" w:space="0"/>
            </w:tcBorders>
            <w:shd w:val="clear" w:color="auto" w:fill="E7E6E6"/>
          </w:tcPr>
          <w:p>
            <w:pPr>
              <w:adjustRightInd w:val="0"/>
              <w:spacing w:line="360" w:lineRule="exact"/>
              <w:jc w:val="center"/>
              <w:textAlignment w:val="baseline"/>
              <w:rPr>
                <w:rFonts w:cs="宋体"/>
                <w:b/>
                <w:color w:val="auto"/>
                <w:kern w:val="2"/>
                <w:sz w:val="21"/>
                <w:szCs w:val="21"/>
                <w:highlight w:val="none"/>
              </w:rPr>
            </w:pPr>
            <w:r>
              <w:rPr>
                <w:rFonts w:hint="eastAsia" w:cs="宋体"/>
                <w:b/>
                <w:color w:val="auto"/>
                <w:kern w:val="2"/>
                <w:sz w:val="21"/>
                <w:szCs w:val="21"/>
                <w:highlight w:val="none"/>
              </w:rPr>
              <w:t>岗位名称</w:t>
            </w:r>
          </w:p>
        </w:tc>
        <w:tc>
          <w:tcPr>
            <w:tcW w:w="741" w:type="dxa"/>
            <w:shd w:val="clear" w:color="auto" w:fill="E7E6E6"/>
          </w:tcPr>
          <w:p>
            <w:pPr>
              <w:adjustRightInd w:val="0"/>
              <w:spacing w:line="360" w:lineRule="exact"/>
              <w:jc w:val="center"/>
              <w:textAlignment w:val="baseline"/>
              <w:rPr>
                <w:rFonts w:cs="宋体"/>
                <w:color w:val="auto"/>
                <w:kern w:val="2"/>
                <w:sz w:val="21"/>
                <w:szCs w:val="21"/>
                <w:highlight w:val="none"/>
              </w:rPr>
            </w:pPr>
            <w:r>
              <w:rPr>
                <w:rFonts w:hint="eastAsia" w:cs="宋体"/>
                <w:b/>
                <w:color w:val="auto"/>
                <w:kern w:val="2"/>
                <w:sz w:val="21"/>
                <w:szCs w:val="21"/>
                <w:highlight w:val="none"/>
              </w:rPr>
              <w:t>姓名</w:t>
            </w:r>
          </w:p>
        </w:tc>
        <w:tc>
          <w:tcPr>
            <w:tcW w:w="1680" w:type="dxa"/>
            <w:shd w:val="clear" w:color="auto" w:fill="E7E6E6"/>
          </w:tcPr>
          <w:p>
            <w:pPr>
              <w:adjustRightInd w:val="0"/>
              <w:spacing w:line="360" w:lineRule="exact"/>
              <w:jc w:val="center"/>
              <w:textAlignment w:val="baseline"/>
              <w:rPr>
                <w:rFonts w:cs="宋体"/>
                <w:b/>
                <w:bCs/>
                <w:color w:val="auto"/>
                <w:kern w:val="2"/>
                <w:sz w:val="21"/>
                <w:szCs w:val="21"/>
                <w:highlight w:val="none"/>
              </w:rPr>
            </w:pPr>
            <w:r>
              <w:rPr>
                <w:rFonts w:hint="eastAsia" w:cs="宋体"/>
                <w:b/>
                <w:bCs/>
                <w:color w:val="auto"/>
                <w:kern w:val="2"/>
                <w:sz w:val="21"/>
                <w:szCs w:val="21"/>
                <w:highlight w:val="none"/>
              </w:rPr>
              <w:t>岗位证书类型</w:t>
            </w:r>
          </w:p>
        </w:tc>
        <w:tc>
          <w:tcPr>
            <w:tcW w:w="3674" w:type="dxa"/>
            <w:gridSpan w:val="2"/>
            <w:tcBorders>
              <w:right w:val="single" w:color="auto" w:sz="4" w:space="0"/>
            </w:tcBorders>
            <w:shd w:val="clear" w:color="auto" w:fill="E7E6E6"/>
          </w:tcPr>
          <w:p>
            <w:pPr>
              <w:adjustRightInd w:val="0"/>
              <w:spacing w:line="360" w:lineRule="exact"/>
              <w:jc w:val="center"/>
              <w:textAlignment w:val="baseline"/>
              <w:rPr>
                <w:rFonts w:cs="宋体"/>
                <w:b/>
                <w:bCs/>
                <w:color w:val="auto"/>
                <w:kern w:val="2"/>
                <w:sz w:val="21"/>
                <w:szCs w:val="21"/>
                <w:highlight w:val="none"/>
              </w:rPr>
            </w:pPr>
            <w:r>
              <w:rPr>
                <w:rFonts w:hint="eastAsia" w:cs="宋体"/>
                <w:b/>
                <w:bCs/>
                <w:color w:val="auto"/>
                <w:kern w:val="2"/>
                <w:sz w:val="21"/>
                <w:szCs w:val="21"/>
                <w:highlight w:val="none"/>
              </w:rPr>
              <w:t>岗位证书编号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18" w:type="dxa"/>
            <w:tcBorders>
              <w:left w:val="single" w:color="auto" w:sz="4" w:space="0"/>
            </w:tcBorders>
          </w:tcPr>
          <w:p>
            <w:pPr>
              <w:adjustRightInd w:val="0"/>
              <w:spacing w:line="360" w:lineRule="exact"/>
              <w:jc w:val="center"/>
              <w:textAlignment w:val="baseline"/>
              <w:rPr>
                <w:rFonts w:cs="宋体"/>
                <w:color w:val="auto"/>
                <w:kern w:val="2"/>
                <w:sz w:val="21"/>
                <w:szCs w:val="21"/>
                <w:highlight w:val="none"/>
              </w:rPr>
            </w:pPr>
            <w:r>
              <w:rPr>
                <w:rFonts w:hint="eastAsia" w:cs="宋体"/>
                <w:color w:val="auto"/>
                <w:kern w:val="2"/>
                <w:sz w:val="21"/>
                <w:szCs w:val="21"/>
                <w:highlight w:val="none"/>
              </w:rPr>
              <w:t>4</w:t>
            </w:r>
          </w:p>
        </w:tc>
        <w:tc>
          <w:tcPr>
            <w:tcW w:w="2259" w:type="dxa"/>
            <w:tcBorders>
              <w:left w:val="single" w:color="auto" w:sz="4" w:space="0"/>
            </w:tcBorders>
          </w:tcPr>
          <w:p>
            <w:pPr>
              <w:adjustRightInd w:val="0"/>
              <w:spacing w:line="360" w:lineRule="exact"/>
              <w:jc w:val="center"/>
              <w:textAlignment w:val="baseline"/>
              <w:rPr>
                <w:rFonts w:cs="宋体"/>
                <w:color w:val="auto"/>
                <w:kern w:val="2"/>
                <w:sz w:val="21"/>
                <w:szCs w:val="21"/>
                <w:highlight w:val="none"/>
              </w:rPr>
            </w:pPr>
            <w:r>
              <w:rPr>
                <w:rFonts w:hint="eastAsia" w:cs="宋体"/>
                <w:color w:val="auto"/>
                <w:kern w:val="2"/>
                <w:sz w:val="21"/>
                <w:szCs w:val="21"/>
                <w:highlight w:val="none"/>
              </w:rPr>
              <w:t>施工员</w:t>
            </w:r>
          </w:p>
        </w:tc>
        <w:tc>
          <w:tcPr>
            <w:tcW w:w="741" w:type="dxa"/>
          </w:tcPr>
          <w:p>
            <w:pPr>
              <w:adjustRightInd w:val="0"/>
              <w:spacing w:line="360" w:lineRule="exact"/>
              <w:jc w:val="center"/>
              <w:textAlignment w:val="baseline"/>
              <w:rPr>
                <w:rFonts w:cs="宋体"/>
                <w:color w:val="auto"/>
                <w:kern w:val="2"/>
                <w:sz w:val="21"/>
                <w:szCs w:val="21"/>
                <w:highlight w:val="none"/>
              </w:rPr>
            </w:pPr>
          </w:p>
        </w:tc>
        <w:tc>
          <w:tcPr>
            <w:tcW w:w="1680" w:type="dxa"/>
          </w:tcPr>
          <w:p>
            <w:pPr>
              <w:adjustRightInd w:val="0"/>
              <w:spacing w:line="360" w:lineRule="exact"/>
              <w:jc w:val="center"/>
              <w:textAlignment w:val="baseline"/>
              <w:rPr>
                <w:rFonts w:cs="宋体"/>
                <w:color w:val="auto"/>
                <w:kern w:val="2"/>
                <w:sz w:val="21"/>
                <w:szCs w:val="21"/>
                <w:highlight w:val="none"/>
              </w:rPr>
            </w:pPr>
          </w:p>
        </w:tc>
        <w:tc>
          <w:tcPr>
            <w:tcW w:w="3674" w:type="dxa"/>
            <w:gridSpan w:val="2"/>
            <w:tcBorders>
              <w:right w:val="single" w:color="auto" w:sz="4" w:space="0"/>
            </w:tcBorders>
          </w:tcPr>
          <w:p>
            <w:pPr>
              <w:adjustRightInd w:val="0"/>
              <w:spacing w:line="360" w:lineRule="exact"/>
              <w:jc w:val="center"/>
              <w:textAlignment w:val="baseline"/>
              <w:rPr>
                <w:rFonts w:cs="宋体"/>
                <w:color w:val="auto"/>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18" w:type="dxa"/>
            <w:tcBorders>
              <w:left w:val="single" w:color="auto" w:sz="4" w:space="0"/>
            </w:tcBorders>
          </w:tcPr>
          <w:p>
            <w:pPr>
              <w:adjustRightInd w:val="0"/>
              <w:spacing w:line="360" w:lineRule="exact"/>
              <w:jc w:val="center"/>
              <w:textAlignment w:val="baseline"/>
              <w:rPr>
                <w:rFonts w:cs="宋体"/>
                <w:color w:val="auto"/>
                <w:kern w:val="2"/>
                <w:sz w:val="21"/>
                <w:szCs w:val="21"/>
                <w:highlight w:val="none"/>
              </w:rPr>
            </w:pPr>
            <w:r>
              <w:rPr>
                <w:rFonts w:hint="eastAsia" w:cs="宋体"/>
                <w:color w:val="auto"/>
                <w:kern w:val="2"/>
                <w:sz w:val="21"/>
                <w:szCs w:val="21"/>
                <w:highlight w:val="none"/>
              </w:rPr>
              <w:t>5</w:t>
            </w:r>
          </w:p>
        </w:tc>
        <w:tc>
          <w:tcPr>
            <w:tcW w:w="2259" w:type="dxa"/>
            <w:tcBorders>
              <w:left w:val="single" w:color="auto" w:sz="4" w:space="0"/>
            </w:tcBorders>
          </w:tcPr>
          <w:p>
            <w:pPr>
              <w:adjustRightInd w:val="0"/>
              <w:spacing w:line="360" w:lineRule="exact"/>
              <w:jc w:val="center"/>
              <w:textAlignment w:val="baseline"/>
              <w:rPr>
                <w:rFonts w:cs="宋体"/>
                <w:color w:val="auto"/>
                <w:kern w:val="2"/>
                <w:sz w:val="21"/>
                <w:szCs w:val="21"/>
                <w:highlight w:val="none"/>
              </w:rPr>
            </w:pPr>
            <w:r>
              <w:rPr>
                <w:rFonts w:hint="eastAsia" w:cs="宋体"/>
                <w:color w:val="auto"/>
                <w:kern w:val="2"/>
                <w:sz w:val="21"/>
                <w:szCs w:val="21"/>
                <w:highlight w:val="none"/>
              </w:rPr>
              <w:t>质量员</w:t>
            </w:r>
          </w:p>
        </w:tc>
        <w:tc>
          <w:tcPr>
            <w:tcW w:w="741" w:type="dxa"/>
          </w:tcPr>
          <w:p>
            <w:pPr>
              <w:adjustRightInd w:val="0"/>
              <w:spacing w:line="360" w:lineRule="exact"/>
              <w:jc w:val="center"/>
              <w:textAlignment w:val="baseline"/>
              <w:rPr>
                <w:rFonts w:cs="宋体"/>
                <w:color w:val="auto"/>
                <w:kern w:val="2"/>
                <w:sz w:val="21"/>
                <w:szCs w:val="21"/>
                <w:highlight w:val="none"/>
              </w:rPr>
            </w:pPr>
          </w:p>
        </w:tc>
        <w:tc>
          <w:tcPr>
            <w:tcW w:w="1680" w:type="dxa"/>
          </w:tcPr>
          <w:p>
            <w:pPr>
              <w:adjustRightInd w:val="0"/>
              <w:spacing w:line="360" w:lineRule="exact"/>
              <w:jc w:val="center"/>
              <w:textAlignment w:val="baseline"/>
              <w:rPr>
                <w:rFonts w:cs="宋体"/>
                <w:color w:val="auto"/>
                <w:kern w:val="2"/>
                <w:sz w:val="21"/>
                <w:szCs w:val="21"/>
                <w:highlight w:val="none"/>
              </w:rPr>
            </w:pPr>
          </w:p>
        </w:tc>
        <w:tc>
          <w:tcPr>
            <w:tcW w:w="3674" w:type="dxa"/>
            <w:gridSpan w:val="2"/>
            <w:tcBorders>
              <w:right w:val="single" w:color="auto" w:sz="4" w:space="0"/>
            </w:tcBorders>
          </w:tcPr>
          <w:p>
            <w:pPr>
              <w:adjustRightInd w:val="0"/>
              <w:spacing w:line="360" w:lineRule="exact"/>
              <w:jc w:val="center"/>
              <w:textAlignment w:val="baseline"/>
              <w:rPr>
                <w:rFonts w:cs="宋体"/>
                <w:color w:val="auto"/>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18" w:type="dxa"/>
            <w:tcBorders>
              <w:left w:val="single" w:color="auto" w:sz="4" w:space="0"/>
            </w:tcBorders>
          </w:tcPr>
          <w:p>
            <w:pPr>
              <w:adjustRightInd w:val="0"/>
              <w:spacing w:line="360" w:lineRule="exact"/>
              <w:jc w:val="center"/>
              <w:textAlignment w:val="baseline"/>
              <w:rPr>
                <w:rFonts w:cs="宋体"/>
                <w:color w:val="auto"/>
                <w:kern w:val="2"/>
                <w:sz w:val="21"/>
                <w:szCs w:val="21"/>
                <w:highlight w:val="none"/>
              </w:rPr>
            </w:pPr>
            <w:r>
              <w:rPr>
                <w:rFonts w:hint="eastAsia" w:cs="宋体"/>
                <w:color w:val="auto"/>
                <w:kern w:val="2"/>
                <w:sz w:val="21"/>
                <w:szCs w:val="21"/>
                <w:highlight w:val="none"/>
              </w:rPr>
              <w:t>6</w:t>
            </w:r>
          </w:p>
        </w:tc>
        <w:tc>
          <w:tcPr>
            <w:tcW w:w="2259" w:type="dxa"/>
            <w:tcBorders>
              <w:left w:val="single" w:color="auto" w:sz="4" w:space="0"/>
            </w:tcBorders>
          </w:tcPr>
          <w:p>
            <w:pPr>
              <w:adjustRightInd w:val="0"/>
              <w:spacing w:line="360" w:lineRule="exact"/>
              <w:jc w:val="center"/>
              <w:textAlignment w:val="baseline"/>
              <w:rPr>
                <w:rFonts w:cs="宋体"/>
                <w:color w:val="auto"/>
                <w:kern w:val="2"/>
                <w:sz w:val="21"/>
                <w:szCs w:val="21"/>
                <w:highlight w:val="none"/>
              </w:rPr>
            </w:pPr>
            <w:r>
              <w:rPr>
                <w:rFonts w:hint="eastAsia" w:cs="宋体"/>
                <w:color w:val="auto"/>
                <w:kern w:val="2"/>
                <w:sz w:val="21"/>
                <w:szCs w:val="21"/>
                <w:highlight w:val="none"/>
              </w:rPr>
              <w:t>材料员</w:t>
            </w:r>
          </w:p>
        </w:tc>
        <w:tc>
          <w:tcPr>
            <w:tcW w:w="741" w:type="dxa"/>
          </w:tcPr>
          <w:p>
            <w:pPr>
              <w:adjustRightInd w:val="0"/>
              <w:spacing w:line="360" w:lineRule="exact"/>
              <w:jc w:val="center"/>
              <w:textAlignment w:val="baseline"/>
              <w:rPr>
                <w:rFonts w:cs="宋体"/>
                <w:color w:val="auto"/>
                <w:kern w:val="2"/>
                <w:sz w:val="21"/>
                <w:szCs w:val="21"/>
                <w:highlight w:val="none"/>
              </w:rPr>
            </w:pPr>
          </w:p>
        </w:tc>
        <w:tc>
          <w:tcPr>
            <w:tcW w:w="1680" w:type="dxa"/>
          </w:tcPr>
          <w:p>
            <w:pPr>
              <w:adjustRightInd w:val="0"/>
              <w:spacing w:line="360" w:lineRule="exact"/>
              <w:jc w:val="center"/>
              <w:textAlignment w:val="baseline"/>
              <w:rPr>
                <w:rFonts w:cs="宋体"/>
                <w:color w:val="auto"/>
                <w:kern w:val="2"/>
                <w:sz w:val="21"/>
                <w:szCs w:val="21"/>
                <w:highlight w:val="none"/>
              </w:rPr>
            </w:pPr>
          </w:p>
        </w:tc>
        <w:tc>
          <w:tcPr>
            <w:tcW w:w="3674" w:type="dxa"/>
            <w:gridSpan w:val="2"/>
            <w:tcBorders>
              <w:right w:val="single" w:color="auto" w:sz="4" w:space="0"/>
            </w:tcBorders>
          </w:tcPr>
          <w:p>
            <w:pPr>
              <w:adjustRightInd w:val="0"/>
              <w:spacing w:line="360" w:lineRule="exact"/>
              <w:jc w:val="center"/>
              <w:textAlignment w:val="baseline"/>
              <w:rPr>
                <w:rFonts w:cs="宋体"/>
                <w:color w:val="auto"/>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18" w:type="dxa"/>
            <w:tcBorders>
              <w:left w:val="single" w:color="auto" w:sz="4" w:space="0"/>
            </w:tcBorders>
          </w:tcPr>
          <w:p>
            <w:pPr>
              <w:adjustRightInd w:val="0"/>
              <w:spacing w:line="360" w:lineRule="exact"/>
              <w:jc w:val="center"/>
              <w:textAlignment w:val="baseline"/>
              <w:rPr>
                <w:rFonts w:cs="宋体"/>
                <w:color w:val="auto"/>
                <w:kern w:val="2"/>
                <w:sz w:val="21"/>
                <w:szCs w:val="21"/>
                <w:highlight w:val="none"/>
              </w:rPr>
            </w:pPr>
            <w:r>
              <w:rPr>
                <w:rFonts w:hint="eastAsia" w:cs="宋体"/>
                <w:color w:val="auto"/>
                <w:kern w:val="2"/>
                <w:sz w:val="21"/>
                <w:szCs w:val="21"/>
                <w:highlight w:val="none"/>
              </w:rPr>
              <w:t>7</w:t>
            </w:r>
          </w:p>
        </w:tc>
        <w:tc>
          <w:tcPr>
            <w:tcW w:w="2259" w:type="dxa"/>
            <w:tcBorders>
              <w:left w:val="single" w:color="auto" w:sz="4" w:space="0"/>
            </w:tcBorders>
          </w:tcPr>
          <w:p>
            <w:pPr>
              <w:adjustRightInd w:val="0"/>
              <w:spacing w:line="360" w:lineRule="exact"/>
              <w:jc w:val="center"/>
              <w:textAlignment w:val="baseline"/>
              <w:rPr>
                <w:rFonts w:cs="宋体"/>
                <w:color w:val="auto"/>
                <w:kern w:val="2"/>
                <w:sz w:val="21"/>
                <w:szCs w:val="21"/>
                <w:highlight w:val="none"/>
              </w:rPr>
            </w:pPr>
            <w:r>
              <w:rPr>
                <w:rFonts w:hint="eastAsia" w:cs="宋体"/>
                <w:color w:val="auto"/>
                <w:kern w:val="2"/>
                <w:sz w:val="21"/>
                <w:szCs w:val="21"/>
                <w:highlight w:val="none"/>
              </w:rPr>
              <w:t>机械员</w:t>
            </w:r>
          </w:p>
        </w:tc>
        <w:tc>
          <w:tcPr>
            <w:tcW w:w="741" w:type="dxa"/>
          </w:tcPr>
          <w:p>
            <w:pPr>
              <w:adjustRightInd w:val="0"/>
              <w:spacing w:line="360" w:lineRule="exact"/>
              <w:jc w:val="center"/>
              <w:textAlignment w:val="baseline"/>
              <w:rPr>
                <w:rFonts w:cs="宋体"/>
                <w:color w:val="auto"/>
                <w:kern w:val="2"/>
                <w:sz w:val="21"/>
                <w:szCs w:val="21"/>
                <w:highlight w:val="none"/>
              </w:rPr>
            </w:pPr>
          </w:p>
        </w:tc>
        <w:tc>
          <w:tcPr>
            <w:tcW w:w="1680" w:type="dxa"/>
          </w:tcPr>
          <w:p>
            <w:pPr>
              <w:adjustRightInd w:val="0"/>
              <w:spacing w:line="360" w:lineRule="exact"/>
              <w:jc w:val="center"/>
              <w:textAlignment w:val="baseline"/>
              <w:rPr>
                <w:rFonts w:cs="宋体"/>
                <w:color w:val="auto"/>
                <w:kern w:val="2"/>
                <w:sz w:val="21"/>
                <w:szCs w:val="21"/>
                <w:highlight w:val="none"/>
              </w:rPr>
            </w:pPr>
          </w:p>
        </w:tc>
        <w:tc>
          <w:tcPr>
            <w:tcW w:w="3674" w:type="dxa"/>
            <w:gridSpan w:val="2"/>
            <w:tcBorders>
              <w:right w:val="single" w:color="auto" w:sz="4" w:space="0"/>
            </w:tcBorders>
          </w:tcPr>
          <w:p>
            <w:pPr>
              <w:adjustRightInd w:val="0"/>
              <w:spacing w:line="360" w:lineRule="exact"/>
              <w:jc w:val="center"/>
              <w:textAlignment w:val="baseline"/>
              <w:rPr>
                <w:rFonts w:cs="宋体"/>
                <w:color w:val="auto"/>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18" w:type="dxa"/>
            <w:tcBorders>
              <w:left w:val="single" w:color="auto" w:sz="4" w:space="0"/>
            </w:tcBorders>
          </w:tcPr>
          <w:p>
            <w:pPr>
              <w:adjustRightInd w:val="0"/>
              <w:spacing w:line="360" w:lineRule="exact"/>
              <w:jc w:val="center"/>
              <w:textAlignment w:val="baseline"/>
              <w:rPr>
                <w:rFonts w:cs="宋体"/>
                <w:color w:val="auto"/>
                <w:kern w:val="2"/>
                <w:sz w:val="21"/>
                <w:szCs w:val="21"/>
                <w:highlight w:val="none"/>
              </w:rPr>
            </w:pPr>
            <w:r>
              <w:rPr>
                <w:rFonts w:hint="eastAsia" w:cs="宋体"/>
                <w:color w:val="auto"/>
                <w:kern w:val="2"/>
                <w:sz w:val="21"/>
                <w:szCs w:val="21"/>
                <w:highlight w:val="none"/>
              </w:rPr>
              <w:t>8</w:t>
            </w:r>
          </w:p>
        </w:tc>
        <w:tc>
          <w:tcPr>
            <w:tcW w:w="2259" w:type="dxa"/>
            <w:tcBorders>
              <w:left w:val="single" w:color="auto" w:sz="4" w:space="0"/>
            </w:tcBorders>
          </w:tcPr>
          <w:p>
            <w:pPr>
              <w:adjustRightInd w:val="0"/>
              <w:spacing w:line="360" w:lineRule="exact"/>
              <w:jc w:val="center"/>
              <w:textAlignment w:val="baseline"/>
              <w:rPr>
                <w:rFonts w:cs="宋体"/>
                <w:color w:val="auto"/>
                <w:kern w:val="2"/>
                <w:sz w:val="21"/>
                <w:szCs w:val="21"/>
                <w:highlight w:val="none"/>
              </w:rPr>
            </w:pPr>
            <w:r>
              <w:rPr>
                <w:rFonts w:hint="eastAsia" w:cs="宋体"/>
                <w:color w:val="auto"/>
                <w:kern w:val="2"/>
                <w:sz w:val="21"/>
                <w:szCs w:val="21"/>
                <w:highlight w:val="none"/>
              </w:rPr>
              <w:t>安全员</w:t>
            </w:r>
          </w:p>
        </w:tc>
        <w:tc>
          <w:tcPr>
            <w:tcW w:w="741" w:type="dxa"/>
          </w:tcPr>
          <w:p>
            <w:pPr>
              <w:adjustRightInd w:val="0"/>
              <w:spacing w:line="360" w:lineRule="exact"/>
              <w:jc w:val="center"/>
              <w:textAlignment w:val="baseline"/>
              <w:rPr>
                <w:rFonts w:cs="宋体"/>
                <w:color w:val="auto"/>
                <w:kern w:val="2"/>
                <w:sz w:val="21"/>
                <w:szCs w:val="21"/>
                <w:highlight w:val="none"/>
              </w:rPr>
            </w:pPr>
          </w:p>
        </w:tc>
        <w:tc>
          <w:tcPr>
            <w:tcW w:w="1680" w:type="dxa"/>
          </w:tcPr>
          <w:p>
            <w:pPr>
              <w:adjustRightInd w:val="0"/>
              <w:spacing w:line="360" w:lineRule="exact"/>
              <w:jc w:val="center"/>
              <w:textAlignment w:val="baseline"/>
              <w:rPr>
                <w:rFonts w:cs="宋体"/>
                <w:color w:val="auto"/>
                <w:kern w:val="2"/>
                <w:sz w:val="21"/>
                <w:szCs w:val="21"/>
                <w:highlight w:val="none"/>
              </w:rPr>
            </w:pPr>
          </w:p>
        </w:tc>
        <w:tc>
          <w:tcPr>
            <w:tcW w:w="3674" w:type="dxa"/>
            <w:gridSpan w:val="2"/>
            <w:tcBorders>
              <w:right w:val="single" w:color="auto" w:sz="4" w:space="0"/>
            </w:tcBorders>
          </w:tcPr>
          <w:p>
            <w:pPr>
              <w:adjustRightInd w:val="0"/>
              <w:spacing w:line="360" w:lineRule="exact"/>
              <w:jc w:val="center"/>
              <w:textAlignment w:val="baseline"/>
              <w:rPr>
                <w:rFonts w:cs="宋体"/>
                <w:color w:val="auto"/>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18" w:type="dxa"/>
            <w:tcBorders>
              <w:left w:val="single" w:color="auto" w:sz="4" w:space="0"/>
            </w:tcBorders>
          </w:tcPr>
          <w:p>
            <w:pPr>
              <w:adjustRightInd w:val="0"/>
              <w:spacing w:line="360" w:lineRule="exact"/>
              <w:jc w:val="center"/>
              <w:textAlignment w:val="baseline"/>
              <w:rPr>
                <w:rFonts w:cs="宋体"/>
                <w:color w:val="auto"/>
                <w:kern w:val="2"/>
                <w:sz w:val="21"/>
                <w:szCs w:val="21"/>
                <w:highlight w:val="none"/>
              </w:rPr>
            </w:pPr>
            <w:r>
              <w:rPr>
                <w:rFonts w:hint="eastAsia" w:cs="宋体"/>
                <w:color w:val="auto"/>
                <w:kern w:val="2"/>
                <w:sz w:val="21"/>
                <w:szCs w:val="21"/>
                <w:highlight w:val="none"/>
              </w:rPr>
              <w:t>……</w:t>
            </w:r>
          </w:p>
        </w:tc>
        <w:tc>
          <w:tcPr>
            <w:tcW w:w="2259" w:type="dxa"/>
            <w:tcBorders>
              <w:left w:val="single" w:color="auto" w:sz="4" w:space="0"/>
            </w:tcBorders>
          </w:tcPr>
          <w:p>
            <w:pPr>
              <w:adjustRightInd w:val="0"/>
              <w:spacing w:line="360" w:lineRule="exact"/>
              <w:jc w:val="center"/>
              <w:textAlignment w:val="baseline"/>
              <w:rPr>
                <w:rFonts w:cs="宋体"/>
                <w:color w:val="auto"/>
                <w:kern w:val="2"/>
                <w:sz w:val="21"/>
                <w:szCs w:val="21"/>
                <w:highlight w:val="none"/>
              </w:rPr>
            </w:pPr>
            <w:r>
              <w:rPr>
                <w:rFonts w:hint="eastAsia" w:cs="宋体"/>
                <w:color w:val="auto"/>
                <w:kern w:val="2"/>
                <w:sz w:val="21"/>
                <w:szCs w:val="21"/>
                <w:highlight w:val="none"/>
              </w:rPr>
              <w:t>……</w:t>
            </w:r>
          </w:p>
        </w:tc>
        <w:tc>
          <w:tcPr>
            <w:tcW w:w="741" w:type="dxa"/>
          </w:tcPr>
          <w:p>
            <w:pPr>
              <w:adjustRightInd w:val="0"/>
              <w:spacing w:line="360" w:lineRule="exact"/>
              <w:jc w:val="center"/>
              <w:textAlignment w:val="baseline"/>
              <w:rPr>
                <w:rFonts w:cs="宋体"/>
                <w:color w:val="auto"/>
                <w:kern w:val="2"/>
                <w:sz w:val="21"/>
                <w:szCs w:val="21"/>
                <w:highlight w:val="none"/>
              </w:rPr>
            </w:pPr>
          </w:p>
        </w:tc>
        <w:tc>
          <w:tcPr>
            <w:tcW w:w="1680" w:type="dxa"/>
          </w:tcPr>
          <w:p>
            <w:pPr>
              <w:adjustRightInd w:val="0"/>
              <w:spacing w:line="360" w:lineRule="exact"/>
              <w:jc w:val="center"/>
              <w:textAlignment w:val="baseline"/>
              <w:rPr>
                <w:rFonts w:cs="宋体"/>
                <w:color w:val="auto"/>
                <w:kern w:val="2"/>
                <w:sz w:val="21"/>
                <w:szCs w:val="21"/>
                <w:highlight w:val="none"/>
              </w:rPr>
            </w:pPr>
          </w:p>
        </w:tc>
        <w:tc>
          <w:tcPr>
            <w:tcW w:w="3674" w:type="dxa"/>
            <w:gridSpan w:val="2"/>
            <w:tcBorders>
              <w:right w:val="single" w:color="auto" w:sz="4" w:space="0"/>
            </w:tcBorders>
          </w:tcPr>
          <w:p>
            <w:pPr>
              <w:adjustRightInd w:val="0"/>
              <w:spacing w:line="360" w:lineRule="exact"/>
              <w:jc w:val="center"/>
              <w:textAlignment w:val="baseline"/>
              <w:rPr>
                <w:rFonts w:cs="宋体"/>
                <w:color w:val="auto"/>
                <w:kern w:val="2"/>
                <w:sz w:val="21"/>
                <w:szCs w:val="21"/>
                <w:highlight w:val="none"/>
              </w:rPr>
            </w:pPr>
          </w:p>
        </w:tc>
      </w:tr>
    </w:tbl>
    <w:p>
      <w:pPr>
        <w:adjustRightInd w:val="0"/>
        <w:spacing w:line="360" w:lineRule="auto"/>
        <w:textAlignment w:val="baseline"/>
        <w:rPr>
          <w:rFonts w:hAnsi="Times New Roman"/>
          <w:color w:val="auto"/>
          <w:kern w:val="2"/>
          <w:sz w:val="21"/>
          <w:szCs w:val="21"/>
          <w:highlight w:val="none"/>
        </w:rPr>
      </w:pPr>
    </w:p>
    <w:p>
      <w:pPr>
        <w:tabs>
          <w:tab w:val="left" w:pos="100"/>
          <w:tab w:val="left" w:pos="700"/>
        </w:tabs>
        <w:spacing w:line="360" w:lineRule="auto"/>
        <w:ind w:firstLine="315" w:firstLineChars="150"/>
        <w:rPr>
          <w:rFonts w:hAnsi="Times New Roman"/>
          <w:color w:val="auto"/>
          <w:kern w:val="2"/>
          <w:sz w:val="21"/>
          <w:szCs w:val="21"/>
          <w:highlight w:val="none"/>
        </w:rPr>
      </w:pPr>
    </w:p>
    <w:p>
      <w:pPr>
        <w:adjustRightInd w:val="0"/>
        <w:spacing w:line="360" w:lineRule="auto"/>
        <w:ind w:firstLine="645"/>
        <w:textAlignment w:val="baseline"/>
        <w:rPr>
          <w:rFonts w:hAnsi="Times New Roman"/>
          <w:color w:val="auto"/>
          <w:kern w:val="2"/>
          <w:sz w:val="21"/>
          <w:szCs w:val="21"/>
          <w:highlight w:val="none"/>
        </w:rPr>
      </w:pPr>
    </w:p>
    <w:p>
      <w:pPr>
        <w:adjustRightInd w:val="0"/>
        <w:spacing w:line="360" w:lineRule="auto"/>
        <w:ind w:right="210" w:firstLine="645"/>
        <w:jc w:val="right"/>
        <w:textAlignment w:val="baseline"/>
        <w:rPr>
          <w:rFonts w:hAnsi="Times New Roman"/>
          <w:color w:val="auto"/>
          <w:kern w:val="2"/>
          <w:sz w:val="21"/>
          <w:szCs w:val="21"/>
          <w:highlight w:val="none"/>
        </w:rPr>
      </w:pPr>
      <w:r>
        <w:rPr>
          <w:rFonts w:hint="eastAsia" w:hAnsi="Times New Roman"/>
          <w:color w:val="auto"/>
          <w:kern w:val="2"/>
          <w:sz w:val="21"/>
          <w:szCs w:val="21"/>
          <w:highlight w:val="none"/>
        </w:rPr>
        <w:t>投标人：</w:t>
      </w:r>
      <w:r>
        <w:rPr>
          <w:rFonts w:hint="eastAsia" w:hAnsi="Times New Roman"/>
          <w:color w:val="auto"/>
          <w:kern w:val="2"/>
          <w:sz w:val="21"/>
          <w:szCs w:val="21"/>
          <w:highlight w:val="none"/>
          <w:u w:val="single"/>
        </w:rPr>
        <w:t xml:space="preserve">              </w:t>
      </w:r>
      <w:r>
        <w:rPr>
          <w:rFonts w:hint="eastAsia" w:hAnsi="Times New Roman"/>
          <w:color w:val="auto"/>
          <w:kern w:val="2"/>
          <w:sz w:val="21"/>
          <w:szCs w:val="21"/>
          <w:highlight w:val="none"/>
        </w:rPr>
        <w:t>（盖单位公章）</w:t>
      </w:r>
      <w:r>
        <w:rPr>
          <w:rFonts w:hAnsi="Times New Roman"/>
          <w:color w:val="auto"/>
          <w:kern w:val="2"/>
          <w:position w:val="-2"/>
          <w:sz w:val="21"/>
          <w:szCs w:val="21"/>
          <w:highlight w:val="none"/>
          <w:vertAlign w:val="superscript"/>
        </w:rPr>
        <w:footnoteReference w:id="42"/>
      </w:r>
    </w:p>
    <w:p>
      <w:pPr>
        <w:adjustRightInd w:val="0"/>
        <w:spacing w:line="360" w:lineRule="auto"/>
        <w:ind w:firstLine="3465" w:firstLineChars="1650"/>
        <w:textAlignment w:val="baseline"/>
        <w:rPr>
          <w:rFonts w:hAnsi="Times New Roman"/>
          <w:color w:val="auto"/>
          <w:kern w:val="2"/>
          <w:sz w:val="21"/>
          <w:szCs w:val="21"/>
          <w:highlight w:val="none"/>
        </w:rPr>
      </w:pPr>
    </w:p>
    <w:p>
      <w:pPr>
        <w:tabs>
          <w:tab w:val="left" w:pos="1600"/>
        </w:tabs>
        <w:adjustRightInd w:val="0"/>
        <w:snapToGrid w:val="0"/>
        <w:spacing w:beforeLines="100" w:afterLines="100" w:line="360" w:lineRule="auto"/>
        <w:textAlignment w:val="baseline"/>
        <w:rPr>
          <w:rFonts w:hAnsi="Times New Roman"/>
          <w:b/>
          <w:color w:val="auto"/>
          <w:sz w:val="24"/>
          <w:highlight w:val="none"/>
        </w:rPr>
      </w:pPr>
      <w:r>
        <w:rPr>
          <w:rFonts w:ascii="黑体" w:hAnsi="黑体" w:eastAsia="黑体"/>
          <w:color w:val="auto"/>
          <w:sz w:val="21"/>
          <w:szCs w:val="21"/>
          <w:highlight w:val="none"/>
        </w:rPr>
        <w:br w:type="page"/>
      </w:r>
      <w:r>
        <w:rPr>
          <w:rFonts w:ascii="黑体" w:hAnsi="黑体" w:eastAsia="黑体"/>
          <w:color w:val="auto"/>
          <w:sz w:val="21"/>
          <w:szCs w:val="21"/>
          <w:highlight w:val="none"/>
        </w:rPr>
        <w:t>投标人基本情况表附件</w:t>
      </w:r>
      <w:r>
        <w:rPr>
          <w:rFonts w:hint="eastAsia" w:ascii="黑体" w:hAnsi="黑体" w:eastAsia="黑体"/>
          <w:color w:val="auto"/>
          <w:sz w:val="21"/>
          <w:szCs w:val="21"/>
          <w:highlight w:val="none"/>
        </w:rPr>
        <w:t>7、项目部施工管理人员到位承诺书</w:t>
      </w:r>
      <w:r>
        <w:rPr>
          <w:rFonts w:ascii="黑体" w:hAnsi="黑体" w:eastAsia="黑体"/>
          <w:color w:val="auto"/>
          <w:sz w:val="21"/>
          <w:szCs w:val="21"/>
          <w:highlight w:val="none"/>
        </w:rPr>
        <w:t>：</w:t>
      </w:r>
    </w:p>
    <w:p>
      <w:pPr>
        <w:adjustRightInd w:val="0"/>
        <w:spacing w:line="360" w:lineRule="auto"/>
        <w:jc w:val="center"/>
        <w:textAlignment w:val="baseline"/>
        <w:rPr>
          <w:rFonts w:hAnsi="Times New Roman"/>
          <w:color w:val="auto"/>
          <w:kern w:val="2"/>
          <w:sz w:val="21"/>
          <w:szCs w:val="21"/>
          <w:highlight w:val="none"/>
          <w:u w:val="single"/>
        </w:rPr>
      </w:pPr>
      <w:r>
        <w:rPr>
          <w:rFonts w:hint="eastAsia" w:ascii="黑体" w:hAnsi="黑体" w:eastAsia="黑体"/>
          <w:color w:val="auto"/>
          <w:sz w:val="21"/>
          <w:szCs w:val="21"/>
          <w:highlight w:val="none"/>
        </w:rPr>
        <w:t>项目部施工管理人员到位承诺书</w:t>
      </w:r>
    </w:p>
    <w:p>
      <w:pPr>
        <w:adjustRightInd w:val="0"/>
        <w:spacing w:line="360" w:lineRule="auto"/>
        <w:textAlignment w:val="baseline"/>
        <w:rPr>
          <w:rFonts w:hAnsi="Times New Roman"/>
          <w:color w:val="auto"/>
          <w:kern w:val="2"/>
          <w:sz w:val="21"/>
          <w:szCs w:val="21"/>
          <w:highlight w:val="none"/>
        </w:rPr>
      </w:pPr>
      <w:r>
        <w:rPr>
          <w:rFonts w:hint="eastAsia" w:hAnsi="Times New Roman"/>
          <w:color w:val="auto"/>
          <w:kern w:val="2"/>
          <w:sz w:val="21"/>
          <w:szCs w:val="21"/>
          <w:highlight w:val="none"/>
          <w:u w:val="single"/>
        </w:rPr>
        <w:t xml:space="preserve">                  （招标人名称）</w:t>
      </w:r>
      <w:r>
        <w:rPr>
          <w:rFonts w:hint="eastAsia" w:hAnsi="Times New Roman"/>
          <w:color w:val="auto"/>
          <w:kern w:val="2"/>
          <w:sz w:val="21"/>
          <w:szCs w:val="21"/>
          <w:highlight w:val="none"/>
        </w:rPr>
        <w:t>：</w:t>
      </w:r>
    </w:p>
    <w:p>
      <w:pPr>
        <w:adjustRightInd w:val="0"/>
        <w:spacing w:line="360" w:lineRule="auto"/>
        <w:ind w:firstLine="645"/>
        <w:textAlignment w:val="baseline"/>
        <w:rPr>
          <w:rFonts w:hAnsi="Times New Roman"/>
          <w:color w:val="auto"/>
          <w:kern w:val="2"/>
          <w:sz w:val="21"/>
          <w:szCs w:val="21"/>
          <w:highlight w:val="none"/>
        </w:rPr>
      </w:pPr>
      <w:r>
        <w:rPr>
          <w:rFonts w:hint="eastAsia" w:hAnsi="Times New Roman"/>
          <w:color w:val="auto"/>
          <w:kern w:val="2"/>
          <w:sz w:val="21"/>
          <w:szCs w:val="21"/>
          <w:highlight w:val="none"/>
        </w:rPr>
        <w:t>本人</w:t>
      </w:r>
      <w:r>
        <w:rPr>
          <w:rFonts w:hint="eastAsia" w:hAnsi="Times New Roman"/>
          <w:color w:val="auto"/>
          <w:kern w:val="2"/>
          <w:sz w:val="21"/>
          <w:szCs w:val="21"/>
          <w:highlight w:val="none"/>
          <w:u w:val="single"/>
        </w:rPr>
        <w:t xml:space="preserve">         （姓名）</w:t>
      </w:r>
      <w:r>
        <w:rPr>
          <w:rFonts w:hint="eastAsia" w:hAnsi="Times New Roman"/>
          <w:color w:val="auto"/>
          <w:kern w:val="2"/>
          <w:sz w:val="21"/>
          <w:szCs w:val="21"/>
          <w:highlight w:val="none"/>
        </w:rPr>
        <w:t>系</w:t>
      </w:r>
      <w:r>
        <w:rPr>
          <w:rFonts w:hint="eastAsia" w:hAnsi="Times New Roman"/>
          <w:color w:val="auto"/>
          <w:kern w:val="2"/>
          <w:sz w:val="21"/>
          <w:szCs w:val="21"/>
          <w:highlight w:val="none"/>
          <w:u w:val="single"/>
        </w:rPr>
        <w:t xml:space="preserve">                      （投标人名称）</w:t>
      </w:r>
      <w:r>
        <w:rPr>
          <w:rFonts w:hint="eastAsia" w:hAnsi="Times New Roman"/>
          <w:color w:val="auto"/>
          <w:kern w:val="2"/>
          <w:sz w:val="21"/>
          <w:szCs w:val="21"/>
          <w:highlight w:val="none"/>
        </w:rPr>
        <w:t>的法定代表人，现承诺：</w:t>
      </w:r>
    </w:p>
    <w:p>
      <w:pPr>
        <w:adjustRightInd w:val="0"/>
        <w:spacing w:line="360" w:lineRule="auto"/>
        <w:ind w:firstLine="645"/>
        <w:textAlignment w:val="baseline"/>
        <w:rPr>
          <w:rFonts w:cs="宋体"/>
          <w:color w:val="auto"/>
          <w:kern w:val="2"/>
          <w:sz w:val="21"/>
          <w:szCs w:val="21"/>
          <w:highlight w:val="none"/>
        </w:rPr>
      </w:pPr>
      <w:r>
        <w:rPr>
          <w:rFonts w:hint="eastAsia" w:cs="宋体"/>
          <w:color w:val="auto"/>
          <w:kern w:val="2"/>
          <w:sz w:val="21"/>
          <w:szCs w:val="21"/>
          <w:highlight w:val="none"/>
        </w:rPr>
        <w:t>我单位在</w:t>
      </w:r>
      <w:r>
        <w:rPr>
          <w:rFonts w:hint="eastAsia" w:cs="宋体"/>
          <w:color w:val="auto"/>
          <w:kern w:val="2"/>
          <w:sz w:val="21"/>
          <w:szCs w:val="21"/>
          <w:highlight w:val="none"/>
          <w:u w:val="single"/>
        </w:rPr>
        <w:t xml:space="preserve">                   （招标项目名称及标段） </w:t>
      </w:r>
      <w:r>
        <w:rPr>
          <w:rFonts w:hint="eastAsia" w:cs="宋体"/>
          <w:color w:val="auto"/>
          <w:kern w:val="2"/>
          <w:sz w:val="21"/>
          <w:szCs w:val="21"/>
          <w:highlight w:val="none"/>
        </w:rPr>
        <w:t>中标后，将按照投标文件的《拟派出施工现场管理人员表》派出项目部施工现场管理人员，并向你方提供相应人员证书进行核对。若出现下列情形的，愿意无条件地接受你方作出的以下处理：</w:t>
      </w:r>
    </w:p>
    <w:p>
      <w:pPr>
        <w:adjustRightInd w:val="0"/>
        <w:spacing w:line="360" w:lineRule="auto"/>
        <w:ind w:firstLine="645"/>
        <w:textAlignment w:val="baseline"/>
        <w:rPr>
          <w:rFonts w:cs="宋体"/>
          <w:color w:val="auto"/>
          <w:kern w:val="2"/>
          <w:sz w:val="21"/>
          <w:szCs w:val="21"/>
          <w:highlight w:val="none"/>
        </w:rPr>
      </w:pPr>
      <w:r>
        <w:rPr>
          <w:rFonts w:hint="eastAsia" w:cs="宋体"/>
          <w:color w:val="auto"/>
          <w:kern w:val="2"/>
          <w:sz w:val="21"/>
          <w:szCs w:val="21"/>
          <w:highlight w:val="none"/>
        </w:rPr>
        <w:t>1、工程开工前，不论是否存在不可抗力原因,项目部施工管理人员无法在合同签订后</w:t>
      </w:r>
      <w:r>
        <w:rPr>
          <w:rFonts w:hint="eastAsia" w:cs="宋体"/>
          <w:color w:val="auto"/>
          <w:kern w:val="2"/>
          <w:sz w:val="21"/>
          <w:szCs w:val="21"/>
          <w:highlight w:val="none"/>
          <w:u w:val="single"/>
        </w:rPr>
        <w:t xml:space="preserve">      </w:t>
      </w:r>
      <w:r>
        <w:rPr>
          <w:rFonts w:hint="eastAsia" w:cs="宋体"/>
          <w:color w:val="auto"/>
          <w:kern w:val="2"/>
          <w:sz w:val="21"/>
          <w:szCs w:val="21"/>
          <w:highlight w:val="none"/>
        </w:rPr>
        <w:t>日内全部通过福建省建设工程监管一体化平台登记的，或无法在合同签订后</w:t>
      </w:r>
      <w:r>
        <w:rPr>
          <w:rFonts w:hint="eastAsia" w:cs="宋体"/>
          <w:color w:val="auto"/>
          <w:kern w:val="2"/>
          <w:sz w:val="21"/>
          <w:szCs w:val="21"/>
          <w:highlight w:val="none"/>
          <w:u w:val="single"/>
        </w:rPr>
        <w:t xml:space="preserve">      </w:t>
      </w:r>
      <w:r>
        <w:rPr>
          <w:rFonts w:hint="eastAsia" w:cs="宋体"/>
          <w:color w:val="auto"/>
          <w:kern w:val="2"/>
          <w:sz w:val="21"/>
          <w:szCs w:val="21"/>
          <w:highlight w:val="none"/>
        </w:rPr>
        <w:t>日内提供《拟派出施工现场管理人员表》登记的人员证书的，或《拟派出施工现场管理人员表》的人员证书信息与实际不一致的，你方有权解除合同并按违约追究我方责任；</w:t>
      </w:r>
    </w:p>
    <w:p>
      <w:pPr>
        <w:adjustRightInd w:val="0"/>
        <w:spacing w:line="360" w:lineRule="auto"/>
        <w:textAlignment w:val="baseline"/>
        <w:rPr>
          <w:rFonts w:hAnsi="Times New Roman"/>
          <w:color w:val="auto"/>
          <w:kern w:val="2"/>
          <w:sz w:val="21"/>
          <w:szCs w:val="21"/>
          <w:highlight w:val="none"/>
        </w:rPr>
      </w:pPr>
      <w:r>
        <w:rPr>
          <w:rFonts w:hint="eastAsia" w:cs="宋体"/>
          <w:color w:val="auto"/>
          <w:kern w:val="2"/>
          <w:sz w:val="21"/>
          <w:szCs w:val="21"/>
          <w:highlight w:val="none"/>
        </w:rPr>
        <w:t>2、除不可抗力外,我方变更项目部施工管理人员中的项目负责人或项目技术负责人，每人每次向你方交纳</w:t>
      </w:r>
      <w:r>
        <w:rPr>
          <w:rFonts w:hint="eastAsia" w:cs="宋体"/>
          <w:color w:val="auto"/>
          <w:kern w:val="2"/>
          <w:sz w:val="21"/>
          <w:szCs w:val="21"/>
          <w:highlight w:val="none"/>
          <w:u w:val="single"/>
        </w:rPr>
        <w:t xml:space="preserve">          </w:t>
      </w:r>
      <w:r>
        <w:rPr>
          <w:rFonts w:hint="eastAsia" w:cs="宋体"/>
          <w:color w:val="auto"/>
          <w:kern w:val="2"/>
          <w:sz w:val="21"/>
          <w:szCs w:val="21"/>
          <w:highlight w:val="none"/>
        </w:rPr>
        <w:t>万元违约金；其他管理人员每人每次向你方交纳</w:t>
      </w:r>
      <w:r>
        <w:rPr>
          <w:rFonts w:hint="eastAsia" w:cs="宋体"/>
          <w:color w:val="auto"/>
          <w:kern w:val="2"/>
          <w:sz w:val="21"/>
          <w:szCs w:val="21"/>
          <w:highlight w:val="none"/>
          <w:u w:val="single"/>
        </w:rPr>
        <w:t xml:space="preserve">      </w:t>
      </w:r>
      <w:r>
        <w:rPr>
          <w:rFonts w:hint="eastAsia" w:cs="宋体"/>
          <w:color w:val="auto"/>
          <w:kern w:val="2"/>
          <w:sz w:val="21"/>
          <w:szCs w:val="21"/>
          <w:highlight w:val="none"/>
        </w:rPr>
        <w:t>万元违约金。</w:t>
      </w:r>
    </w:p>
    <w:p>
      <w:pPr>
        <w:adjustRightInd w:val="0"/>
        <w:spacing w:line="360" w:lineRule="auto"/>
        <w:ind w:firstLine="645"/>
        <w:textAlignment w:val="baseline"/>
        <w:rPr>
          <w:rFonts w:hAnsi="Times New Roman"/>
          <w:color w:val="auto"/>
          <w:kern w:val="2"/>
          <w:sz w:val="21"/>
          <w:szCs w:val="21"/>
          <w:highlight w:val="none"/>
        </w:rPr>
      </w:pPr>
    </w:p>
    <w:p>
      <w:pPr>
        <w:tabs>
          <w:tab w:val="left" w:pos="100"/>
          <w:tab w:val="left" w:pos="700"/>
        </w:tabs>
        <w:spacing w:line="360" w:lineRule="auto"/>
        <w:ind w:firstLine="315" w:firstLineChars="150"/>
        <w:rPr>
          <w:rFonts w:hAnsi="Times New Roman"/>
          <w:color w:val="auto"/>
          <w:kern w:val="2"/>
          <w:sz w:val="21"/>
          <w:szCs w:val="21"/>
          <w:highlight w:val="none"/>
        </w:rPr>
      </w:pPr>
    </w:p>
    <w:p>
      <w:pPr>
        <w:adjustRightInd w:val="0"/>
        <w:spacing w:line="360" w:lineRule="auto"/>
        <w:ind w:firstLine="645"/>
        <w:textAlignment w:val="baseline"/>
        <w:rPr>
          <w:rFonts w:hAnsi="Times New Roman"/>
          <w:color w:val="auto"/>
          <w:kern w:val="2"/>
          <w:sz w:val="21"/>
          <w:szCs w:val="21"/>
          <w:highlight w:val="none"/>
        </w:rPr>
      </w:pPr>
    </w:p>
    <w:p>
      <w:pPr>
        <w:adjustRightInd w:val="0"/>
        <w:spacing w:line="360" w:lineRule="auto"/>
        <w:ind w:right="630" w:firstLine="645"/>
        <w:jc w:val="center"/>
        <w:textAlignment w:val="baseline"/>
        <w:rPr>
          <w:rFonts w:hAnsi="Times New Roman"/>
          <w:color w:val="auto"/>
          <w:kern w:val="2"/>
          <w:sz w:val="21"/>
          <w:szCs w:val="21"/>
          <w:highlight w:val="none"/>
        </w:rPr>
      </w:pPr>
      <w:r>
        <w:rPr>
          <w:rFonts w:hint="eastAsia" w:hAnsi="Times New Roman"/>
          <w:color w:val="auto"/>
          <w:kern w:val="2"/>
          <w:sz w:val="21"/>
          <w:szCs w:val="21"/>
          <w:highlight w:val="none"/>
        </w:rPr>
        <w:t xml:space="preserve">                       投标人：</w:t>
      </w:r>
      <w:r>
        <w:rPr>
          <w:rFonts w:hint="eastAsia" w:hAnsi="Times New Roman"/>
          <w:color w:val="auto"/>
          <w:kern w:val="2"/>
          <w:sz w:val="21"/>
          <w:szCs w:val="21"/>
          <w:highlight w:val="none"/>
          <w:u w:val="single"/>
        </w:rPr>
        <w:t xml:space="preserve">                          </w:t>
      </w:r>
      <w:r>
        <w:rPr>
          <w:rFonts w:hint="eastAsia" w:hAnsi="Times New Roman"/>
          <w:color w:val="auto"/>
          <w:kern w:val="2"/>
          <w:sz w:val="21"/>
          <w:szCs w:val="21"/>
          <w:highlight w:val="none"/>
        </w:rPr>
        <w:t>（盖单位公章）</w:t>
      </w:r>
      <w:r>
        <w:rPr>
          <w:rFonts w:hAnsi="Times New Roman"/>
          <w:color w:val="auto"/>
          <w:kern w:val="2"/>
          <w:position w:val="-2"/>
          <w:sz w:val="21"/>
          <w:szCs w:val="21"/>
          <w:highlight w:val="none"/>
          <w:vertAlign w:val="superscript"/>
        </w:rPr>
        <w:footnoteReference w:id="43"/>
      </w:r>
    </w:p>
    <w:p>
      <w:pPr>
        <w:adjustRightInd w:val="0"/>
        <w:spacing w:line="360" w:lineRule="auto"/>
        <w:ind w:firstLine="3465" w:firstLineChars="1650"/>
        <w:textAlignment w:val="baseline"/>
        <w:rPr>
          <w:rFonts w:hAnsi="Times New Roman"/>
          <w:color w:val="auto"/>
          <w:kern w:val="2"/>
          <w:sz w:val="21"/>
          <w:szCs w:val="21"/>
          <w:highlight w:val="none"/>
        </w:rPr>
      </w:pPr>
    </w:p>
    <w:p>
      <w:pPr>
        <w:spacing w:line="360" w:lineRule="auto"/>
        <w:ind w:firstLine="3570" w:firstLineChars="1700"/>
        <w:rPr>
          <w:rFonts w:hAnsi="Times New Roman"/>
          <w:color w:val="auto"/>
          <w:kern w:val="2"/>
          <w:sz w:val="24"/>
          <w:highlight w:val="none"/>
        </w:rPr>
      </w:pPr>
      <w:r>
        <w:rPr>
          <w:rFonts w:hint="eastAsia" w:hAnsi="Times New Roman"/>
          <w:color w:val="auto"/>
          <w:kern w:val="2"/>
          <w:sz w:val="21"/>
          <w:szCs w:val="21"/>
          <w:highlight w:val="none"/>
        </w:rPr>
        <w:t>法定代表人或委托代理人：</w:t>
      </w:r>
      <w:r>
        <w:rPr>
          <w:rFonts w:hint="eastAsia" w:hAnsi="Times New Roman"/>
          <w:color w:val="auto"/>
          <w:kern w:val="2"/>
          <w:sz w:val="21"/>
          <w:szCs w:val="21"/>
          <w:highlight w:val="none"/>
          <w:u w:val="single"/>
        </w:rPr>
        <w:t xml:space="preserve">                </w:t>
      </w:r>
      <w:r>
        <w:rPr>
          <w:rFonts w:hint="eastAsia" w:hAnsi="Times New Roman"/>
          <w:color w:val="auto"/>
          <w:kern w:val="2"/>
          <w:sz w:val="21"/>
          <w:szCs w:val="21"/>
          <w:highlight w:val="none"/>
        </w:rPr>
        <w:t>（盖章）</w:t>
      </w:r>
      <w:r>
        <w:rPr>
          <w:rFonts w:hAnsi="Times New Roman"/>
          <w:color w:val="auto"/>
          <w:kern w:val="2"/>
          <w:position w:val="-2"/>
          <w:sz w:val="21"/>
          <w:szCs w:val="21"/>
          <w:highlight w:val="none"/>
          <w:vertAlign w:val="superscript"/>
        </w:rPr>
        <w:footnoteReference w:id="44"/>
      </w:r>
    </w:p>
    <w:p>
      <w:pPr>
        <w:spacing w:beforeLines="100" w:afterLines="100" w:line="360" w:lineRule="auto"/>
        <w:rPr>
          <w:rFonts w:ascii="Times New Roman" w:hAnsi="Times New Roman"/>
          <w:color w:val="auto"/>
          <w:kern w:val="1"/>
          <w:sz w:val="21"/>
          <w:szCs w:val="21"/>
          <w:highlight w:val="none"/>
        </w:rPr>
      </w:pPr>
      <w:r>
        <w:rPr>
          <w:rFonts w:hAnsi="Times New Roman"/>
          <w:color w:val="auto"/>
          <w:kern w:val="2"/>
          <w:sz w:val="24"/>
          <w:highlight w:val="none"/>
        </w:rPr>
        <w:br w:type="page"/>
      </w:r>
      <w:r>
        <w:rPr>
          <w:rFonts w:ascii="黑体" w:hAnsi="黑体" w:eastAsia="黑体"/>
          <w:color w:val="auto"/>
          <w:sz w:val="21"/>
          <w:szCs w:val="21"/>
          <w:highlight w:val="none"/>
        </w:rPr>
        <w:t>投标人基本情况表附件</w:t>
      </w:r>
      <w:r>
        <w:rPr>
          <w:rFonts w:hint="eastAsia" w:ascii="黑体" w:hAnsi="黑体" w:eastAsia="黑体"/>
          <w:color w:val="auto"/>
          <w:sz w:val="21"/>
          <w:szCs w:val="21"/>
          <w:highlight w:val="none"/>
        </w:rPr>
        <w:t>8、法人资格证明</w:t>
      </w:r>
      <w:r>
        <w:rPr>
          <w:rFonts w:ascii="黑体" w:hAnsi="黑体" w:eastAsia="黑体"/>
          <w:color w:val="auto"/>
          <w:position w:val="-2"/>
          <w:sz w:val="21"/>
          <w:szCs w:val="21"/>
          <w:highlight w:val="none"/>
          <w:vertAlign w:val="superscript"/>
        </w:rPr>
        <w:footnoteReference w:id="45"/>
      </w:r>
      <w:r>
        <w:rPr>
          <w:rFonts w:ascii="黑体" w:hAnsi="黑体" w:eastAsia="黑体"/>
          <w:color w:val="auto"/>
          <w:sz w:val="21"/>
          <w:szCs w:val="21"/>
          <w:highlight w:val="none"/>
        </w:rPr>
        <w:t>：</w:t>
      </w:r>
    </w:p>
    <w:p>
      <w:pPr>
        <w:spacing w:line="360" w:lineRule="auto"/>
        <w:ind w:firstLine="420"/>
        <w:rPr>
          <w:rFonts w:cs="宋体"/>
          <w:color w:val="auto"/>
          <w:kern w:val="1"/>
          <w:sz w:val="21"/>
          <w:szCs w:val="24"/>
          <w:highlight w:val="none"/>
        </w:rPr>
      </w:pPr>
      <w:r>
        <w:rPr>
          <w:rFonts w:hint="eastAsia" w:cs="宋体"/>
          <w:color w:val="auto"/>
          <w:kern w:val="1"/>
          <w:sz w:val="21"/>
          <w:szCs w:val="24"/>
          <w:highlight w:val="none"/>
        </w:rPr>
        <w:t>（1）</w:t>
      </w:r>
      <w:r>
        <w:rPr>
          <w:rFonts w:cs="宋体"/>
          <w:color w:val="auto"/>
          <w:kern w:val="1"/>
          <w:sz w:val="21"/>
          <w:szCs w:val="24"/>
          <w:highlight w:val="none"/>
        </w:rPr>
        <w:t>《</w:t>
      </w:r>
      <w:r>
        <w:rPr>
          <w:rFonts w:hint="eastAsia" w:cs="宋体"/>
          <w:color w:val="auto"/>
          <w:kern w:val="1"/>
          <w:sz w:val="21"/>
          <w:szCs w:val="24"/>
          <w:highlight w:val="none"/>
        </w:rPr>
        <w:t>营业</w:t>
      </w:r>
      <w:r>
        <w:rPr>
          <w:rFonts w:cs="宋体"/>
          <w:color w:val="auto"/>
          <w:kern w:val="1"/>
          <w:sz w:val="21"/>
          <w:szCs w:val="24"/>
          <w:highlight w:val="none"/>
        </w:rPr>
        <w:t>执照》（副本）</w:t>
      </w:r>
    </w:p>
    <w:p>
      <w:pPr>
        <w:spacing w:line="360" w:lineRule="auto"/>
        <w:ind w:firstLine="420"/>
        <w:rPr>
          <w:rFonts w:ascii="Times New Roman" w:cs="宋体"/>
          <w:bCs/>
          <w:color w:val="auto"/>
          <w:sz w:val="21"/>
          <w:szCs w:val="21"/>
          <w:highlight w:val="none"/>
        </w:rPr>
      </w:pPr>
      <w:r>
        <w:rPr>
          <w:rFonts w:hint="eastAsia" w:cs="宋体"/>
          <w:color w:val="auto"/>
          <w:kern w:val="1"/>
          <w:sz w:val="21"/>
          <w:szCs w:val="24"/>
          <w:highlight w:val="none"/>
        </w:rPr>
        <w:t xml:space="preserve">（2） </w:t>
      </w:r>
      <w:r>
        <w:rPr>
          <w:rFonts w:hint="eastAsia" w:ascii="Times New Roman" w:cs="宋体"/>
          <w:bCs/>
          <w:color w:val="auto"/>
          <w:sz w:val="21"/>
          <w:szCs w:val="21"/>
          <w:highlight w:val="none"/>
        </w:rPr>
        <w:t>投标人名称变更证明材料（如有）</w:t>
      </w:r>
    </w:p>
    <w:p>
      <w:pPr>
        <w:spacing w:line="360" w:lineRule="auto"/>
        <w:ind w:firstLine="420"/>
        <w:rPr>
          <w:rFonts w:cs="宋体"/>
          <w:color w:val="auto"/>
          <w:kern w:val="1"/>
          <w:sz w:val="21"/>
          <w:szCs w:val="24"/>
          <w:highlight w:val="none"/>
        </w:rPr>
      </w:pPr>
      <w:r>
        <w:rPr>
          <w:rFonts w:hint="eastAsia" w:cs="宋体"/>
          <w:color w:val="auto"/>
          <w:kern w:val="1"/>
          <w:sz w:val="21"/>
          <w:szCs w:val="24"/>
          <w:highlight w:val="none"/>
        </w:rPr>
        <w:t>（3）市场</w:t>
      </w:r>
      <w:r>
        <w:rPr>
          <w:rFonts w:cs="宋体"/>
          <w:color w:val="auto"/>
          <w:kern w:val="1"/>
          <w:sz w:val="21"/>
          <w:szCs w:val="24"/>
          <w:highlight w:val="none"/>
        </w:rPr>
        <w:t>监督行政主管部门出具的能体现股东及出资信息的企业登记基本情况表</w:t>
      </w:r>
      <w:r>
        <w:rPr>
          <w:rStyle w:val="74"/>
          <w:rFonts w:cs="宋体"/>
          <w:color w:val="auto"/>
          <w:kern w:val="1"/>
          <w:sz w:val="21"/>
          <w:szCs w:val="24"/>
          <w:highlight w:val="none"/>
        </w:rPr>
        <w:footnoteReference w:id="46"/>
      </w:r>
    </w:p>
    <w:p>
      <w:pPr>
        <w:pStyle w:val="59"/>
        <w:ind w:left="0" w:firstLineChars="200"/>
        <w:rPr>
          <w:rFonts w:ascii="宋体" w:hAnsi="宋体"/>
          <w:color w:val="auto"/>
          <w:highlight w:val="none"/>
        </w:rPr>
      </w:pPr>
      <w:r>
        <w:rPr>
          <w:rFonts w:hint="eastAsia" w:ascii="宋体" w:hAnsi="宋体" w:cs="宋体"/>
          <w:color w:val="auto"/>
          <w:highlight w:val="none"/>
        </w:rPr>
        <w:t>（4）</w:t>
      </w:r>
      <w:r>
        <w:rPr>
          <w:rFonts w:ascii="宋体" w:hAnsi="宋体" w:cs="宋体"/>
          <w:color w:val="auto"/>
          <w:highlight w:val="none"/>
        </w:rPr>
        <w:t>国家企业信用信息公示系统（http://www.gsxt.gov.cn）网页查询截图</w:t>
      </w:r>
      <w:r>
        <w:rPr>
          <w:rStyle w:val="74"/>
          <w:rFonts w:ascii="宋体" w:hAnsi="宋体" w:cs="宋体"/>
          <w:color w:val="auto"/>
          <w:highlight w:val="none"/>
        </w:rPr>
        <w:footnoteReference w:id="47"/>
      </w:r>
    </w:p>
    <w:p>
      <w:pPr>
        <w:spacing w:beforeLines="100" w:afterLines="100" w:line="360" w:lineRule="auto"/>
        <w:jc w:val="center"/>
        <w:rPr>
          <w:rFonts w:cs="宋体"/>
          <w:color w:val="auto"/>
          <w:kern w:val="1"/>
          <w:sz w:val="23"/>
          <w:szCs w:val="23"/>
          <w:highlight w:val="none"/>
        </w:rPr>
      </w:pPr>
      <w:r>
        <w:rPr>
          <w:rFonts w:cs="宋体"/>
          <w:color w:val="auto"/>
          <w:kern w:val="1"/>
          <w:sz w:val="21"/>
          <w:szCs w:val="24"/>
          <w:highlight w:val="none"/>
        </w:rPr>
        <w:br w:type="page"/>
      </w:r>
      <w:r>
        <w:rPr>
          <w:rFonts w:ascii="黑体" w:hAnsi="黑体" w:eastAsia="黑体"/>
          <w:color w:val="auto"/>
          <w:sz w:val="28"/>
          <w:szCs w:val="28"/>
          <w:highlight w:val="none"/>
        </w:rPr>
        <w:t>（</w:t>
      </w:r>
      <w:r>
        <w:rPr>
          <w:rFonts w:hint="eastAsia" w:ascii="黑体" w:hAnsi="黑体" w:eastAsia="黑体"/>
          <w:color w:val="auto"/>
          <w:sz w:val="28"/>
          <w:szCs w:val="28"/>
          <w:highlight w:val="none"/>
        </w:rPr>
        <w:t>二</w:t>
      </w:r>
      <w:r>
        <w:rPr>
          <w:rFonts w:ascii="黑体" w:hAnsi="黑体" w:eastAsia="黑体"/>
          <w:color w:val="auto"/>
          <w:sz w:val="28"/>
          <w:szCs w:val="28"/>
          <w:highlight w:val="none"/>
        </w:rPr>
        <w:t>）</w:t>
      </w:r>
      <w:r>
        <w:rPr>
          <w:rFonts w:hint="eastAsia" w:ascii="黑体" w:hAnsi="黑体" w:eastAsia="黑体"/>
          <w:color w:val="auto"/>
          <w:sz w:val="28"/>
          <w:szCs w:val="28"/>
          <w:highlight w:val="none"/>
        </w:rPr>
        <w:t>联合体</w:t>
      </w:r>
      <w:r>
        <w:rPr>
          <w:rFonts w:ascii="黑体" w:hAnsi="黑体" w:eastAsia="黑体"/>
          <w:color w:val="auto"/>
          <w:sz w:val="28"/>
          <w:szCs w:val="28"/>
          <w:highlight w:val="none"/>
        </w:rPr>
        <w:t>协议书</w:t>
      </w:r>
      <w:r>
        <w:rPr>
          <w:rFonts w:ascii="黑体" w:hAnsi="黑体" w:eastAsia="黑体"/>
          <w:color w:val="auto"/>
          <w:position w:val="-2"/>
          <w:sz w:val="28"/>
          <w:szCs w:val="28"/>
          <w:highlight w:val="none"/>
          <w:vertAlign w:val="superscript"/>
        </w:rPr>
        <w:footnoteReference w:id="48"/>
      </w:r>
    </w:p>
    <w:p>
      <w:pPr>
        <w:tabs>
          <w:tab w:val="left" w:pos="1600"/>
        </w:tabs>
        <w:adjustRightInd w:val="0"/>
        <w:snapToGrid w:val="0"/>
        <w:spacing w:line="360" w:lineRule="auto"/>
        <w:ind w:firstLine="482"/>
        <w:textAlignment w:val="baseline"/>
        <w:rPr>
          <w:rFonts w:hAnsi="Times New Roman"/>
          <w:color w:val="auto"/>
          <w:sz w:val="21"/>
          <w:szCs w:val="21"/>
          <w:highlight w:val="none"/>
        </w:rPr>
      </w:pPr>
      <w:bookmarkStart w:id="1949" w:name="_Toc300835226"/>
      <w:bookmarkEnd w:id="1949"/>
      <w:bookmarkStart w:id="1950" w:name="_Toc14392"/>
      <w:bookmarkStart w:id="1951" w:name="_Toc30170732"/>
      <w:bookmarkStart w:id="1952" w:name="_Toc458440267"/>
      <w:bookmarkStart w:id="1953" w:name="_Toc30813"/>
      <w:r>
        <w:rPr>
          <w:rFonts w:hint="eastAsia" w:hAnsi="Times New Roman"/>
          <w:color w:val="auto"/>
          <w:sz w:val="21"/>
          <w:szCs w:val="21"/>
          <w:highlight w:val="none"/>
          <w:u w:val="single"/>
        </w:rPr>
        <w:t xml:space="preserve">                      （所有成员单位名称）</w:t>
      </w:r>
      <w:r>
        <w:rPr>
          <w:rFonts w:hint="eastAsia" w:hAnsi="Times New Roman"/>
          <w:color w:val="auto"/>
          <w:sz w:val="21"/>
          <w:szCs w:val="21"/>
          <w:highlight w:val="none"/>
        </w:rPr>
        <w:t>自愿组成</w:t>
      </w:r>
      <w:r>
        <w:rPr>
          <w:rFonts w:hint="eastAsia" w:hAnsi="Times New Roman"/>
          <w:color w:val="auto"/>
          <w:sz w:val="21"/>
          <w:szCs w:val="21"/>
          <w:highlight w:val="none"/>
          <w:u w:val="single"/>
        </w:rPr>
        <w:t xml:space="preserve">       （联合体名称）</w:t>
      </w:r>
      <w:r>
        <w:rPr>
          <w:rFonts w:hint="eastAsia" w:hAnsi="Times New Roman"/>
          <w:color w:val="auto"/>
          <w:sz w:val="21"/>
          <w:szCs w:val="21"/>
          <w:highlight w:val="none"/>
        </w:rPr>
        <w:t>联合体，共同参加</w:t>
      </w:r>
      <w:r>
        <w:rPr>
          <w:rFonts w:hint="eastAsia" w:hAnsi="Times New Roman"/>
          <w:color w:val="auto"/>
          <w:sz w:val="21"/>
          <w:szCs w:val="21"/>
          <w:highlight w:val="none"/>
          <w:u w:val="single"/>
        </w:rPr>
        <w:t xml:space="preserve">          </w:t>
      </w:r>
      <w:r>
        <w:rPr>
          <w:rFonts w:hint="eastAsia" w:hAnsi="Times New Roman"/>
          <w:color w:val="auto"/>
          <w:kern w:val="2"/>
          <w:sz w:val="21"/>
          <w:szCs w:val="21"/>
          <w:highlight w:val="none"/>
          <w:u w:val="single"/>
        </w:rPr>
        <w:t>　　          （项目名称及标段）</w:t>
      </w:r>
      <w:r>
        <w:rPr>
          <w:rFonts w:hint="eastAsia" w:hAnsi="Times New Roman"/>
          <w:color w:val="auto"/>
          <w:sz w:val="21"/>
          <w:szCs w:val="21"/>
          <w:highlight w:val="none"/>
        </w:rPr>
        <w:t>施工投标。现就联合体投标事宜订立如下协议：</w:t>
      </w:r>
    </w:p>
    <w:p>
      <w:pPr>
        <w:tabs>
          <w:tab w:val="left" w:pos="1600"/>
        </w:tabs>
        <w:adjustRightInd w:val="0"/>
        <w:snapToGrid w:val="0"/>
        <w:spacing w:line="360" w:lineRule="auto"/>
        <w:ind w:firstLine="482"/>
        <w:textAlignment w:val="baseline"/>
        <w:rPr>
          <w:rFonts w:hAnsi="Times New Roman"/>
          <w:color w:val="auto"/>
          <w:sz w:val="21"/>
          <w:szCs w:val="21"/>
          <w:highlight w:val="none"/>
        </w:rPr>
      </w:pPr>
      <w:r>
        <w:rPr>
          <w:rFonts w:hint="eastAsia" w:hAnsi="Times New Roman"/>
          <w:color w:val="auto"/>
          <w:sz w:val="21"/>
          <w:szCs w:val="21"/>
          <w:highlight w:val="none"/>
        </w:rPr>
        <w:t xml:space="preserve">1. </w:t>
      </w:r>
      <w:r>
        <w:rPr>
          <w:rFonts w:hint="eastAsia" w:hAnsi="Times New Roman"/>
          <w:color w:val="auto"/>
          <w:sz w:val="21"/>
          <w:szCs w:val="21"/>
          <w:highlight w:val="none"/>
          <w:u w:val="single"/>
        </w:rPr>
        <w:t xml:space="preserve">                      （牵头人单位名称）</w:t>
      </w:r>
      <w:r>
        <w:rPr>
          <w:rFonts w:hint="eastAsia" w:hAnsi="Times New Roman"/>
          <w:color w:val="auto"/>
          <w:sz w:val="21"/>
          <w:szCs w:val="21"/>
          <w:highlight w:val="none"/>
        </w:rPr>
        <w:t>为</w:t>
      </w:r>
      <w:r>
        <w:rPr>
          <w:rFonts w:hint="eastAsia" w:hAnsi="Times New Roman"/>
          <w:color w:val="auto"/>
          <w:sz w:val="21"/>
          <w:szCs w:val="21"/>
          <w:highlight w:val="none"/>
          <w:u w:val="single"/>
        </w:rPr>
        <w:t xml:space="preserve">       （联合体名称）</w:t>
      </w:r>
      <w:r>
        <w:rPr>
          <w:rFonts w:hint="eastAsia" w:hAnsi="Times New Roman"/>
          <w:color w:val="auto"/>
          <w:sz w:val="21"/>
          <w:szCs w:val="21"/>
          <w:highlight w:val="none"/>
        </w:rPr>
        <w:t>牵头人。</w:t>
      </w:r>
    </w:p>
    <w:p>
      <w:pPr>
        <w:tabs>
          <w:tab w:val="left" w:pos="1600"/>
        </w:tabs>
        <w:adjustRightInd w:val="0"/>
        <w:snapToGrid w:val="0"/>
        <w:spacing w:line="360" w:lineRule="auto"/>
        <w:ind w:firstLine="482"/>
        <w:textAlignment w:val="baseline"/>
        <w:rPr>
          <w:rFonts w:hAnsi="Times New Roman"/>
          <w:color w:val="auto"/>
          <w:sz w:val="21"/>
          <w:szCs w:val="21"/>
          <w:highlight w:val="none"/>
        </w:rPr>
      </w:pPr>
      <w:r>
        <w:rPr>
          <w:rFonts w:hint="eastAsia" w:hAnsi="Times New Roman"/>
          <w:color w:val="auto"/>
          <w:sz w:val="21"/>
          <w:szCs w:val="21"/>
          <w:highlight w:val="none"/>
        </w:rPr>
        <w:t>2.联合体牵头人合法代表联合体各成员负责本招标项目投标文件编制和合同谈判活动，并代表联合体提交和接收相关的资料、信息及指示，并处理与之有关的一切事务，负责合同实施阶段的主办、组织和协调工作。</w:t>
      </w:r>
    </w:p>
    <w:p>
      <w:pPr>
        <w:tabs>
          <w:tab w:val="left" w:pos="1600"/>
        </w:tabs>
        <w:adjustRightInd w:val="0"/>
        <w:snapToGrid w:val="0"/>
        <w:spacing w:line="360" w:lineRule="auto"/>
        <w:ind w:firstLine="482"/>
        <w:textAlignment w:val="baseline"/>
        <w:rPr>
          <w:rFonts w:hAnsi="Times New Roman"/>
          <w:color w:val="auto"/>
          <w:sz w:val="21"/>
          <w:szCs w:val="21"/>
          <w:highlight w:val="none"/>
        </w:rPr>
      </w:pPr>
      <w:r>
        <w:rPr>
          <w:rFonts w:hint="eastAsia" w:hAnsi="Times New Roman"/>
          <w:color w:val="auto"/>
          <w:sz w:val="21"/>
          <w:szCs w:val="21"/>
          <w:highlight w:val="none"/>
        </w:rPr>
        <w:t>3.联合体将严格按照招标文件的各项要求，递交投标文件，履行合同，并对外承担连带责任。</w:t>
      </w:r>
    </w:p>
    <w:p>
      <w:pPr>
        <w:tabs>
          <w:tab w:val="left" w:pos="1600"/>
        </w:tabs>
        <w:adjustRightInd w:val="0"/>
        <w:snapToGrid w:val="0"/>
        <w:spacing w:line="360" w:lineRule="auto"/>
        <w:ind w:firstLine="482"/>
        <w:jc w:val="left"/>
        <w:textAlignment w:val="baseline"/>
        <w:rPr>
          <w:rFonts w:hAnsi="Times New Roman"/>
          <w:color w:val="auto"/>
          <w:sz w:val="21"/>
          <w:szCs w:val="21"/>
          <w:highlight w:val="none"/>
        </w:rPr>
      </w:pPr>
      <w:r>
        <w:rPr>
          <w:rFonts w:hint="eastAsia" w:hAnsi="Times New Roman"/>
          <w:color w:val="auto"/>
          <w:sz w:val="21"/>
          <w:szCs w:val="21"/>
          <w:highlight w:val="none"/>
        </w:rPr>
        <w:t>4. 本联合体</w:t>
      </w:r>
      <w:r>
        <w:rPr>
          <w:rFonts w:hint="eastAsia"/>
          <w:color w:val="auto"/>
          <w:sz w:val="21"/>
          <w:szCs w:val="21"/>
          <w:highlight w:val="none"/>
          <w:u w:val="single"/>
        </w:rPr>
        <w:t xml:space="preserve">   </w:t>
      </w:r>
      <w:r>
        <w:rPr>
          <w:rFonts w:hint="eastAsia"/>
          <w:color w:val="auto"/>
          <w:sz w:val="21"/>
          <w:szCs w:val="21"/>
          <w:highlight w:val="none"/>
        </w:rPr>
        <w:t>（是、不是）</w:t>
      </w:r>
      <w:r>
        <w:rPr>
          <w:rFonts w:hint="eastAsia" w:cs="宋体"/>
          <w:color w:val="auto"/>
          <w:sz w:val="21"/>
          <w:szCs w:val="21"/>
          <w:highlight w:val="none"/>
        </w:rPr>
        <w:t>按照投标人须知前附表第1.4.2项第1条组成。按照投标人须知前附表第1.4.2项第1条组成联合体投标的，</w:t>
      </w:r>
      <w:r>
        <w:rPr>
          <w:rFonts w:hint="eastAsia" w:hAnsi="Times New Roman"/>
          <w:color w:val="auto"/>
          <w:sz w:val="21"/>
          <w:szCs w:val="21"/>
          <w:highlight w:val="none"/>
        </w:rPr>
        <w:t>本联合体协议书明确以下事项：</w:t>
      </w:r>
    </w:p>
    <w:p>
      <w:pPr>
        <w:tabs>
          <w:tab w:val="left" w:pos="1600"/>
        </w:tabs>
        <w:adjustRightInd w:val="0"/>
        <w:snapToGrid w:val="0"/>
        <w:spacing w:line="360" w:lineRule="auto"/>
        <w:ind w:firstLine="482"/>
        <w:jc w:val="left"/>
        <w:textAlignment w:val="baseline"/>
        <w:rPr>
          <w:rFonts w:cs="宋体"/>
          <w:color w:val="auto"/>
          <w:sz w:val="21"/>
          <w:szCs w:val="21"/>
          <w:highlight w:val="none"/>
        </w:rPr>
      </w:pPr>
      <w:r>
        <w:rPr>
          <w:rFonts w:hint="eastAsia" w:hAnsi="Times New Roman"/>
          <w:color w:val="auto"/>
          <w:sz w:val="21"/>
          <w:szCs w:val="21"/>
          <w:highlight w:val="none"/>
        </w:rPr>
        <w:t>（1）</w:t>
      </w:r>
      <w:r>
        <w:rPr>
          <w:rFonts w:hint="eastAsia" w:cs="宋体"/>
          <w:color w:val="auto"/>
          <w:sz w:val="21"/>
          <w:szCs w:val="21"/>
          <w:highlight w:val="none"/>
        </w:rPr>
        <w:t>联合体投标人的业绩以</w:t>
      </w:r>
      <w:r>
        <w:rPr>
          <w:rFonts w:hint="eastAsia" w:cs="宋体"/>
          <w:color w:val="auto"/>
          <w:sz w:val="21"/>
          <w:szCs w:val="21"/>
          <w:highlight w:val="none"/>
          <w:u w:val="single"/>
        </w:rPr>
        <w:t xml:space="preserve">              （联合体成员单位名称）</w:t>
      </w:r>
      <w:r>
        <w:rPr>
          <w:rFonts w:hint="eastAsia" w:cs="宋体"/>
          <w:color w:val="auto"/>
          <w:sz w:val="21"/>
          <w:szCs w:val="21"/>
          <w:highlight w:val="none"/>
        </w:rPr>
        <w:t>的业绩为准，前述业绩指投标人须知前附表附录1第2项所要求的类似工程业绩。</w:t>
      </w:r>
    </w:p>
    <w:p>
      <w:pPr>
        <w:tabs>
          <w:tab w:val="left" w:pos="1600"/>
        </w:tabs>
        <w:adjustRightInd w:val="0"/>
        <w:snapToGrid w:val="0"/>
        <w:spacing w:line="360" w:lineRule="auto"/>
        <w:ind w:firstLine="482"/>
        <w:jc w:val="left"/>
        <w:textAlignment w:val="baseline"/>
        <w:rPr>
          <w:rFonts w:cs="宋体"/>
          <w:color w:val="auto"/>
          <w:sz w:val="21"/>
          <w:szCs w:val="21"/>
          <w:highlight w:val="none"/>
        </w:rPr>
      </w:pPr>
      <w:r>
        <w:rPr>
          <w:rFonts w:hint="eastAsia" w:cs="宋体"/>
          <w:color w:val="auto"/>
          <w:sz w:val="21"/>
          <w:szCs w:val="21"/>
          <w:highlight w:val="none"/>
        </w:rPr>
        <w:t>（2）</w:t>
      </w:r>
      <w:r>
        <w:rPr>
          <w:rFonts w:hint="eastAsia" w:hAnsi="Times New Roman"/>
          <w:color w:val="auto"/>
          <w:sz w:val="21"/>
          <w:szCs w:val="21"/>
          <w:highlight w:val="none"/>
        </w:rPr>
        <w:t>本联合体协议书明确</w:t>
      </w:r>
      <w:r>
        <w:rPr>
          <w:rFonts w:hint="eastAsia" w:cs="宋体"/>
          <w:color w:val="auto"/>
          <w:sz w:val="21"/>
          <w:szCs w:val="21"/>
          <w:highlight w:val="none"/>
        </w:rPr>
        <w:t>联合体投标人的厦门市建筑施工企业信用综合评价结果（包括信用等级和综合得分）以</w:t>
      </w:r>
      <w:r>
        <w:rPr>
          <w:rFonts w:hint="eastAsia" w:cs="宋体"/>
          <w:color w:val="auto"/>
          <w:sz w:val="21"/>
          <w:szCs w:val="21"/>
          <w:highlight w:val="none"/>
          <w:u w:val="single"/>
        </w:rPr>
        <w:t xml:space="preserve">                   （联合体成员单位名称）</w:t>
      </w:r>
      <w:r>
        <w:rPr>
          <w:rFonts w:hint="eastAsia" w:cs="宋体"/>
          <w:color w:val="auto"/>
          <w:sz w:val="21"/>
          <w:szCs w:val="21"/>
          <w:highlight w:val="none"/>
        </w:rPr>
        <w:t>为准。</w:t>
      </w:r>
    </w:p>
    <w:p>
      <w:pPr>
        <w:tabs>
          <w:tab w:val="left" w:pos="1600"/>
        </w:tabs>
        <w:adjustRightInd w:val="0"/>
        <w:snapToGrid w:val="0"/>
        <w:spacing w:line="360" w:lineRule="auto"/>
        <w:ind w:firstLine="482"/>
        <w:jc w:val="left"/>
        <w:textAlignment w:val="baseline"/>
        <w:rPr>
          <w:rFonts w:cs="宋体"/>
          <w:color w:val="auto"/>
          <w:sz w:val="21"/>
          <w:szCs w:val="21"/>
          <w:highlight w:val="none"/>
        </w:rPr>
      </w:pPr>
      <w:r>
        <w:rPr>
          <w:rFonts w:hint="eastAsia" w:cs="宋体"/>
          <w:color w:val="auto"/>
          <w:sz w:val="21"/>
          <w:szCs w:val="21"/>
          <w:highlight w:val="none"/>
        </w:rPr>
        <w:t>（3）</w:t>
      </w:r>
      <w:r>
        <w:rPr>
          <w:rFonts w:hint="eastAsia" w:hAnsi="Times New Roman"/>
          <w:color w:val="auto"/>
          <w:sz w:val="21"/>
          <w:szCs w:val="21"/>
          <w:highlight w:val="none"/>
        </w:rPr>
        <w:t>本联合体协议书明确</w:t>
      </w:r>
      <w:r>
        <w:rPr>
          <w:rFonts w:hint="eastAsia" w:cs="宋体"/>
          <w:color w:val="auto"/>
          <w:sz w:val="21"/>
          <w:szCs w:val="21"/>
          <w:highlight w:val="none"/>
        </w:rPr>
        <w:t>联合体投标人的福建省建筑施工企业信用综合评价分值以</w:t>
      </w:r>
      <w:r>
        <w:rPr>
          <w:rFonts w:hint="eastAsia" w:cs="宋体"/>
          <w:color w:val="auto"/>
          <w:sz w:val="21"/>
          <w:szCs w:val="21"/>
          <w:highlight w:val="none"/>
          <w:u w:val="single"/>
        </w:rPr>
        <w:t xml:space="preserve">                   （联合体成员单位名称）</w:t>
      </w:r>
      <w:r>
        <w:rPr>
          <w:rFonts w:hint="eastAsia" w:cs="宋体"/>
          <w:color w:val="auto"/>
          <w:sz w:val="21"/>
          <w:szCs w:val="21"/>
          <w:highlight w:val="none"/>
        </w:rPr>
        <w:t>为准。</w:t>
      </w:r>
    </w:p>
    <w:p>
      <w:pPr>
        <w:tabs>
          <w:tab w:val="left" w:pos="1600"/>
        </w:tabs>
        <w:adjustRightInd w:val="0"/>
        <w:snapToGrid w:val="0"/>
        <w:spacing w:line="360" w:lineRule="auto"/>
        <w:ind w:firstLine="482"/>
        <w:jc w:val="left"/>
        <w:textAlignment w:val="baseline"/>
        <w:rPr>
          <w:rFonts w:hAnsi="Times New Roman"/>
          <w:color w:val="auto"/>
          <w:sz w:val="21"/>
          <w:szCs w:val="21"/>
          <w:highlight w:val="none"/>
        </w:rPr>
      </w:pPr>
      <w:r>
        <w:rPr>
          <w:rFonts w:hint="eastAsia" w:hAnsi="Times New Roman"/>
          <w:color w:val="auto"/>
          <w:sz w:val="21"/>
          <w:szCs w:val="21"/>
          <w:highlight w:val="none"/>
        </w:rPr>
        <w:t>5.联合体各成员单位内部的职责分工如下：</w:t>
      </w:r>
    </w:p>
    <w:p>
      <w:pPr>
        <w:tabs>
          <w:tab w:val="left" w:pos="1600"/>
        </w:tabs>
        <w:adjustRightInd w:val="0"/>
        <w:snapToGrid w:val="0"/>
        <w:spacing w:line="360" w:lineRule="auto"/>
        <w:ind w:firstLine="482"/>
        <w:jc w:val="left"/>
        <w:textAlignment w:val="baseline"/>
        <w:rPr>
          <w:rFonts w:hAnsi="Times New Roman"/>
          <w:color w:val="auto"/>
          <w:kern w:val="2"/>
          <w:sz w:val="21"/>
          <w:szCs w:val="21"/>
          <w:highlight w:val="none"/>
        </w:rPr>
      </w:pPr>
      <w:r>
        <w:rPr>
          <w:rFonts w:hint="eastAsia" w:hAnsi="Times New Roman"/>
          <w:color w:val="auto"/>
          <w:sz w:val="21"/>
          <w:szCs w:val="21"/>
          <w:highlight w:val="none"/>
          <w:u w:val="single"/>
        </w:rPr>
        <w:t xml:space="preserve">                        </w:t>
      </w:r>
      <w:r>
        <w:rPr>
          <w:rFonts w:hint="eastAsia" w:hAnsi="Times New Roman"/>
          <w:color w:val="auto"/>
          <w:kern w:val="2"/>
          <w:sz w:val="21"/>
          <w:szCs w:val="21"/>
          <w:highlight w:val="none"/>
          <w:u w:val="single"/>
        </w:rPr>
        <w:t xml:space="preserve">                                       </w:t>
      </w:r>
      <w:r>
        <w:rPr>
          <w:rFonts w:hint="eastAsia" w:hAnsi="Times New Roman"/>
          <w:color w:val="auto"/>
          <w:kern w:val="2"/>
          <w:sz w:val="21"/>
          <w:szCs w:val="21"/>
          <w:highlight w:val="none"/>
        </w:rPr>
        <w:t>。</w:t>
      </w:r>
    </w:p>
    <w:p>
      <w:pPr>
        <w:tabs>
          <w:tab w:val="left" w:pos="1600"/>
        </w:tabs>
        <w:adjustRightInd w:val="0"/>
        <w:snapToGrid w:val="0"/>
        <w:spacing w:line="360" w:lineRule="auto"/>
        <w:ind w:firstLine="482"/>
        <w:textAlignment w:val="baseline"/>
        <w:rPr>
          <w:rFonts w:hAnsi="Times New Roman"/>
          <w:color w:val="auto"/>
          <w:kern w:val="2"/>
          <w:sz w:val="21"/>
          <w:szCs w:val="21"/>
          <w:highlight w:val="none"/>
        </w:rPr>
      </w:pPr>
      <w:r>
        <w:rPr>
          <w:rFonts w:hint="eastAsia" w:hAnsi="Times New Roman"/>
          <w:color w:val="auto"/>
          <w:kern w:val="2"/>
          <w:sz w:val="21"/>
          <w:szCs w:val="21"/>
          <w:highlight w:val="none"/>
        </w:rPr>
        <w:t>6.本协议书自签署之日起生效，合同履行完毕后自动失效。</w:t>
      </w:r>
    </w:p>
    <w:p>
      <w:pPr>
        <w:tabs>
          <w:tab w:val="left" w:pos="1600"/>
        </w:tabs>
        <w:adjustRightInd w:val="0"/>
        <w:snapToGrid w:val="0"/>
        <w:spacing w:line="360" w:lineRule="auto"/>
        <w:ind w:firstLine="482"/>
        <w:textAlignment w:val="baseline"/>
        <w:rPr>
          <w:rFonts w:hAnsi="Times New Roman"/>
          <w:color w:val="auto"/>
          <w:kern w:val="2"/>
          <w:sz w:val="21"/>
          <w:szCs w:val="21"/>
          <w:highlight w:val="none"/>
        </w:rPr>
      </w:pPr>
      <w:r>
        <w:rPr>
          <w:rFonts w:hint="eastAsia" w:hAnsi="Times New Roman"/>
          <w:color w:val="auto"/>
          <w:kern w:val="2"/>
          <w:sz w:val="21"/>
          <w:szCs w:val="21"/>
          <w:highlight w:val="none"/>
        </w:rPr>
        <w:t>7.本协议书一式</w:t>
      </w:r>
      <w:r>
        <w:rPr>
          <w:rFonts w:hint="eastAsia" w:hAnsi="Times New Roman"/>
          <w:color w:val="auto"/>
          <w:kern w:val="2"/>
          <w:sz w:val="21"/>
          <w:szCs w:val="21"/>
          <w:highlight w:val="none"/>
          <w:u w:val="single"/>
        </w:rPr>
        <w:t xml:space="preserve">    </w:t>
      </w:r>
      <w:r>
        <w:rPr>
          <w:rFonts w:hint="eastAsia" w:hAnsi="Times New Roman"/>
          <w:color w:val="auto"/>
          <w:kern w:val="2"/>
          <w:sz w:val="21"/>
          <w:szCs w:val="21"/>
          <w:highlight w:val="none"/>
        </w:rPr>
        <w:t>份，联合体各方和招标人各执一份。</w:t>
      </w:r>
    </w:p>
    <w:p>
      <w:pPr>
        <w:tabs>
          <w:tab w:val="left" w:pos="1600"/>
        </w:tabs>
        <w:adjustRightInd w:val="0"/>
        <w:snapToGrid w:val="0"/>
        <w:spacing w:line="360" w:lineRule="auto"/>
        <w:ind w:firstLine="482"/>
        <w:textAlignment w:val="baseline"/>
        <w:rPr>
          <w:rFonts w:hAnsi="Times New Roman"/>
          <w:color w:val="auto"/>
          <w:kern w:val="2"/>
          <w:sz w:val="21"/>
          <w:szCs w:val="21"/>
          <w:highlight w:val="none"/>
        </w:rPr>
      </w:pPr>
      <w:r>
        <w:rPr>
          <w:rFonts w:hint="eastAsia" w:hAnsi="Times New Roman"/>
          <w:color w:val="auto"/>
          <w:kern w:val="2"/>
          <w:sz w:val="21"/>
          <w:szCs w:val="21"/>
          <w:highlight w:val="none"/>
        </w:rPr>
        <w:t>注：本协议书由委托代理人盖章的，应附法定代表人的授权委托书。</w:t>
      </w:r>
    </w:p>
    <w:p>
      <w:pPr>
        <w:tabs>
          <w:tab w:val="left" w:pos="1600"/>
        </w:tabs>
        <w:adjustRightInd w:val="0"/>
        <w:snapToGrid w:val="0"/>
        <w:spacing w:line="360" w:lineRule="auto"/>
        <w:ind w:firstLine="482"/>
        <w:textAlignment w:val="baseline"/>
        <w:rPr>
          <w:rFonts w:hAnsi="Times New Roman"/>
          <w:color w:val="auto"/>
          <w:kern w:val="2"/>
          <w:sz w:val="21"/>
          <w:szCs w:val="21"/>
          <w:highlight w:val="none"/>
        </w:rPr>
      </w:pPr>
    </w:p>
    <w:p>
      <w:pPr>
        <w:tabs>
          <w:tab w:val="left" w:pos="1600"/>
        </w:tabs>
        <w:adjustRightInd w:val="0"/>
        <w:snapToGrid w:val="0"/>
        <w:spacing w:line="240" w:lineRule="exact"/>
        <w:ind w:firstLine="482"/>
        <w:textAlignment w:val="baseline"/>
        <w:rPr>
          <w:rFonts w:hAnsi="Times New Roman"/>
          <w:color w:val="auto"/>
          <w:kern w:val="2"/>
          <w:sz w:val="21"/>
          <w:szCs w:val="21"/>
          <w:highlight w:val="none"/>
        </w:rPr>
      </w:pPr>
      <w:r>
        <w:rPr>
          <w:rFonts w:hint="eastAsia" w:hAnsi="Times New Roman"/>
          <w:color w:val="auto"/>
          <w:kern w:val="2"/>
          <w:sz w:val="21"/>
          <w:szCs w:val="21"/>
          <w:highlight w:val="none"/>
        </w:rPr>
        <w:t>联合体牵头人名称：</w:t>
      </w:r>
      <w:r>
        <w:rPr>
          <w:rFonts w:hint="eastAsia" w:hAnsi="Times New Roman"/>
          <w:color w:val="auto"/>
          <w:kern w:val="2"/>
          <w:sz w:val="21"/>
          <w:szCs w:val="21"/>
          <w:highlight w:val="none"/>
          <w:u w:val="single"/>
        </w:rPr>
        <w:t xml:space="preserve">                                  </w:t>
      </w:r>
      <w:r>
        <w:rPr>
          <w:rFonts w:hint="eastAsia" w:hAnsi="Times New Roman"/>
          <w:color w:val="auto"/>
          <w:kern w:val="2"/>
          <w:sz w:val="21"/>
          <w:szCs w:val="21"/>
          <w:highlight w:val="none"/>
        </w:rPr>
        <w:t>（盖单位公章）</w:t>
      </w:r>
    </w:p>
    <w:p>
      <w:pPr>
        <w:tabs>
          <w:tab w:val="left" w:pos="1600"/>
        </w:tabs>
        <w:adjustRightInd w:val="0"/>
        <w:snapToGrid w:val="0"/>
        <w:spacing w:line="240" w:lineRule="exact"/>
        <w:ind w:firstLine="482"/>
        <w:textAlignment w:val="baseline"/>
        <w:rPr>
          <w:rFonts w:hAnsi="Times New Roman"/>
          <w:color w:val="auto"/>
          <w:kern w:val="2"/>
          <w:sz w:val="21"/>
          <w:szCs w:val="21"/>
          <w:highlight w:val="none"/>
          <w:u w:val="single"/>
        </w:rPr>
      </w:pPr>
      <w:r>
        <w:rPr>
          <w:rFonts w:hint="eastAsia" w:hAnsi="Times New Roman"/>
          <w:color w:val="auto"/>
          <w:kern w:val="2"/>
          <w:sz w:val="21"/>
          <w:szCs w:val="21"/>
          <w:highlight w:val="none"/>
        </w:rPr>
        <w:t>法定代表人：</w:t>
      </w:r>
      <w:r>
        <w:rPr>
          <w:rFonts w:hint="eastAsia" w:hAnsi="Times New Roman"/>
          <w:color w:val="auto"/>
          <w:kern w:val="2"/>
          <w:sz w:val="21"/>
          <w:szCs w:val="21"/>
          <w:highlight w:val="none"/>
          <w:u w:val="single"/>
        </w:rPr>
        <w:t xml:space="preserve">                                              </w:t>
      </w:r>
      <w:r>
        <w:rPr>
          <w:rFonts w:hint="eastAsia" w:hAnsi="Times New Roman"/>
          <w:color w:val="auto"/>
          <w:kern w:val="2"/>
          <w:sz w:val="21"/>
          <w:szCs w:val="21"/>
          <w:highlight w:val="none"/>
        </w:rPr>
        <w:t>（盖章）</w:t>
      </w:r>
    </w:p>
    <w:p>
      <w:pPr>
        <w:tabs>
          <w:tab w:val="left" w:pos="1600"/>
        </w:tabs>
        <w:adjustRightInd w:val="0"/>
        <w:snapToGrid w:val="0"/>
        <w:spacing w:line="240" w:lineRule="exact"/>
        <w:ind w:firstLine="482"/>
        <w:textAlignment w:val="baseline"/>
        <w:rPr>
          <w:rFonts w:hAnsi="Times New Roman"/>
          <w:color w:val="auto"/>
          <w:kern w:val="2"/>
          <w:sz w:val="21"/>
          <w:szCs w:val="21"/>
          <w:highlight w:val="none"/>
        </w:rPr>
      </w:pPr>
    </w:p>
    <w:p>
      <w:pPr>
        <w:tabs>
          <w:tab w:val="left" w:pos="1600"/>
        </w:tabs>
        <w:adjustRightInd w:val="0"/>
        <w:snapToGrid w:val="0"/>
        <w:spacing w:line="240" w:lineRule="exact"/>
        <w:ind w:firstLine="482"/>
        <w:textAlignment w:val="baseline"/>
        <w:rPr>
          <w:rFonts w:hAnsi="Times New Roman"/>
          <w:color w:val="auto"/>
          <w:kern w:val="2"/>
          <w:sz w:val="21"/>
          <w:szCs w:val="21"/>
          <w:highlight w:val="none"/>
        </w:rPr>
      </w:pPr>
      <w:r>
        <w:rPr>
          <w:rFonts w:hint="eastAsia" w:hAnsi="Times New Roman"/>
          <w:color w:val="auto"/>
          <w:kern w:val="2"/>
          <w:sz w:val="21"/>
          <w:szCs w:val="21"/>
          <w:highlight w:val="none"/>
        </w:rPr>
        <w:t>联合体</w:t>
      </w:r>
      <w:r>
        <w:rPr>
          <w:rFonts w:hint="eastAsia" w:hAnsi="Times New Roman"/>
          <w:color w:val="auto"/>
          <w:sz w:val="21"/>
          <w:szCs w:val="21"/>
          <w:highlight w:val="none"/>
        </w:rPr>
        <w:t>成员</w:t>
      </w:r>
      <w:r>
        <w:rPr>
          <w:rFonts w:hint="eastAsia" w:hAnsi="Times New Roman"/>
          <w:color w:val="auto"/>
          <w:kern w:val="2"/>
          <w:sz w:val="21"/>
          <w:szCs w:val="21"/>
          <w:highlight w:val="none"/>
        </w:rPr>
        <w:t>一名称：</w:t>
      </w:r>
      <w:r>
        <w:rPr>
          <w:rFonts w:hint="eastAsia" w:hAnsi="Times New Roman"/>
          <w:color w:val="auto"/>
          <w:kern w:val="2"/>
          <w:sz w:val="21"/>
          <w:szCs w:val="21"/>
          <w:highlight w:val="none"/>
          <w:u w:val="single"/>
        </w:rPr>
        <w:t xml:space="preserve">                                  </w:t>
      </w:r>
      <w:r>
        <w:rPr>
          <w:rFonts w:hint="eastAsia" w:hAnsi="Times New Roman"/>
          <w:color w:val="auto"/>
          <w:kern w:val="2"/>
          <w:sz w:val="21"/>
          <w:szCs w:val="21"/>
          <w:highlight w:val="none"/>
        </w:rPr>
        <w:t>（盖单位公章）</w:t>
      </w:r>
    </w:p>
    <w:p>
      <w:pPr>
        <w:tabs>
          <w:tab w:val="left" w:pos="1600"/>
        </w:tabs>
        <w:adjustRightInd w:val="0"/>
        <w:snapToGrid w:val="0"/>
        <w:spacing w:line="240" w:lineRule="exact"/>
        <w:ind w:firstLine="482"/>
        <w:textAlignment w:val="baseline"/>
        <w:rPr>
          <w:rFonts w:hAnsi="Times New Roman"/>
          <w:color w:val="auto"/>
          <w:kern w:val="2"/>
          <w:sz w:val="21"/>
          <w:szCs w:val="21"/>
          <w:highlight w:val="none"/>
          <w:u w:val="single"/>
        </w:rPr>
      </w:pPr>
      <w:r>
        <w:rPr>
          <w:rFonts w:hint="eastAsia" w:hAnsi="Times New Roman"/>
          <w:color w:val="auto"/>
          <w:kern w:val="2"/>
          <w:sz w:val="21"/>
          <w:szCs w:val="21"/>
          <w:highlight w:val="none"/>
        </w:rPr>
        <w:t>法定代表人：</w:t>
      </w:r>
      <w:r>
        <w:rPr>
          <w:rFonts w:hint="eastAsia" w:hAnsi="Times New Roman"/>
          <w:color w:val="auto"/>
          <w:kern w:val="2"/>
          <w:sz w:val="21"/>
          <w:szCs w:val="21"/>
          <w:highlight w:val="none"/>
          <w:u w:val="single"/>
        </w:rPr>
        <w:t xml:space="preserve">                                              </w:t>
      </w:r>
      <w:r>
        <w:rPr>
          <w:rFonts w:hint="eastAsia" w:hAnsi="Times New Roman"/>
          <w:color w:val="auto"/>
          <w:kern w:val="2"/>
          <w:sz w:val="21"/>
          <w:szCs w:val="21"/>
          <w:highlight w:val="none"/>
        </w:rPr>
        <w:t>（盖章）</w:t>
      </w:r>
    </w:p>
    <w:p>
      <w:pPr>
        <w:tabs>
          <w:tab w:val="left" w:pos="1600"/>
        </w:tabs>
        <w:adjustRightInd w:val="0"/>
        <w:snapToGrid w:val="0"/>
        <w:spacing w:line="240" w:lineRule="exact"/>
        <w:ind w:firstLine="482"/>
        <w:textAlignment w:val="baseline"/>
        <w:rPr>
          <w:rFonts w:hAnsi="Times New Roman"/>
          <w:color w:val="auto"/>
          <w:kern w:val="2"/>
          <w:sz w:val="21"/>
          <w:szCs w:val="21"/>
          <w:highlight w:val="none"/>
        </w:rPr>
      </w:pPr>
    </w:p>
    <w:p>
      <w:pPr>
        <w:tabs>
          <w:tab w:val="left" w:pos="1600"/>
        </w:tabs>
        <w:adjustRightInd w:val="0"/>
        <w:snapToGrid w:val="0"/>
        <w:spacing w:line="240" w:lineRule="exact"/>
        <w:ind w:firstLine="482"/>
        <w:textAlignment w:val="baseline"/>
        <w:rPr>
          <w:rFonts w:hAnsi="Times New Roman"/>
          <w:color w:val="auto"/>
          <w:kern w:val="2"/>
          <w:sz w:val="21"/>
          <w:szCs w:val="21"/>
          <w:highlight w:val="none"/>
        </w:rPr>
      </w:pPr>
      <w:r>
        <w:rPr>
          <w:rFonts w:hint="eastAsia" w:hAnsi="Times New Roman"/>
          <w:color w:val="auto"/>
          <w:kern w:val="2"/>
          <w:sz w:val="21"/>
          <w:szCs w:val="21"/>
          <w:highlight w:val="none"/>
        </w:rPr>
        <w:t>联合体</w:t>
      </w:r>
      <w:r>
        <w:rPr>
          <w:rFonts w:hint="eastAsia" w:hAnsi="Times New Roman"/>
          <w:color w:val="auto"/>
          <w:sz w:val="21"/>
          <w:szCs w:val="21"/>
          <w:highlight w:val="none"/>
        </w:rPr>
        <w:t>成员</w:t>
      </w:r>
      <w:r>
        <w:rPr>
          <w:rFonts w:hint="eastAsia" w:hAnsi="Times New Roman"/>
          <w:color w:val="auto"/>
          <w:kern w:val="2"/>
          <w:sz w:val="21"/>
          <w:szCs w:val="21"/>
          <w:highlight w:val="none"/>
        </w:rPr>
        <w:t>二名称：</w:t>
      </w:r>
      <w:r>
        <w:rPr>
          <w:rFonts w:hint="eastAsia" w:hAnsi="Times New Roman"/>
          <w:color w:val="auto"/>
          <w:kern w:val="2"/>
          <w:sz w:val="21"/>
          <w:szCs w:val="21"/>
          <w:highlight w:val="none"/>
          <w:u w:val="single"/>
        </w:rPr>
        <w:t xml:space="preserve">                                  </w:t>
      </w:r>
      <w:r>
        <w:rPr>
          <w:rFonts w:hint="eastAsia" w:hAnsi="Times New Roman"/>
          <w:color w:val="auto"/>
          <w:kern w:val="2"/>
          <w:sz w:val="21"/>
          <w:szCs w:val="21"/>
          <w:highlight w:val="none"/>
        </w:rPr>
        <w:t>（盖单位公章）</w:t>
      </w:r>
    </w:p>
    <w:p>
      <w:pPr>
        <w:tabs>
          <w:tab w:val="left" w:pos="1600"/>
        </w:tabs>
        <w:adjustRightInd w:val="0"/>
        <w:snapToGrid w:val="0"/>
        <w:spacing w:line="240" w:lineRule="exact"/>
        <w:ind w:firstLine="482"/>
        <w:textAlignment w:val="baseline"/>
        <w:rPr>
          <w:rFonts w:hAnsi="Times New Roman"/>
          <w:color w:val="auto"/>
          <w:kern w:val="2"/>
          <w:sz w:val="21"/>
          <w:szCs w:val="21"/>
          <w:highlight w:val="none"/>
        </w:rPr>
      </w:pPr>
      <w:r>
        <w:rPr>
          <w:rFonts w:hint="eastAsia" w:hAnsi="Times New Roman"/>
          <w:color w:val="auto"/>
          <w:kern w:val="2"/>
          <w:sz w:val="21"/>
          <w:szCs w:val="21"/>
          <w:highlight w:val="none"/>
        </w:rPr>
        <w:t>法定代表人：</w:t>
      </w:r>
      <w:r>
        <w:rPr>
          <w:rFonts w:hint="eastAsia" w:hAnsi="Times New Roman"/>
          <w:color w:val="auto"/>
          <w:kern w:val="2"/>
          <w:sz w:val="21"/>
          <w:szCs w:val="21"/>
          <w:highlight w:val="none"/>
          <w:u w:val="single"/>
        </w:rPr>
        <w:t xml:space="preserve">                                              </w:t>
      </w:r>
      <w:r>
        <w:rPr>
          <w:rFonts w:hint="eastAsia" w:hAnsi="Times New Roman"/>
          <w:color w:val="auto"/>
          <w:kern w:val="2"/>
          <w:sz w:val="21"/>
          <w:szCs w:val="21"/>
          <w:highlight w:val="none"/>
        </w:rPr>
        <w:t>（盖章）</w:t>
      </w:r>
    </w:p>
    <w:p>
      <w:pPr>
        <w:tabs>
          <w:tab w:val="left" w:pos="1600"/>
        </w:tabs>
        <w:adjustRightInd w:val="0"/>
        <w:snapToGrid w:val="0"/>
        <w:spacing w:line="240" w:lineRule="exact"/>
        <w:ind w:firstLine="482"/>
        <w:textAlignment w:val="baseline"/>
        <w:rPr>
          <w:rFonts w:hAnsi="Times New Roman"/>
          <w:color w:val="auto"/>
          <w:kern w:val="2"/>
          <w:sz w:val="21"/>
          <w:szCs w:val="21"/>
          <w:highlight w:val="none"/>
        </w:rPr>
      </w:pPr>
    </w:p>
    <w:p>
      <w:pPr>
        <w:tabs>
          <w:tab w:val="left" w:pos="1600"/>
        </w:tabs>
        <w:adjustRightInd w:val="0"/>
        <w:snapToGrid w:val="0"/>
        <w:spacing w:line="240" w:lineRule="exact"/>
        <w:ind w:firstLine="482"/>
        <w:textAlignment w:val="baseline"/>
        <w:rPr>
          <w:rFonts w:hAnsi="Times New Roman"/>
          <w:color w:val="auto"/>
          <w:kern w:val="2"/>
          <w:sz w:val="21"/>
          <w:szCs w:val="21"/>
          <w:highlight w:val="none"/>
        </w:rPr>
      </w:pPr>
      <w:r>
        <w:rPr>
          <w:rFonts w:hint="eastAsia" w:hAnsi="Times New Roman"/>
          <w:color w:val="auto"/>
          <w:kern w:val="2"/>
          <w:sz w:val="21"/>
          <w:szCs w:val="21"/>
          <w:highlight w:val="none"/>
        </w:rPr>
        <w:t>联合体</w:t>
      </w:r>
      <w:r>
        <w:rPr>
          <w:rFonts w:hint="eastAsia" w:hAnsi="Times New Roman"/>
          <w:color w:val="auto"/>
          <w:sz w:val="21"/>
          <w:szCs w:val="21"/>
          <w:highlight w:val="none"/>
        </w:rPr>
        <w:t>成员</w:t>
      </w:r>
      <w:r>
        <w:rPr>
          <w:rFonts w:hint="eastAsia" w:hAnsi="Times New Roman"/>
          <w:color w:val="auto"/>
          <w:kern w:val="2"/>
          <w:sz w:val="21"/>
          <w:szCs w:val="21"/>
          <w:highlight w:val="none"/>
        </w:rPr>
        <w:t>三名称：</w:t>
      </w:r>
      <w:r>
        <w:rPr>
          <w:rFonts w:hint="eastAsia" w:hAnsi="Times New Roman"/>
          <w:color w:val="auto"/>
          <w:kern w:val="2"/>
          <w:sz w:val="21"/>
          <w:szCs w:val="21"/>
          <w:highlight w:val="none"/>
          <w:u w:val="single"/>
        </w:rPr>
        <w:t xml:space="preserve">                                  </w:t>
      </w:r>
      <w:r>
        <w:rPr>
          <w:rFonts w:hint="eastAsia" w:hAnsi="Times New Roman"/>
          <w:color w:val="auto"/>
          <w:kern w:val="2"/>
          <w:sz w:val="21"/>
          <w:szCs w:val="21"/>
          <w:highlight w:val="none"/>
        </w:rPr>
        <w:t>（盖单位公章）</w:t>
      </w:r>
    </w:p>
    <w:p>
      <w:pPr>
        <w:tabs>
          <w:tab w:val="left" w:pos="1600"/>
        </w:tabs>
        <w:adjustRightInd w:val="0"/>
        <w:snapToGrid w:val="0"/>
        <w:spacing w:line="240" w:lineRule="exact"/>
        <w:ind w:firstLine="482"/>
        <w:textAlignment w:val="baseline"/>
        <w:rPr>
          <w:rFonts w:hAnsi="Times New Roman"/>
          <w:color w:val="auto"/>
          <w:kern w:val="2"/>
          <w:sz w:val="21"/>
          <w:szCs w:val="21"/>
          <w:highlight w:val="none"/>
        </w:rPr>
      </w:pPr>
      <w:r>
        <w:rPr>
          <w:rFonts w:hint="eastAsia" w:hAnsi="Times New Roman"/>
          <w:color w:val="auto"/>
          <w:kern w:val="2"/>
          <w:sz w:val="21"/>
          <w:szCs w:val="21"/>
          <w:highlight w:val="none"/>
        </w:rPr>
        <w:t>法定代表人：</w:t>
      </w:r>
      <w:r>
        <w:rPr>
          <w:rFonts w:hint="eastAsia" w:hAnsi="Times New Roman"/>
          <w:color w:val="auto"/>
          <w:kern w:val="2"/>
          <w:sz w:val="21"/>
          <w:szCs w:val="21"/>
          <w:highlight w:val="none"/>
          <w:u w:val="single"/>
        </w:rPr>
        <w:t xml:space="preserve">                                              </w:t>
      </w:r>
      <w:r>
        <w:rPr>
          <w:rFonts w:hint="eastAsia" w:hAnsi="Times New Roman"/>
          <w:color w:val="auto"/>
          <w:kern w:val="2"/>
          <w:sz w:val="21"/>
          <w:szCs w:val="21"/>
          <w:highlight w:val="none"/>
        </w:rPr>
        <w:t>（盖章）</w:t>
      </w:r>
    </w:p>
    <w:p>
      <w:pPr>
        <w:tabs>
          <w:tab w:val="left" w:pos="1600"/>
        </w:tabs>
        <w:adjustRightInd w:val="0"/>
        <w:snapToGrid w:val="0"/>
        <w:spacing w:line="240" w:lineRule="exact"/>
        <w:ind w:firstLine="482"/>
        <w:textAlignment w:val="baseline"/>
        <w:rPr>
          <w:rFonts w:hAnsi="Times New Roman"/>
          <w:color w:val="auto"/>
          <w:kern w:val="2"/>
          <w:sz w:val="21"/>
          <w:szCs w:val="21"/>
          <w:highlight w:val="none"/>
        </w:rPr>
      </w:pPr>
      <w:r>
        <w:rPr>
          <w:rFonts w:hint="eastAsia" w:hAnsi="Times New Roman"/>
          <w:color w:val="auto"/>
          <w:kern w:val="2"/>
          <w:sz w:val="21"/>
          <w:szCs w:val="21"/>
          <w:highlight w:val="none"/>
        </w:rPr>
        <w:t>……</w:t>
      </w:r>
    </w:p>
    <w:p>
      <w:pPr>
        <w:tabs>
          <w:tab w:val="left" w:pos="1600"/>
        </w:tabs>
        <w:adjustRightInd w:val="0"/>
        <w:snapToGrid w:val="0"/>
        <w:spacing w:line="360" w:lineRule="auto"/>
        <w:ind w:firstLine="482"/>
        <w:textAlignment w:val="baseline"/>
        <w:rPr>
          <w:rFonts w:hAnsi="Times New Roman"/>
          <w:color w:val="auto"/>
          <w:kern w:val="2"/>
          <w:sz w:val="21"/>
          <w:szCs w:val="21"/>
          <w:highlight w:val="none"/>
        </w:rPr>
      </w:pPr>
    </w:p>
    <w:p>
      <w:pPr>
        <w:tabs>
          <w:tab w:val="left" w:pos="1600"/>
        </w:tabs>
        <w:adjustRightInd w:val="0"/>
        <w:snapToGrid w:val="0"/>
        <w:spacing w:line="360" w:lineRule="auto"/>
        <w:ind w:firstLine="482"/>
        <w:textAlignment w:val="baseline"/>
        <w:rPr>
          <w:rFonts w:hAnsi="Times New Roman"/>
          <w:color w:val="auto"/>
          <w:kern w:val="2"/>
          <w:sz w:val="21"/>
          <w:szCs w:val="21"/>
          <w:highlight w:val="none"/>
        </w:rPr>
      </w:pPr>
      <w:r>
        <w:rPr>
          <w:rFonts w:hint="eastAsia" w:hAnsi="Times New Roman"/>
          <w:color w:val="auto"/>
          <w:kern w:val="2"/>
          <w:sz w:val="21"/>
          <w:szCs w:val="21"/>
          <w:highlight w:val="none"/>
        </w:rPr>
        <w:t xml:space="preserve">                                              </w:t>
      </w:r>
      <w:r>
        <w:rPr>
          <w:rFonts w:hint="eastAsia" w:hAnsi="Times New Roman"/>
          <w:color w:val="auto"/>
          <w:kern w:val="2"/>
          <w:sz w:val="21"/>
          <w:szCs w:val="21"/>
          <w:highlight w:val="none"/>
          <w:u w:val="single"/>
        </w:rPr>
        <w:t xml:space="preserve">      </w:t>
      </w:r>
      <w:r>
        <w:rPr>
          <w:rFonts w:hint="eastAsia" w:hAnsi="Times New Roman"/>
          <w:color w:val="auto"/>
          <w:kern w:val="2"/>
          <w:sz w:val="21"/>
          <w:szCs w:val="21"/>
          <w:highlight w:val="none"/>
        </w:rPr>
        <w:t>年</w:t>
      </w:r>
      <w:r>
        <w:rPr>
          <w:rFonts w:hint="eastAsia" w:hAnsi="Times New Roman"/>
          <w:color w:val="auto"/>
          <w:kern w:val="2"/>
          <w:sz w:val="21"/>
          <w:szCs w:val="21"/>
          <w:highlight w:val="none"/>
          <w:u w:val="single"/>
        </w:rPr>
        <w:t xml:space="preserve">    </w:t>
      </w:r>
      <w:r>
        <w:rPr>
          <w:rFonts w:hint="eastAsia" w:hAnsi="Times New Roman"/>
          <w:color w:val="auto"/>
          <w:kern w:val="2"/>
          <w:sz w:val="21"/>
          <w:szCs w:val="21"/>
          <w:highlight w:val="none"/>
        </w:rPr>
        <w:t>月</w:t>
      </w:r>
      <w:r>
        <w:rPr>
          <w:rFonts w:hint="eastAsia" w:hAnsi="Times New Roman"/>
          <w:color w:val="auto"/>
          <w:kern w:val="2"/>
          <w:sz w:val="21"/>
          <w:szCs w:val="21"/>
          <w:highlight w:val="none"/>
          <w:u w:val="single"/>
        </w:rPr>
        <w:t xml:space="preserve">    </w:t>
      </w:r>
      <w:r>
        <w:rPr>
          <w:rFonts w:hint="eastAsia" w:hAnsi="Times New Roman"/>
          <w:color w:val="auto"/>
          <w:kern w:val="2"/>
          <w:sz w:val="21"/>
          <w:szCs w:val="21"/>
          <w:highlight w:val="none"/>
        </w:rPr>
        <w:t>日</w:t>
      </w:r>
    </w:p>
    <w:p>
      <w:pPr>
        <w:pStyle w:val="59"/>
        <w:ind w:firstLine="0"/>
        <w:jc w:val="center"/>
        <w:rPr>
          <w:color w:val="auto"/>
          <w:kern w:val="2"/>
          <w:sz w:val="24"/>
          <w:highlight w:val="none"/>
        </w:rPr>
      </w:pPr>
      <w:r>
        <w:rPr>
          <w:rFonts w:ascii="黑体" w:hAnsi="黑体" w:eastAsia="黑体"/>
          <w:color w:val="auto"/>
          <w:sz w:val="28"/>
          <w:szCs w:val="28"/>
          <w:highlight w:val="none"/>
        </w:rPr>
        <w:br w:type="page"/>
      </w:r>
      <w:r>
        <w:rPr>
          <w:rFonts w:hint="eastAsia" w:ascii="黑体" w:hAnsi="黑体" w:eastAsia="黑体"/>
          <w:color w:val="auto"/>
          <w:sz w:val="28"/>
          <w:szCs w:val="28"/>
          <w:highlight w:val="none"/>
        </w:rPr>
        <w:t>（三）法定代表人资格证明书</w:t>
      </w:r>
      <w:r>
        <w:rPr>
          <w:rFonts w:ascii="黑体" w:hAnsi="黑体" w:eastAsia="黑体"/>
          <w:color w:val="auto"/>
          <w:position w:val="-2"/>
          <w:sz w:val="28"/>
          <w:szCs w:val="28"/>
          <w:highlight w:val="none"/>
          <w:vertAlign w:val="superscript"/>
        </w:rPr>
        <w:footnoteReference w:id="49"/>
      </w:r>
    </w:p>
    <w:p>
      <w:pPr>
        <w:adjustRightInd w:val="0"/>
        <w:spacing w:line="480" w:lineRule="auto"/>
        <w:ind w:left="884" w:leftChars="260"/>
        <w:textAlignment w:val="baseline"/>
        <w:rPr>
          <w:rFonts w:hAnsi="Times New Roman"/>
          <w:color w:val="auto"/>
          <w:kern w:val="2"/>
          <w:sz w:val="26"/>
          <w:highlight w:val="none"/>
        </w:rPr>
      </w:pPr>
    </w:p>
    <w:p>
      <w:pPr>
        <w:adjustRightInd w:val="0"/>
        <w:spacing w:line="360" w:lineRule="auto"/>
        <w:ind w:left="884" w:leftChars="260"/>
        <w:textAlignment w:val="baseline"/>
        <w:rPr>
          <w:rFonts w:hAnsi="Times New Roman"/>
          <w:color w:val="auto"/>
          <w:kern w:val="2"/>
          <w:sz w:val="21"/>
          <w:szCs w:val="21"/>
          <w:highlight w:val="none"/>
        </w:rPr>
      </w:pPr>
      <w:r>
        <w:rPr>
          <w:rFonts w:hint="eastAsia" w:hAnsi="Times New Roman"/>
          <w:color w:val="auto"/>
          <w:kern w:val="2"/>
          <w:sz w:val="21"/>
          <w:szCs w:val="21"/>
          <w:highlight w:val="none"/>
        </w:rPr>
        <w:t>投标人名称：</w:t>
      </w:r>
      <w:r>
        <w:rPr>
          <w:rFonts w:hint="eastAsia" w:hAnsi="Times New Roman"/>
          <w:color w:val="auto"/>
          <w:kern w:val="2"/>
          <w:sz w:val="21"/>
          <w:szCs w:val="21"/>
          <w:highlight w:val="none"/>
          <w:u w:val="single"/>
        </w:rPr>
        <w:t xml:space="preserve">                                                       </w:t>
      </w:r>
    </w:p>
    <w:p>
      <w:pPr>
        <w:adjustRightInd w:val="0"/>
        <w:spacing w:line="360" w:lineRule="auto"/>
        <w:ind w:left="884" w:leftChars="260"/>
        <w:textAlignment w:val="baseline"/>
        <w:rPr>
          <w:rFonts w:hAnsi="Times New Roman"/>
          <w:color w:val="auto"/>
          <w:kern w:val="2"/>
          <w:sz w:val="21"/>
          <w:szCs w:val="21"/>
          <w:highlight w:val="none"/>
        </w:rPr>
      </w:pPr>
      <w:r>
        <w:rPr>
          <w:rFonts w:hint="eastAsia" w:hAnsi="Times New Roman"/>
          <w:color w:val="auto"/>
          <w:kern w:val="2"/>
          <w:sz w:val="21"/>
          <w:szCs w:val="21"/>
          <w:highlight w:val="none"/>
        </w:rPr>
        <w:t>地址：</w:t>
      </w:r>
      <w:r>
        <w:rPr>
          <w:rFonts w:hint="eastAsia" w:hAnsi="Times New Roman"/>
          <w:color w:val="auto"/>
          <w:kern w:val="2"/>
          <w:sz w:val="21"/>
          <w:szCs w:val="21"/>
          <w:highlight w:val="none"/>
          <w:u w:val="single"/>
        </w:rPr>
        <w:t xml:space="preserve">                                                             </w:t>
      </w:r>
    </w:p>
    <w:p>
      <w:pPr>
        <w:adjustRightInd w:val="0"/>
        <w:spacing w:line="360" w:lineRule="auto"/>
        <w:ind w:left="884" w:leftChars="260"/>
        <w:textAlignment w:val="baseline"/>
        <w:rPr>
          <w:rFonts w:hAnsi="Times New Roman"/>
          <w:color w:val="auto"/>
          <w:kern w:val="2"/>
          <w:sz w:val="21"/>
          <w:szCs w:val="21"/>
          <w:highlight w:val="none"/>
          <w:u w:val="single"/>
        </w:rPr>
      </w:pPr>
      <w:r>
        <w:rPr>
          <w:rFonts w:hint="eastAsia" w:hAnsi="Times New Roman"/>
          <w:color w:val="auto"/>
          <w:kern w:val="2"/>
          <w:sz w:val="21"/>
          <w:szCs w:val="21"/>
          <w:highlight w:val="none"/>
        </w:rPr>
        <w:t>姓名：</w:t>
      </w:r>
      <w:r>
        <w:rPr>
          <w:rFonts w:hint="eastAsia" w:hAnsi="Times New Roman"/>
          <w:color w:val="auto"/>
          <w:kern w:val="2"/>
          <w:sz w:val="21"/>
          <w:szCs w:val="21"/>
          <w:highlight w:val="none"/>
          <w:u w:val="single"/>
        </w:rPr>
        <w:t xml:space="preserve">               </w:t>
      </w:r>
      <w:r>
        <w:rPr>
          <w:rFonts w:hint="eastAsia" w:hAnsi="Times New Roman"/>
          <w:color w:val="auto"/>
          <w:kern w:val="2"/>
          <w:sz w:val="21"/>
          <w:szCs w:val="21"/>
          <w:highlight w:val="none"/>
        </w:rPr>
        <w:t>性别：</w:t>
      </w:r>
      <w:r>
        <w:rPr>
          <w:rFonts w:hint="eastAsia" w:hAnsi="Times New Roman"/>
          <w:color w:val="auto"/>
          <w:kern w:val="2"/>
          <w:sz w:val="21"/>
          <w:szCs w:val="21"/>
          <w:highlight w:val="none"/>
          <w:u w:val="single"/>
        </w:rPr>
        <w:t xml:space="preserve">        </w:t>
      </w:r>
      <w:r>
        <w:rPr>
          <w:rFonts w:hint="eastAsia" w:hAnsi="Times New Roman"/>
          <w:color w:val="auto"/>
          <w:kern w:val="2"/>
          <w:sz w:val="21"/>
          <w:szCs w:val="21"/>
          <w:highlight w:val="none"/>
        </w:rPr>
        <w:t>身份证号码：</w:t>
      </w:r>
      <w:r>
        <w:rPr>
          <w:rFonts w:hint="eastAsia" w:hAnsi="Times New Roman"/>
          <w:color w:val="auto"/>
          <w:kern w:val="2"/>
          <w:sz w:val="21"/>
          <w:szCs w:val="21"/>
          <w:highlight w:val="none"/>
          <w:u w:val="single"/>
        </w:rPr>
        <w:t xml:space="preserve">                    </w:t>
      </w:r>
    </w:p>
    <w:p>
      <w:pPr>
        <w:adjustRightInd w:val="0"/>
        <w:spacing w:line="360" w:lineRule="auto"/>
        <w:ind w:left="884" w:leftChars="260"/>
        <w:textAlignment w:val="baseline"/>
        <w:rPr>
          <w:rFonts w:hAnsi="Times New Roman"/>
          <w:color w:val="auto"/>
          <w:kern w:val="2"/>
          <w:sz w:val="21"/>
          <w:szCs w:val="21"/>
          <w:highlight w:val="none"/>
        </w:rPr>
      </w:pPr>
      <w:r>
        <w:rPr>
          <w:rFonts w:hint="eastAsia" w:hAnsi="Times New Roman"/>
          <w:color w:val="auto"/>
          <w:kern w:val="2"/>
          <w:sz w:val="21"/>
          <w:szCs w:val="21"/>
          <w:highlight w:val="none"/>
        </w:rPr>
        <w:t>职务：</w:t>
      </w:r>
      <w:r>
        <w:rPr>
          <w:rFonts w:hint="eastAsia" w:hAnsi="Times New Roman"/>
          <w:color w:val="auto"/>
          <w:kern w:val="2"/>
          <w:sz w:val="21"/>
          <w:szCs w:val="21"/>
          <w:highlight w:val="none"/>
          <w:u w:val="single"/>
        </w:rPr>
        <w:t xml:space="preserve">               </w:t>
      </w:r>
      <w:r>
        <w:rPr>
          <w:rFonts w:hint="eastAsia" w:hAnsi="Times New Roman"/>
          <w:color w:val="auto"/>
          <w:kern w:val="2"/>
          <w:sz w:val="21"/>
          <w:szCs w:val="21"/>
          <w:highlight w:val="none"/>
        </w:rPr>
        <w:t>手机号码：</w:t>
      </w:r>
      <w:r>
        <w:rPr>
          <w:rFonts w:hint="eastAsia" w:hAnsi="Times New Roman"/>
          <w:color w:val="auto"/>
          <w:kern w:val="2"/>
          <w:sz w:val="21"/>
          <w:szCs w:val="21"/>
          <w:highlight w:val="none"/>
          <w:u w:val="single"/>
        </w:rPr>
        <w:t xml:space="preserve">               </w:t>
      </w:r>
    </w:p>
    <w:p>
      <w:pPr>
        <w:adjustRightInd w:val="0"/>
        <w:spacing w:line="360" w:lineRule="auto"/>
        <w:ind w:firstLine="420" w:firstLineChars="200"/>
        <w:textAlignment w:val="baseline"/>
        <w:rPr>
          <w:rFonts w:hAnsi="Times New Roman"/>
          <w:color w:val="auto"/>
          <w:kern w:val="2"/>
          <w:sz w:val="21"/>
          <w:szCs w:val="21"/>
          <w:highlight w:val="none"/>
        </w:rPr>
      </w:pPr>
      <w:r>
        <w:rPr>
          <w:rFonts w:hint="eastAsia" w:hAnsi="Times New Roman"/>
          <w:color w:val="auto"/>
          <w:kern w:val="2"/>
          <w:sz w:val="21"/>
          <w:szCs w:val="21"/>
          <w:highlight w:val="none"/>
        </w:rPr>
        <w:t>系</w:t>
      </w:r>
      <w:r>
        <w:rPr>
          <w:rFonts w:hint="eastAsia" w:hAnsi="Times New Roman"/>
          <w:color w:val="auto"/>
          <w:kern w:val="2"/>
          <w:sz w:val="21"/>
          <w:szCs w:val="21"/>
          <w:highlight w:val="none"/>
          <w:u w:val="single"/>
        </w:rPr>
        <w:t xml:space="preserve">                               （投标人名称）</w:t>
      </w:r>
      <w:r>
        <w:rPr>
          <w:rFonts w:hint="eastAsia" w:hAnsi="Times New Roman"/>
          <w:color w:val="auto"/>
          <w:kern w:val="2"/>
          <w:sz w:val="21"/>
          <w:szCs w:val="21"/>
          <w:highlight w:val="none"/>
        </w:rPr>
        <w:t>的法定代表人。</w:t>
      </w:r>
    </w:p>
    <w:p>
      <w:pPr>
        <w:adjustRightInd w:val="0"/>
        <w:spacing w:line="360" w:lineRule="auto"/>
        <w:ind w:firstLine="420" w:firstLineChars="200"/>
        <w:textAlignment w:val="baseline"/>
        <w:rPr>
          <w:rFonts w:hAnsi="Times New Roman"/>
          <w:color w:val="auto"/>
          <w:kern w:val="2"/>
          <w:sz w:val="21"/>
          <w:szCs w:val="21"/>
          <w:highlight w:val="none"/>
        </w:rPr>
      </w:pPr>
    </w:p>
    <w:p>
      <w:pPr>
        <w:adjustRightInd w:val="0"/>
        <w:spacing w:line="360" w:lineRule="auto"/>
        <w:ind w:firstLine="840" w:firstLineChars="400"/>
        <w:textAlignment w:val="baseline"/>
        <w:rPr>
          <w:rFonts w:hAnsi="Times New Roman"/>
          <w:color w:val="auto"/>
          <w:kern w:val="2"/>
          <w:sz w:val="21"/>
          <w:szCs w:val="21"/>
          <w:highlight w:val="none"/>
        </w:rPr>
      </w:pPr>
      <w:r>
        <w:rPr>
          <w:rFonts w:hint="eastAsia" w:hAnsi="Times New Roman"/>
          <w:color w:val="auto"/>
          <w:kern w:val="2"/>
          <w:sz w:val="21"/>
          <w:szCs w:val="21"/>
          <w:highlight w:val="none"/>
        </w:rPr>
        <w:t>特此证明。</w:t>
      </w:r>
    </w:p>
    <w:p>
      <w:pPr>
        <w:adjustRightInd w:val="0"/>
        <w:spacing w:line="360" w:lineRule="auto"/>
        <w:textAlignment w:val="baseline"/>
        <w:rPr>
          <w:rFonts w:hAnsi="Times New Roman"/>
          <w:color w:val="auto"/>
          <w:kern w:val="2"/>
          <w:sz w:val="21"/>
          <w:szCs w:val="21"/>
          <w:highlight w:val="none"/>
        </w:rPr>
      </w:pPr>
      <w:r>
        <w:rPr>
          <w:rFonts w:hint="eastAsia" w:hAnsi="Times New Roman"/>
          <w:color w:val="auto"/>
          <w:kern w:val="2"/>
          <w:sz w:val="21"/>
          <w:szCs w:val="21"/>
          <w:highlight w:val="none"/>
        </w:rPr>
        <w:t xml:space="preserve">                                 投标人：</w:t>
      </w:r>
      <w:r>
        <w:rPr>
          <w:rFonts w:hint="eastAsia" w:hAnsi="Times New Roman"/>
          <w:color w:val="auto"/>
          <w:kern w:val="2"/>
          <w:sz w:val="21"/>
          <w:szCs w:val="21"/>
          <w:highlight w:val="none"/>
          <w:u w:val="single"/>
        </w:rPr>
        <w:t xml:space="preserve">                  </w:t>
      </w:r>
      <w:r>
        <w:rPr>
          <w:rFonts w:hint="eastAsia" w:hAnsi="Times New Roman"/>
          <w:color w:val="auto"/>
          <w:kern w:val="2"/>
          <w:sz w:val="21"/>
          <w:szCs w:val="21"/>
          <w:highlight w:val="none"/>
        </w:rPr>
        <w:t>(盖单位公章)</w:t>
      </w:r>
    </w:p>
    <w:p>
      <w:pPr>
        <w:adjustRightInd w:val="0"/>
        <w:spacing w:line="360" w:lineRule="auto"/>
        <w:textAlignment w:val="baseline"/>
        <w:rPr>
          <w:rFonts w:hAnsi="Times New Roman"/>
          <w:color w:val="auto"/>
          <w:kern w:val="2"/>
          <w:sz w:val="24"/>
          <w:szCs w:val="24"/>
          <w:highlight w:val="none"/>
        </w:rPr>
      </w:pPr>
      <w:r>
        <w:rPr>
          <w:rFonts w:hint="eastAsia" w:hAnsi="Times New Roman"/>
          <w:color w:val="auto"/>
          <w:kern w:val="2"/>
          <w:sz w:val="21"/>
          <w:szCs w:val="21"/>
          <w:highlight w:val="none"/>
        </w:rPr>
        <w:t xml:space="preserve">                                                </w:t>
      </w:r>
      <w:r>
        <w:rPr>
          <w:rFonts w:hint="eastAsia" w:hAnsi="Times New Roman"/>
          <w:color w:val="auto"/>
          <w:kern w:val="2"/>
          <w:sz w:val="21"/>
          <w:szCs w:val="21"/>
          <w:highlight w:val="none"/>
          <w:u w:val="single"/>
        </w:rPr>
        <w:t xml:space="preserve">       </w:t>
      </w:r>
      <w:r>
        <w:rPr>
          <w:rFonts w:hint="eastAsia" w:hAnsi="Times New Roman"/>
          <w:color w:val="auto"/>
          <w:kern w:val="2"/>
          <w:sz w:val="21"/>
          <w:szCs w:val="21"/>
          <w:highlight w:val="none"/>
        </w:rPr>
        <w:t>年</w:t>
      </w:r>
      <w:r>
        <w:rPr>
          <w:rFonts w:hint="eastAsia" w:hAnsi="Times New Roman"/>
          <w:color w:val="auto"/>
          <w:kern w:val="2"/>
          <w:sz w:val="21"/>
          <w:szCs w:val="21"/>
          <w:highlight w:val="none"/>
          <w:u w:val="single"/>
        </w:rPr>
        <w:t xml:space="preserve">     </w:t>
      </w:r>
      <w:r>
        <w:rPr>
          <w:rFonts w:hint="eastAsia" w:hAnsi="Times New Roman"/>
          <w:color w:val="auto"/>
          <w:kern w:val="2"/>
          <w:sz w:val="21"/>
          <w:szCs w:val="21"/>
          <w:highlight w:val="none"/>
        </w:rPr>
        <w:t>月</w:t>
      </w:r>
      <w:r>
        <w:rPr>
          <w:rFonts w:hint="eastAsia" w:hAnsi="Times New Roman"/>
          <w:color w:val="auto"/>
          <w:kern w:val="2"/>
          <w:sz w:val="21"/>
          <w:szCs w:val="21"/>
          <w:highlight w:val="none"/>
          <w:u w:val="single"/>
        </w:rPr>
        <w:t xml:space="preserve">     </w:t>
      </w:r>
      <w:r>
        <w:rPr>
          <w:rFonts w:hint="eastAsia" w:hAnsi="Times New Roman"/>
          <w:color w:val="auto"/>
          <w:kern w:val="2"/>
          <w:sz w:val="21"/>
          <w:szCs w:val="21"/>
          <w:highlight w:val="none"/>
        </w:rPr>
        <w:t>日</w:t>
      </w:r>
    </w:p>
    <w:p>
      <w:pPr>
        <w:adjustRightInd w:val="0"/>
        <w:spacing w:line="360" w:lineRule="auto"/>
        <w:textAlignment w:val="baseline"/>
        <w:rPr>
          <w:rFonts w:hAnsi="Times New Roman"/>
          <w:color w:val="auto"/>
          <w:kern w:val="2"/>
          <w:sz w:val="26"/>
          <w:szCs w:val="22"/>
          <w:highlight w:val="none"/>
        </w:rPr>
      </w:pPr>
    </w:p>
    <w:p>
      <w:pPr>
        <w:adjustRightInd w:val="0"/>
        <w:spacing w:line="440" w:lineRule="exact"/>
        <w:jc w:val="center"/>
        <w:textAlignment w:val="baseline"/>
        <w:rPr>
          <w:rFonts w:hAnsi="Times New Roman"/>
          <w:color w:val="auto"/>
          <w:kern w:val="2"/>
          <w:sz w:val="26"/>
          <w:szCs w:val="22"/>
          <w:highlight w:val="none"/>
        </w:rPr>
      </w:pPr>
    </w:p>
    <w:p>
      <w:pPr>
        <w:tabs>
          <w:tab w:val="left" w:pos="1600"/>
        </w:tabs>
        <w:adjustRightInd w:val="0"/>
        <w:snapToGrid w:val="0"/>
        <w:spacing w:line="560" w:lineRule="exact"/>
        <w:ind w:left="840"/>
        <w:textAlignment w:val="baseline"/>
        <w:rPr>
          <w:rFonts w:ascii="Times New Roman" w:hAnsi="Times New Roman"/>
          <w:color w:val="auto"/>
          <w:sz w:val="20"/>
          <w:highlight w:val="none"/>
        </w:rPr>
      </w:pPr>
    </w:p>
    <w:p>
      <w:pPr>
        <w:pStyle w:val="59"/>
        <w:ind w:left="0" w:firstLine="0"/>
        <w:jc w:val="center"/>
        <w:rPr>
          <w:rFonts w:ascii="黑体" w:hAnsi="黑体" w:eastAsia="黑体"/>
          <w:color w:val="auto"/>
          <w:sz w:val="28"/>
          <w:szCs w:val="28"/>
          <w:highlight w:val="none"/>
        </w:rPr>
      </w:pPr>
      <w:r>
        <w:rPr>
          <w:color w:val="auto"/>
          <w:highlight w:val="none"/>
        </w:rPr>
        <w:br w:type="page"/>
      </w:r>
      <w:r>
        <w:rPr>
          <w:rFonts w:hint="eastAsia" w:ascii="黑体" w:hAnsi="黑体" w:eastAsia="黑体"/>
          <w:color w:val="auto"/>
          <w:sz w:val="28"/>
          <w:szCs w:val="28"/>
          <w:highlight w:val="none"/>
        </w:rPr>
        <w:t>（四）投标人诚信承诺函</w:t>
      </w:r>
      <w:r>
        <w:rPr>
          <w:rStyle w:val="74"/>
          <w:rFonts w:ascii="黑体" w:hAnsi="黑体" w:eastAsia="黑体"/>
          <w:color w:val="auto"/>
          <w:sz w:val="28"/>
          <w:szCs w:val="28"/>
          <w:highlight w:val="none"/>
        </w:rPr>
        <w:footnoteReference w:id="50"/>
      </w:r>
    </w:p>
    <w:p>
      <w:pPr>
        <w:adjustRightInd w:val="0"/>
        <w:spacing w:line="360" w:lineRule="auto"/>
        <w:textAlignment w:val="baseline"/>
        <w:rPr>
          <w:rFonts w:cs="宋体"/>
          <w:color w:val="auto"/>
          <w:sz w:val="21"/>
          <w:szCs w:val="21"/>
          <w:highlight w:val="none"/>
          <w:u w:val="single"/>
        </w:rPr>
      </w:pPr>
    </w:p>
    <w:p>
      <w:pPr>
        <w:adjustRightInd w:val="0"/>
        <w:spacing w:line="360" w:lineRule="auto"/>
        <w:textAlignment w:val="baseline"/>
        <w:rPr>
          <w:rFonts w:cs="宋体"/>
          <w:color w:val="auto"/>
          <w:sz w:val="21"/>
          <w:szCs w:val="21"/>
          <w:highlight w:val="none"/>
        </w:rPr>
      </w:pPr>
      <w:r>
        <w:rPr>
          <w:rFonts w:hint="eastAsia" w:cs="宋体"/>
          <w:color w:val="auto"/>
          <w:sz w:val="21"/>
          <w:szCs w:val="21"/>
          <w:highlight w:val="none"/>
          <w:u w:val="single"/>
        </w:rPr>
        <w:t xml:space="preserve">                     （招标人名称）</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我单位参与</w:t>
      </w:r>
      <w:r>
        <w:rPr>
          <w:rFonts w:hint="eastAsia" w:cs="宋体"/>
          <w:color w:val="auto"/>
          <w:sz w:val="21"/>
          <w:szCs w:val="21"/>
          <w:highlight w:val="none"/>
          <w:u w:val="single"/>
        </w:rPr>
        <w:t xml:space="preserve">                      （招标项目名称及标段）</w:t>
      </w:r>
      <w:r>
        <w:rPr>
          <w:rFonts w:hint="eastAsia" w:cs="宋体"/>
          <w:color w:val="auto"/>
          <w:sz w:val="21"/>
          <w:szCs w:val="21"/>
          <w:highlight w:val="none"/>
        </w:rPr>
        <w:t>的投标。作为法定代表人，本人清楚知晓我单位在本项目投标活动的情况。本人已详细阅读承诺函的内容，并在此郑重承诺：</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一、我单位和我本人遵循公开、公平、公正、诚实守信的原则，依法依规参与本项目投标，没有串通投标、弄虚作假，没有借用资质给他人投标。</w:t>
      </w:r>
    </w:p>
    <w:p>
      <w:pPr>
        <w:adjustRightInd w:val="0"/>
        <w:spacing w:line="360" w:lineRule="auto"/>
        <w:ind w:firstLine="420" w:firstLineChars="200"/>
        <w:textAlignment w:val="baseline"/>
        <w:rPr>
          <w:rFonts w:cs="宋体"/>
          <w:color w:val="auto"/>
          <w:sz w:val="21"/>
          <w:szCs w:val="21"/>
          <w:highlight w:val="none"/>
          <w:shd w:val="clear" w:color="auto" w:fill="FFFFFF"/>
        </w:rPr>
      </w:pPr>
      <w:r>
        <w:rPr>
          <w:rFonts w:hint="eastAsia" w:cs="宋体"/>
          <w:color w:val="auto"/>
          <w:sz w:val="21"/>
          <w:szCs w:val="21"/>
          <w:highlight w:val="none"/>
        </w:rPr>
        <w:t>二、经确认，我单位在本项目提交的</w:t>
      </w:r>
      <w:r>
        <w:rPr>
          <w:rFonts w:hint="eastAsia" w:cs="宋体"/>
          <w:color w:val="auto"/>
          <w:sz w:val="21"/>
          <w:szCs w:val="21"/>
          <w:highlight w:val="none"/>
          <w:shd w:val="clear" w:color="auto" w:fill="FFFFFF"/>
        </w:rPr>
        <w:t>已标价工程量清单情况</w:t>
      </w:r>
      <w:r>
        <w:rPr>
          <w:rFonts w:hint="eastAsia" w:cs="宋体"/>
          <w:b/>
          <w:bCs/>
          <w:color w:val="auto"/>
          <w:sz w:val="21"/>
          <w:szCs w:val="21"/>
          <w:highlight w:val="none"/>
          <w:shd w:val="clear" w:color="auto" w:fill="FFFFFF"/>
        </w:rPr>
        <w:t>（应单选，并在方框内打“√”。未勾选的，视为默认选择第1项。）</w:t>
      </w:r>
      <w:r>
        <w:rPr>
          <w:rFonts w:hint="eastAsia" w:cs="宋体"/>
          <w:color w:val="auto"/>
          <w:sz w:val="21"/>
          <w:szCs w:val="21"/>
          <w:highlight w:val="none"/>
          <w:shd w:val="clear" w:color="auto" w:fill="FFFFFF"/>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shd w:val="clear" w:color="auto" w:fill="FFFFFF"/>
        </w:rPr>
        <w:t>□ 1.</w:t>
      </w:r>
      <w:r>
        <w:rPr>
          <w:rFonts w:hint="eastAsia" w:cs="宋体"/>
          <w:color w:val="auto"/>
          <w:sz w:val="21"/>
          <w:szCs w:val="21"/>
          <w:highlight w:val="none"/>
        </w:rPr>
        <w:t>由本单位在岗造价人员使用本单位实名或本单位员工实名的计价软件编制</w:t>
      </w:r>
      <w:r>
        <w:rPr>
          <w:rFonts w:hint="eastAsia" w:cs="宋体"/>
          <w:color w:val="auto"/>
          <w:sz w:val="21"/>
          <w:szCs w:val="21"/>
          <w:highlight w:val="none"/>
          <w:shd w:val="clear" w:color="auto" w:fill="FFFFFF"/>
        </w:rPr>
        <w:t>已标价工程量清单</w:t>
      </w:r>
      <w:r>
        <w:rPr>
          <w:rFonts w:hint="eastAsia" w:cs="宋体"/>
          <w:color w:val="auto"/>
          <w:sz w:val="21"/>
          <w:szCs w:val="21"/>
          <w:highlight w:val="none"/>
        </w:rPr>
        <w:t>。</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shd w:val="clear" w:color="auto" w:fill="FFFFFF"/>
        </w:rPr>
        <w:t>□ 2.委托工程造价咨询企业编制已标价工程量清单。投标文件提供加盖双方单位公章的委托书，并在已标价工程量清单加盖负责编制的工程造价咨询企业公章以及负责审核的一级注册造价师姓名章。同时，清楚知晓《中华人民共和国招标投标法实施条例》第四十条第（一）（二）项情形及委托编制带来的风险，并自愿承担相应的违法后果。</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shd w:val="clear" w:color="auto" w:fill="FFFFFF"/>
        </w:rPr>
        <w:t>□ 3.按招标文件规定，</w:t>
      </w:r>
      <w:r>
        <w:rPr>
          <w:rFonts w:hint="eastAsia" w:cs="宋体"/>
          <w:color w:val="auto"/>
          <w:sz w:val="21"/>
          <w:szCs w:val="21"/>
          <w:highlight w:val="none"/>
        </w:rPr>
        <w:t>无需提交已标价工程量清单。</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三、经确认，我单位在本项目投标过程中：</w:t>
      </w:r>
    </w:p>
    <w:p>
      <w:pPr>
        <w:adjustRightInd w:val="0"/>
        <w:spacing w:line="360" w:lineRule="auto"/>
        <w:ind w:firstLine="420" w:firstLineChars="200"/>
        <w:textAlignment w:val="baseline"/>
        <w:rPr>
          <w:rFonts w:cs="宋体"/>
          <w:color w:val="auto"/>
          <w:sz w:val="21"/>
          <w:szCs w:val="21"/>
          <w:highlight w:val="none"/>
          <w:shd w:val="clear" w:color="auto" w:fill="FFFFFF"/>
        </w:rPr>
      </w:pPr>
      <w:r>
        <w:rPr>
          <w:rFonts w:hint="eastAsia" w:cs="宋体"/>
          <w:color w:val="auto"/>
          <w:sz w:val="21"/>
          <w:szCs w:val="21"/>
          <w:highlight w:val="none"/>
          <w:shd w:val="clear" w:color="auto" w:fill="FFFFFF"/>
        </w:rPr>
        <w:t>（一）从招标公告/投标邀请书规定的渠道获取招标文件以及最高投标报价限价电子文件，没有通过其他不正当渠道获取招标文件。</w:t>
      </w:r>
    </w:p>
    <w:p>
      <w:pPr>
        <w:adjustRightInd w:val="0"/>
        <w:spacing w:line="360" w:lineRule="auto"/>
        <w:ind w:firstLine="420" w:firstLineChars="200"/>
        <w:textAlignment w:val="baseline"/>
        <w:rPr>
          <w:rFonts w:cs="宋体"/>
          <w:color w:val="auto"/>
          <w:sz w:val="21"/>
          <w:szCs w:val="21"/>
          <w:highlight w:val="none"/>
          <w:shd w:val="clear" w:color="auto" w:fill="FFFFFF"/>
        </w:rPr>
      </w:pPr>
      <w:r>
        <w:rPr>
          <w:rFonts w:hint="eastAsia" w:cs="宋体"/>
          <w:color w:val="auto"/>
          <w:sz w:val="21"/>
          <w:szCs w:val="21"/>
          <w:highlight w:val="none"/>
          <w:shd w:val="clear" w:color="auto" w:fill="FFFFFF"/>
        </w:rPr>
        <w:t>（二）使用本单位自有办公设备编制、递交、解密投标文件。</w:t>
      </w:r>
    </w:p>
    <w:p>
      <w:pPr>
        <w:adjustRightInd w:val="0"/>
        <w:spacing w:line="360" w:lineRule="auto"/>
        <w:ind w:firstLine="420" w:firstLineChars="200"/>
        <w:textAlignment w:val="baseline"/>
        <w:rPr>
          <w:rFonts w:cs="宋体"/>
          <w:color w:val="auto"/>
          <w:sz w:val="21"/>
          <w:szCs w:val="21"/>
          <w:highlight w:val="none"/>
          <w:shd w:val="clear" w:color="auto" w:fill="FFFFFF"/>
        </w:rPr>
      </w:pPr>
      <w:r>
        <w:rPr>
          <w:rFonts w:hint="eastAsia" w:cs="宋体"/>
          <w:color w:val="auto"/>
          <w:sz w:val="21"/>
          <w:szCs w:val="21"/>
          <w:highlight w:val="none"/>
          <w:shd w:val="clear" w:color="auto" w:fill="FFFFFF"/>
        </w:rPr>
        <w:t>（三）没有向其他投标人提供本单位的投标文件信息，也没有获取他人的投标文件信息。</w:t>
      </w:r>
    </w:p>
    <w:p>
      <w:pPr>
        <w:adjustRightInd w:val="0"/>
        <w:spacing w:line="360" w:lineRule="auto"/>
        <w:ind w:firstLine="420" w:firstLineChars="200"/>
        <w:textAlignment w:val="baseline"/>
        <w:rPr>
          <w:rFonts w:cs="宋体"/>
          <w:color w:val="auto"/>
          <w:sz w:val="21"/>
          <w:szCs w:val="21"/>
          <w:highlight w:val="none"/>
          <w:shd w:val="clear" w:color="auto" w:fill="FFFFFF"/>
        </w:rPr>
      </w:pPr>
      <w:r>
        <w:rPr>
          <w:rFonts w:hint="eastAsia" w:cs="宋体"/>
          <w:color w:val="auto"/>
          <w:sz w:val="21"/>
          <w:szCs w:val="21"/>
          <w:highlight w:val="none"/>
          <w:shd w:val="clear" w:color="auto" w:fill="FFFFFF"/>
        </w:rPr>
        <w:t>（四）由本单位在岗人员办理投标保证金事宜。</w:t>
      </w:r>
    </w:p>
    <w:p>
      <w:pPr>
        <w:adjustRightInd w:val="0"/>
        <w:spacing w:line="360" w:lineRule="auto"/>
        <w:ind w:firstLine="420" w:firstLineChars="200"/>
        <w:textAlignment w:val="baseline"/>
        <w:rPr>
          <w:rFonts w:cs="宋体"/>
          <w:color w:val="auto"/>
          <w:sz w:val="21"/>
          <w:szCs w:val="21"/>
          <w:highlight w:val="none"/>
          <w:shd w:val="clear" w:color="auto" w:fill="FFFFFF"/>
        </w:rPr>
      </w:pPr>
      <w:r>
        <w:rPr>
          <w:rFonts w:hint="eastAsia" w:cs="宋体"/>
          <w:color w:val="auto"/>
          <w:sz w:val="21"/>
          <w:szCs w:val="21"/>
          <w:highlight w:val="none"/>
          <w:shd w:val="clear" w:color="auto" w:fill="FFFFFF"/>
        </w:rPr>
        <w:t>（五）授权委托的投标代理人为本单位在岗人员。</w:t>
      </w:r>
    </w:p>
    <w:p>
      <w:pPr>
        <w:adjustRightInd w:val="0"/>
        <w:spacing w:line="360" w:lineRule="auto"/>
        <w:ind w:firstLine="420" w:firstLineChars="200"/>
        <w:textAlignment w:val="baseline"/>
        <w:rPr>
          <w:rFonts w:cs="宋体"/>
          <w:color w:val="auto"/>
          <w:sz w:val="21"/>
          <w:szCs w:val="21"/>
          <w:highlight w:val="none"/>
          <w:shd w:val="clear" w:color="auto" w:fill="FFFFFF"/>
        </w:rPr>
      </w:pPr>
      <w:r>
        <w:rPr>
          <w:rFonts w:hint="eastAsia" w:cs="宋体"/>
          <w:color w:val="auto"/>
          <w:sz w:val="21"/>
          <w:szCs w:val="21"/>
          <w:highlight w:val="none"/>
          <w:shd w:val="clear" w:color="auto" w:fill="FFFFFF"/>
        </w:rPr>
        <w:t>（六）递交的投标文件及其有关资料（包括第三方提供的资料）没有弄虚作假。</w:t>
      </w:r>
    </w:p>
    <w:p>
      <w:pPr>
        <w:adjustRightInd w:val="0"/>
        <w:spacing w:line="360" w:lineRule="auto"/>
        <w:ind w:firstLine="420" w:firstLineChars="200"/>
        <w:textAlignment w:val="baseline"/>
        <w:rPr>
          <w:rFonts w:cs="宋体"/>
          <w:color w:val="auto"/>
          <w:sz w:val="21"/>
          <w:szCs w:val="21"/>
          <w:highlight w:val="none"/>
          <w:shd w:val="clear" w:color="auto" w:fill="FFFFFF"/>
        </w:rPr>
      </w:pPr>
      <w:r>
        <w:rPr>
          <w:rFonts w:hint="eastAsia" w:cs="宋体"/>
          <w:color w:val="auto"/>
          <w:sz w:val="21"/>
          <w:szCs w:val="21"/>
          <w:highlight w:val="none"/>
          <w:shd w:val="clear" w:color="auto" w:fill="FFFFFF"/>
        </w:rPr>
        <w:t>四、我单位和我本人清楚知晓《中华人民共和国招标投标法》《中华人民共和国招标投标法实施条例》串通投标、弄虚作假的规定。清楚知晓下列行为将被视为串通投标的情形，招投标监管部门将结合相关事实证据，依法予以查处。</w:t>
      </w:r>
    </w:p>
    <w:p>
      <w:pPr>
        <w:adjustRightInd w:val="0"/>
        <w:spacing w:line="360" w:lineRule="auto"/>
        <w:ind w:firstLine="420" w:firstLineChars="200"/>
        <w:textAlignment w:val="baseline"/>
        <w:rPr>
          <w:rFonts w:cs="宋体"/>
          <w:color w:val="auto"/>
          <w:sz w:val="21"/>
          <w:szCs w:val="21"/>
          <w:highlight w:val="none"/>
          <w:shd w:val="clear" w:color="auto" w:fill="FFFFFF"/>
        </w:rPr>
      </w:pPr>
      <w:r>
        <w:rPr>
          <w:rFonts w:hint="eastAsia" w:cs="宋体"/>
          <w:color w:val="auto"/>
          <w:sz w:val="21"/>
          <w:szCs w:val="21"/>
          <w:highlight w:val="none"/>
          <w:shd w:val="clear" w:color="auto" w:fill="FFFFFF"/>
        </w:rPr>
        <w:t>（一）不同投标人的电子投标文件使用同一台计算机上传、解密（开标现场上传、解密除外）。</w:t>
      </w:r>
    </w:p>
    <w:p>
      <w:pPr>
        <w:adjustRightInd w:val="0"/>
        <w:spacing w:line="360" w:lineRule="auto"/>
        <w:ind w:firstLine="420" w:firstLineChars="200"/>
        <w:textAlignment w:val="baseline"/>
        <w:rPr>
          <w:rFonts w:cs="宋体"/>
          <w:color w:val="auto"/>
          <w:sz w:val="21"/>
          <w:szCs w:val="21"/>
          <w:highlight w:val="none"/>
          <w:shd w:val="clear" w:color="auto" w:fill="FFFFFF"/>
        </w:rPr>
      </w:pPr>
      <w:r>
        <w:rPr>
          <w:rFonts w:hint="eastAsia" w:cs="宋体"/>
          <w:color w:val="auto"/>
          <w:sz w:val="21"/>
          <w:szCs w:val="21"/>
          <w:highlight w:val="none"/>
          <w:shd w:val="clear" w:color="auto" w:fill="FFFFFF"/>
        </w:rPr>
        <w:t>（二）不同投标人的电子投标文件使用同一台计算机编制。</w:t>
      </w:r>
    </w:p>
    <w:p>
      <w:pPr>
        <w:adjustRightInd w:val="0"/>
        <w:spacing w:line="360" w:lineRule="auto"/>
        <w:ind w:firstLine="420" w:firstLineChars="200"/>
        <w:textAlignment w:val="baseline"/>
        <w:rPr>
          <w:rFonts w:cs="宋体"/>
          <w:color w:val="auto"/>
          <w:sz w:val="21"/>
          <w:szCs w:val="21"/>
          <w:highlight w:val="none"/>
          <w:shd w:val="clear" w:color="auto" w:fill="FFFFFF"/>
        </w:rPr>
      </w:pPr>
      <w:r>
        <w:rPr>
          <w:rFonts w:hint="eastAsia" w:cs="宋体"/>
          <w:color w:val="auto"/>
          <w:sz w:val="21"/>
          <w:szCs w:val="21"/>
          <w:highlight w:val="none"/>
          <w:shd w:val="clear" w:color="auto" w:fill="FFFFFF"/>
        </w:rPr>
        <w:t>（三）不同投标人的投标报价文件使用同一台计算机或同一计价软件加密锁编制。</w:t>
      </w:r>
    </w:p>
    <w:p>
      <w:pPr>
        <w:adjustRightInd w:val="0"/>
        <w:spacing w:line="360" w:lineRule="auto"/>
        <w:ind w:firstLine="420" w:firstLineChars="200"/>
        <w:textAlignment w:val="baseline"/>
        <w:rPr>
          <w:rFonts w:cs="宋体"/>
          <w:color w:val="auto"/>
          <w:sz w:val="21"/>
          <w:szCs w:val="21"/>
          <w:highlight w:val="none"/>
          <w:shd w:val="clear" w:color="auto" w:fill="FFFFFF"/>
        </w:rPr>
      </w:pPr>
      <w:r>
        <w:rPr>
          <w:rFonts w:hint="eastAsia" w:cs="宋体"/>
          <w:color w:val="auto"/>
          <w:sz w:val="21"/>
          <w:szCs w:val="21"/>
          <w:highlight w:val="none"/>
          <w:shd w:val="clear" w:color="auto" w:fill="FFFFFF"/>
        </w:rPr>
        <w:t>（四）符合《中华人民共和国招标投标法》《中华人民共和国招标投标法实施条例》串通投标认定的其他行为。</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shd w:val="clear" w:color="auto" w:fill="FFFFFF"/>
        </w:rPr>
        <w:t>五、</w:t>
      </w:r>
      <w:r>
        <w:rPr>
          <w:rFonts w:hint="eastAsia" w:cs="宋体"/>
          <w:color w:val="auto"/>
          <w:sz w:val="21"/>
          <w:szCs w:val="21"/>
          <w:highlight w:val="none"/>
        </w:rPr>
        <w:t>我单位和我个人清楚并知晓《中华人民共和国刑法》第二百二十三条“投标人相互串通投标报价，损害招标人或者其他投标人利益，情节严重的，处三年以下有期徒刑或者拘役，并处或者单处罚金。投标人与招标人串通投标，损害国家、集体、公民的合法利益的，依照前款的规定处罚”的规定。</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六、我单位如在本项目招标投标活动评标工作中存在串通投标、弄虚作假以及出借他人资质的，本人自愿承担法律责任，接受相应刑事、纪律和行政处罚以及失信惩戒。</w:t>
      </w:r>
    </w:p>
    <w:p>
      <w:pPr>
        <w:adjustRightInd w:val="0"/>
        <w:spacing w:line="360" w:lineRule="auto"/>
        <w:ind w:firstLine="420" w:firstLineChars="200"/>
        <w:textAlignment w:val="baseline"/>
        <w:rPr>
          <w:rFonts w:cs="宋体"/>
          <w:color w:val="auto"/>
          <w:sz w:val="21"/>
          <w:szCs w:val="21"/>
          <w:highlight w:val="none"/>
        </w:rPr>
      </w:pPr>
      <w:r>
        <w:rPr>
          <w:rFonts w:hint="eastAsia" w:cs="宋体"/>
          <w:color w:val="auto"/>
          <w:sz w:val="21"/>
          <w:szCs w:val="21"/>
          <w:highlight w:val="none"/>
        </w:rPr>
        <w:t>七、本承诺函由我单位盖章及法定代表人盖章或本人亲自签字确认。</w:t>
      </w:r>
    </w:p>
    <w:p>
      <w:pPr>
        <w:adjustRightInd w:val="0"/>
        <w:spacing w:line="360" w:lineRule="auto"/>
        <w:ind w:firstLine="2940" w:firstLineChars="1400"/>
        <w:textAlignment w:val="baseline"/>
        <w:rPr>
          <w:rFonts w:cs="宋体"/>
          <w:color w:val="auto"/>
          <w:sz w:val="21"/>
          <w:szCs w:val="21"/>
          <w:highlight w:val="none"/>
        </w:rPr>
      </w:pPr>
      <w:r>
        <w:rPr>
          <w:rFonts w:hint="eastAsia" w:cs="宋体"/>
          <w:color w:val="auto"/>
          <w:sz w:val="21"/>
          <w:szCs w:val="21"/>
          <w:highlight w:val="none"/>
        </w:rPr>
        <w:t>投标人：</w:t>
      </w:r>
      <w:r>
        <w:rPr>
          <w:rFonts w:hint="eastAsia" w:cs="宋体"/>
          <w:color w:val="auto"/>
          <w:sz w:val="21"/>
          <w:szCs w:val="21"/>
          <w:highlight w:val="none"/>
          <w:u w:val="single"/>
        </w:rPr>
        <w:t xml:space="preserve">                 </w:t>
      </w:r>
      <w:r>
        <w:rPr>
          <w:rFonts w:hint="eastAsia" w:cs="宋体"/>
          <w:color w:val="auto"/>
          <w:sz w:val="21"/>
          <w:szCs w:val="21"/>
          <w:highlight w:val="none"/>
        </w:rPr>
        <w:t>（盖单位实体公章）</w:t>
      </w:r>
      <w:r>
        <w:rPr>
          <w:rStyle w:val="74"/>
          <w:rFonts w:cs="宋体"/>
          <w:color w:val="auto"/>
          <w:sz w:val="21"/>
          <w:szCs w:val="21"/>
          <w:highlight w:val="none"/>
        </w:rPr>
        <w:footnoteReference w:id="51"/>
      </w:r>
    </w:p>
    <w:p>
      <w:pPr>
        <w:adjustRightInd w:val="0"/>
        <w:spacing w:line="360" w:lineRule="auto"/>
        <w:ind w:firstLine="2940" w:firstLineChars="1400"/>
        <w:textAlignment w:val="baseline"/>
        <w:rPr>
          <w:rFonts w:cs="宋体"/>
          <w:color w:val="auto"/>
          <w:sz w:val="21"/>
          <w:szCs w:val="21"/>
          <w:highlight w:val="none"/>
        </w:rPr>
      </w:pPr>
      <w:r>
        <w:rPr>
          <w:rFonts w:hint="eastAsia" w:cs="宋体"/>
          <w:color w:val="auto"/>
          <w:sz w:val="21"/>
          <w:szCs w:val="21"/>
          <w:highlight w:val="none"/>
        </w:rPr>
        <w:t>法定代表人：</w:t>
      </w:r>
      <w:r>
        <w:rPr>
          <w:rFonts w:hint="eastAsia" w:cs="宋体"/>
          <w:color w:val="auto"/>
          <w:sz w:val="21"/>
          <w:szCs w:val="21"/>
          <w:highlight w:val="none"/>
          <w:u w:val="single"/>
        </w:rPr>
        <w:t xml:space="preserve">             </w:t>
      </w:r>
      <w:r>
        <w:rPr>
          <w:rFonts w:hint="eastAsia" w:cs="宋体"/>
          <w:color w:val="auto"/>
          <w:sz w:val="21"/>
          <w:szCs w:val="21"/>
          <w:highlight w:val="none"/>
        </w:rPr>
        <w:t>（签字）</w:t>
      </w:r>
      <w:r>
        <w:rPr>
          <w:rStyle w:val="74"/>
          <w:rFonts w:cs="宋体"/>
          <w:color w:val="auto"/>
          <w:sz w:val="21"/>
          <w:szCs w:val="21"/>
          <w:highlight w:val="none"/>
        </w:rPr>
        <w:footnoteReference w:id="52"/>
      </w:r>
    </w:p>
    <w:p>
      <w:pPr>
        <w:pStyle w:val="59"/>
        <w:spacing w:after="0" w:line="360" w:lineRule="auto"/>
        <w:ind w:left="0" w:firstLine="0"/>
        <w:jc w:val="center"/>
        <w:rPr>
          <w:color w:val="auto"/>
          <w:sz w:val="32"/>
          <w:highlight w:val="none"/>
        </w:rPr>
      </w:pPr>
      <w:r>
        <w:rPr>
          <w:rFonts w:hint="eastAsia" w:ascii="宋体" w:hAnsi="宋体" w:cs="宋体"/>
          <w:color w:val="auto"/>
          <w:kern w:val="0"/>
          <w:szCs w:val="21"/>
          <w:highlight w:val="none"/>
        </w:rPr>
        <w:t>承诺时间：</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年</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月</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日</w:t>
      </w:r>
      <w:r>
        <w:rPr>
          <w:color w:val="auto"/>
          <w:highlight w:val="none"/>
        </w:rPr>
        <w:br w:type="page"/>
      </w:r>
    </w:p>
    <w:p>
      <w:pPr>
        <w:adjustRightInd w:val="0"/>
        <w:spacing w:beforeLines="100" w:afterLines="100" w:line="360" w:lineRule="auto"/>
        <w:jc w:val="center"/>
        <w:textAlignment w:val="baseline"/>
        <w:rPr>
          <w:rFonts w:cs="宋体"/>
          <w:b/>
          <w:color w:val="auto"/>
          <w:sz w:val="30"/>
          <w:szCs w:val="24"/>
          <w:highlight w:val="none"/>
        </w:rPr>
      </w:pPr>
      <w:r>
        <w:rPr>
          <w:rFonts w:hint="eastAsia" w:ascii="黑体" w:hAnsi="黑体" w:eastAsia="黑体"/>
          <w:color w:val="auto"/>
          <w:sz w:val="28"/>
          <w:szCs w:val="28"/>
          <w:highlight w:val="none"/>
        </w:rPr>
        <w:t>（五）授权委托书</w:t>
      </w:r>
    </w:p>
    <w:p>
      <w:pPr>
        <w:adjustRightInd w:val="0"/>
        <w:spacing w:line="440" w:lineRule="exact"/>
        <w:jc w:val="center"/>
        <w:textAlignment w:val="baseline"/>
        <w:rPr>
          <w:rFonts w:ascii="Times New Roman" w:hAnsi="Times New Roman"/>
          <w:color w:val="auto"/>
          <w:kern w:val="2"/>
          <w:sz w:val="26"/>
          <w:szCs w:val="22"/>
          <w:highlight w:val="none"/>
        </w:rPr>
      </w:pPr>
    </w:p>
    <w:p>
      <w:pPr>
        <w:adjustRightInd w:val="0"/>
        <w:spacing w:line="360" w:lineRule="auto"/>
        <w:ind w:firstLine="508"/>
        <w:textAlignment w:val="baseline"/>
        <w:rPr>
          <w:color w:val="auto"/>
          <w:kern w:val="2"/>
          <w:sz w:val="21"/>
          <w:szCs w:val="21"/>
          <w:highlight w:val="none"/>
        </w:rPr>
      </w:pPr>
      <w:r>
        <w:rPr>
          <w:color w:val="auto"/>
          <w:kern w:val="2"/>
          <w:sz w:val="21"/>
          <w:szCs w:val="21"/>
          <w:highlight w:val="none"/>
        </w:rPr>
        <w:t>本人</w:t>
      </w:r>
      <w:r>
        <w:rPr>
          <w:color w:val="auto"/>
          <w:kern w:val="2"/>
          <w:sz w:val="21"/>
          <w:szCs w:val="21"/>
          <w:highlight w:val="none"/>
          <w:u w:val="single"/>
        </w:rPr>
        <w:t xml:space="preserve">          （姓名） </w:t>
      </w:r>
      <w:r>
        <w:rPr>
          <w:color w:val="auto"/>
          <w:kern w:val="2"/>
          <w:sz w:val="21"/>
          <w:szCs w:val="21"/>
          <w:highlight w:val="none"/>
        </w:rPr>
        <w:t>系</w:t>
      </w:r>
      <w:r>
        <w:rPr>
          <w:color w:val="auto"/>
          <w:kern w:val="2"/>
          <w:sz w:val="21"/>
          <w:szCs w:val="21"/>
          <w:highlight w:val="none"/>
          <w:u w:val="single"/>
        </w:rPr>
        <w:t xml:space="preserve">              （投标人名称） </w:t>
      </w:r>
      <w:r>
        <w:rPr>
          <w:color w:val="auto"/>
          <w:kern w:val="2"/>
          <w:sz w:val="21"/>
          <w:szCs w:val="21"/>
          <w:highlight w:val="none"/>
        </w:rPr>
        <w:t>的法定代表人，现委托</w:t>
      </w:r>
      <w:r>
        <w:rPr>
          <w:color w:val="auto"/>
          <w:kern w:val="2"/>
          <w:sz w:val="21"/>
          <w:szCs w:val="21"/>
          <w:highlight w:val="none"/>
          <w:u w:val="single"/>
        </w:rPr>
        <w:t xml:space="preserve">          （姓名） </w:t>
      </w:r>
      <w:r>
        <w:rPr>
          <w:color w:val="auto"/>
          <w:kern w:val="2"/>
          <w:sz w:val="21"/>
          <w:szCs w:val="21"/>
          <w:highlight w:val="none"/>
        </w:rPr>
        <w:t>为我方代理人。代理人根据授权，以我方名义签署、澄清、说明、补正、递交、撤回、撤销</w:t>
      </w:r>
      <w:r>
        <w:rPr>
          <w:color w:val="auto"/>
          <w:kern w:val="2"/>
          <w:sz w:val="21"/>
          <w:szCs w:val="21"/>
          <w:highlight w:val="none"/>
          <w:u w:val="single"/>
        </w:rPr>
        <w:t xml:space="preserve">                    （项目名称及标段） </w:t>
      </w:r>
      <w:r>
        <w:rPr>
          <w:color w:val="auto"/>
          <w:kern w:val="2"/>
          <w:sz w:val="21"/>
          <w:szCs w:val="21"/>
          <w:highlight w:val="none"/>
        </w:rPr>
        <w:t>施工投标文件、递交招标文件要求的有关书面证明材料、签订合同和处理有关事宜，其法律后果由我方承担。</w:t>
      </w:r>
    </w:p>
    <w:p>
      <w:pPr>
        <w:adjustRightInd w:val="0"/>
        <w:spacing w:line="360" w:lineRule="auto"/>
        <w:ind w:firstLine="508"/>
        <w:jc w:val="left"/>
        <w:textAlignment w:val="baseline"/>
        <w:rPr>
          <w:color w:val="auto"/>
          <w:kern w:val="2"/>
          <w:sz w:val="21"/>
          <w:szCs w:val="21"/>
          <w:highlight w:val="none"/>
        </w:rPr>
      </w:pPr>
      <w:r>
        <w:rPr>
          <w:color w:val="auto"/>
          <w:kern w:val="2"/>
          <w:sz w:val="21"/>
          <w:szCs w:val="21"/>
          <w:highlight w:val="none"/>
        </w:rPr>
        <w:t>代理人无转委托权。</w:t>
      </w:r>
    </w:p>
    <w:p>
      <w:pPr>
        <w:adjustRightInd w:val="0"/>
        <w:spacing w:line="360" w:lineRule="auto"/>
        <w:ind w:firstLine="508"/>
        <w:jc w:val="left"/>
        <w:textAlignment w:val="baseline"/>
        <w:rPr>
          <w:color w:val="auto"/>
          <w:kern w:val="2"/>
          <w:sz w:val="21"/>
          <w:szCs w:val="21"/>
          <w:highlight w:val="none"/>
        </w:rPr>
      </w:pPr>
    </w:p>
    <w:p>
      <w:pPr>
        <w:adjustRightInd w:val="0"/>
        <w:spacing w:line="360" w:lineRule="auto"/>
        <w:ind w:firstLine="420" w:firstLineChars="200"/>
        <w:textAlignment w:val="baseline"/>
        <w:rPr>
          <w:color w:val="auto"/>
          <w:kern w:val="2"/>
          <w:sz w:val="21"/>
          <w:szCs w:val="21"/>
          <w:highlight w:val="none"/>
          <w:u w:val="single"/>
        </w:rPr>
      </w:pPr>
      <w:r>
        <w:rPr>
          <w:color w:val="auto"/>
          <w:kern w:val="2"/>
          <w:sz w:val="21"/>
          <w:szCs w:val="21"/>
          <w:highlight w:val="none"/>
        </w:rPr>
        <w:t>代理人姓名：</w:t>
      </w:r>
      <w:r>
        <w:rPr>
          <w:color w:val="auto"/>
          <w:kern w:val="2"/>
          <w:sz w:val="21"/>
          <w:szCs w:val="21"/>
          <w:highlight w:val="none"/>
          <w:u w:val="single"/>
        </w:rPr>
        <w:t xml:space="preserve">                 </w:t>
      </w:r>
      <w:r>
        <w:rPr>
          <w:color w:val="auto"/>
          <w:kern w:val="2"/>
          <w:sz w:val="21"/>
          <w:szCs w:val="21"/>
          <w:highlight w:val="none"/>
        </w:rPr>
        <w:t>性别：</w:t>
      </w:r>
      <w:r>
        <w:rPr>
          <w:color w:val="auto"/>
          <w:kern w:val="2"/>
          <w:sz w:val="21"/>
          <w:szCs w:val="21"/>
          <w:highlight w:val="none"/>
          <w:u w:val="single"/>
        </w:rPr>
        <w:t xml:space="preserve">           </w:t>
      </w:r>
      <w:r>
        <w:rPr>
          <w:color w:val="auto"/>
          <w:kern w:val="2"/>
          <w:sz w:val="21"/>
          <w:szCs w:val="21"/>
          <w:highlight w:val="none"/>
        </w:rPr>
        <w:t>手机号码：</w:t>
      </w:r>
      <w:r>
        <w:rPr>
          <w:color w:val="auto"/>
          <w:kern w:val="2"/>
          <w:sz w:val="21"/>
          <w:szCs w:val="21"/>
          <w:highlight w:val="none"/>
          <w:u w:val="single"/>
        </w:rPr>
        <w:t xml:space="preserve">             </w:t>
      </w:r>
    </w:p>
    <w:p>
      <w:pPr>
        <w:adjustRightInd w:val="0"/>
        <w:spacing w:line="360" w:lineRule="auto"/>
        <w:ind w:firstLine="420" w:firstLineChars="200"/>
        <w:textAlignment w:val="baseline"/>
        <w:rPr>
          <w:color w:val="auto"/>
          <w:kern w:val="2"/>
          <w:sz w:val="21"/>
          <w:szCs w:val="21"/>
          <w:highlight w:val="none"/>
          <w:u w:val="single"/>
        </w:rPr>
      </w:pPr>
      <w:r>
        <w:rPr>
          <w:color w:val="auto"/>
          <w:kern w:val="2"/>
          <w:sz w:val="21"/>
          <w:szCs w:val="21"/>
          <w:highlight w:val="none"/>
        </w:rPr>
        <w:t>单      位：</w:t>
      </w:r>
      <w:r>
        <w:rPr>
          <w:color w:val="auto"/>
          <w:kern w:val="2"/>
          <w:sz w:val="21"/>
          <w:szCs w:val="21"/>
          <w:highlight w:val="none"/>
          <w:u w:val="single"/>
        </w:rPr>
        <w:t xml:space="preserve">                 </w:t>
      </w:r>
      <w:r>
        <w:rPr>
          <w:color w:val="auto"/>
          <w:kern w:val="2"/>
          <w:sz w:val="21"/>
          <w:szCs w:val="21"/>
          <w:highlight w:val="none"/>
        </w:rPr>
        <w:t>部门：</w:t>
      </w:r>
      <w:r>
        <w:rPr>
          <w:color w:val="auto"/>
          <w:kern w:val="2"/>
          <w:sz w:val="21"/>
          <w:szCs w:val="21"/>
          <w:highlight w:val="none"/>
          <w:u w:val="single"/>
        </w:rPr>
        <w:t xml:space="preserve">           </w:t>
      </w:r>
      <w:r>
        <w:rPr>
          <w:color w:val="auto"/>
          <w:kern w:val="2"/>
          <w:sz w:val="21"/>
          <w:szCs w:val="21"/>
          <w:highlight w:val="none"/>
        </w:rPr>
        <w:t>职    务：</w:t>
      </w:r>
      <w:r>
        <w:rPr>
          <w:color w:val="auto"/>
          <w:kern w:val="2"/>
          <w:sz w:val="21"/>
          <w:szCs w:val="21"/>
          <w:highlight w:val="none"/>
          <w:u w:val="single"/>
        </w:rPr>
        <w:t xml:space="preserve">             </w:t>
      </w:r>
    </w:p>
    <w:p>
      <w:pPr>
        <w:adjustRightInd w:val="0"/>
        <w:spacing w:line="360" w:lineRule="auto"/>
        <w:ind w:firstLine="420" w:firstLineChars="200"/>
        <w:textAlignment w:val="baseline"/>
        <w:rPr>
          <w:color w:val="auto"/>
          <w:kern w:val="2"/>
          <w:sz w:val="21"/>
          <w:szCs w:val="21"/>
          <w:highlight w:val="none"/>
          <w:u w:val="single"/>
        </w:rPr>
      </w:pPr>
      <w:r>
        <w:rPr>
          <w:color w:val="auto"/>
          <w:kern w:val="2"/>
          <w:sz w:val="21"/>
          <w:szCs w:val="21"/>
          <w:highlight w:val="none"/>
        </w:rPr>
        <w:t>身份证号码：</w:t>
      </w:r>
      <w:r>
        <w:rPr>
          <w:color w:val="auto"/>
          <w:kern w:val="2"/>
          <w:sz w:val="21"/>
          <w:szCs w:val="21"/>
          <w:highlight w:val="none"/>
          <w:u w:val="single"/>
        </w:rPr>
        <w:t xml:space="preserve">                        </w:t>
      </w:r>
    </w:p>
    <w:p>
      <w:pPr>
        <w:adjustRightInd w:val="0"/>
        <w:spacing w:line="360" w:lineRule="auto"/>
        <w:ind w:firstLine="420" w:firstLineChars="200"/>
        <w:textAlignment w:val="baseline"/>
        <w:rPr>
          <w:color w:val="auto"/>
          <w:kern w:val="2"/>
          <w:sz w:val="21"/>
          <w:szCs w:val="21"/>
          <w:highlight w:val="none"/>
        </w:rPr>
      </w:pPr>
    </w:p>
    <w:p>
      <w:pPr>
        <w:adjustRightInd w:val="0"/>
        <w:spacing w:line="360" w:lineRule="auto"/>
        <w:ind w:firstLine="420" w:firstLineChars="200"/>
        <w:textAlignment w:val="baseline"/>
        <w:rPr>
          <w:color w:val="auto"/>
          <w:kern w:val="2"/>
          <w:sz w:val="21"/>
          <w:szCs w:val="21"/>
          <w:highlight w:val="none"/>
        </w:rPr>
      </w:pPr>
      <w:r>
        <w:rPr>
          <w:color w:val="auto"/>
          <w:kern w:val="2"/>
          <w:sz w:val="21"/>
          <w:szCs w:val="21"/>
          <w:highlight w:val="none"/>
        </w:rPr>
        <w:t>附：</w:t>
      </w:r>
      <w:r>
        <w:rPr>
          <w:rFonts w:hint="eastAsia"/>
          <w:color w:val="auto"/>
          <w:kern w:val="2"/>
          <w:sz w:val="21"/>
          <w:szCs w:val="21"/>
          <w:highlight w:val="none"/>
        </w:rPr>
        <w:t>1.</w:t>
      </w:r>
      <w:r>
        <w:rPr>
          <w:color w:val="auto"/>
          <w:kern w:val="2"/>
          <w:sz w:val="21"/>
          <w:szCs w:val="21"/>
          <w:highlight w:val="none"/>
        </w:rPr>
        <w:t>委托代理人身份证扫描件</w:t>
      </w:r>
    </w:p>
    <w:p>
      <w:pPr>
        <w:pStyle w:val="59"/>
        <w:spacing w:after="0" w:line="360" w:lineRule="auto"/>
        <w:ind w:firstLineChars="200"/>
        <w:rPr>
          <w:rFonts w:ascii="宋体" w:hAnsi="宋体"/>
          <w:color w:val="auto"/>
          <w:kern w:val="2"/>
          <w:szCs w:val="21"/>
          <w:highlight w:val="none"/>
        </w:rPr>
      </w:pPr>
      <w:r>
        <w:rPr>
          <w:rFonts w:hint="eastAsia" w:ascii="宋体" w:hAnsi="宋体"/>
          <w:color w:val="auto"/>
          <w:kern w:val="2"/>
          <w:szCs w:val="21"/>
          <w:highlight w:val="none"/>
        </w:rPr>
        <w:t>2.委托代理人系投标人本单位在岗员工（以住房和城乡建设行政主管部门颁发的有效执业注册证书或社保管理部门出具的社保缴费证明所署单位为准）的证明材料扫描件。</w:t>
      </w:r>
    </w:p>
    <w:p>
      <w:pPr>
        <w:adjustRightInd w:val="0"/>
        <w:spacing w:line="360" w:lineRule="auto"/>
        <w:ind w:firstLine="420" w:firstLineChars="200"/>
        <w:textAlignment w:val="baseline"/>
        <w:rPr>
          <w:color w:val="auto"/>
          <w:kern w:val="2"/>
          <w:sz w:val="21"/>
          <w:szCs w:val="21"/>
          <w:highlight w:val="none"/>
        </w:rPr>
      </w:pPr>
    </w:p>
    <w:p>
      <w:pPr>
        <w:adjustRightInd w:val="0"/>
        <w:spacing w:line="360" w:lineRule="auto"/>
        <w:ind w:firstLine="420" w:firstLineChars="200"/>
        <w:textAlignment w:val="baseline"/>
        <w:rPr>
          <w:color w:val="auto"/>
          <w:kern w:val="2"/>
          <w:sz w:val="21"/>
          <w:szCs w:val="21"/>
          <w:highlight w:val="none"/>
          <w:u w:val="single"/>
        </w:rPr>
      </w:pPr>
    </w:p>
    <w:p>
      <w:pPr>
        <w:adjustRightInd w:val="0"/>
        <w:spacing w:line="360" w:lineRule="auto"/>
        <w:ind w:firstLine="2940" w:firstLineChars="1400"/>
        <w:textAlignment w:val="baseline"/>
        <w:rPr>
          <w:color w:val="auto"/>
          <w:kern w:val="2"/>
          <w:sz w:val="21"/>
          <w:szCs w:val="21"/>
          <w:highlight w:val="none"/>
        </w:rPr>
      </w:pPr>
      <w:r>
        <w:rPr>
          <w:color w:val="auto"/>
          <w:kern w:val="2"/>
          <w:sz w:val="21"/>
          <w:szCs w:val="21"/>
          <w:highlight w:val="none"/>
        </w:rPr>
        <w:t>投  标  人：</w:t>
      </w:r>
      <w:r>
        <w:rPr>
          <w:color w:val="auto"/>
          <w:kern w:val="2"/>
          <w:sz w:val="21"/>
          <w:szCs w:val="21"/>
          <w:highlight w:val="none"/>
          <w:u w:val="single"/>
        </w:rPr>
        <w:t xml:space="preserve">                    </w:t>
      </w:r>
      <w:r>
        <w:rPr>
          <w:rFonts w:hint="eastAsia"/>
          <w:color w:val="auto"/>
          <w:kern w:val="2"/>
          <w:sz w:val="21"/>
          <w:szCs w:val="21"/>
          <w:highlight w:val="none"/>
        </w:rPr>
        <w:t>（</w:t>
      </w:r>
      <w:r>
        <w:rPr>
          <w:color w:val="auto"/>
          <w:kern w:val="2"/>
          <w:sz w:val="21"/>
          <w:szCs w:val="21"/>
          <w:highlight w:val="none"/>
        </w:rPr>
        <w:t>盖单位公章</w:t>
      </w:r>
      <w:r>
        <w:rPr>
          <w:rFonts w:hint="eastAsia"/>
          <w:color w:val="auto"/>
          <w:kern w:val="2"/>
          <w:sz w:val="21"/>
          <w:szCs w:val="21"/>
          <w:highlight w:val="none"/>
        </w:rPr>
        <w:t>）</w:t>
      </w:r>
      <w:r>
        <w:rPr>
          <w:color w:val="auto"/>
          <w:kern w:val="2"/>
          <w:position w:val="-2"/>
          <w:sz w:val="21"/>
          <w:szCs w:val="21"/>
          <w:highlight w:val="none"/>
          <w:vertAlign w:val="superscript"/>
        </w:rPr>
        <w:footnoteReference w:id="53"/>
      </w:r>
    </w:p>
    <w:p>
      <w:pPr>
        <w:adjustRightInd w:val="0"/>
        <w:spacing w:line="360" w:lineRule="auto"/>
        <w:textAlignment w:val="baseline"/>
        <w:rPr>
          <w:color w:val="auto"/>
          <w:kern w:val="2"/>
          <w:sz w:val="21"/>
          <w:szCs w:val="21"/>
          <w:highlight w:val="none"/>
        </w:rPr>
      </w:pPr>
      <w:r>
        <w:rPr>
          <w:color w:val="auto"/>
          <w:kern w:val="2"/>
          <w:sz w:val="21"/>
          <w:szCs w:val="21"/>
          <w:highlight w:val="none"/>
        </w:rPr>
        <w:t xml:space="preserve">                            法定代表人：</w:t>
      </w:r>
      <w:r>
        <w:rPr>
          <w:color w:val="auto"/>
          <w:kern w:val="2"/>
          <w:sz w:val="21"/>
          <w:szCs w:val="21"/>
          <w:highlight w:val="none"/>
          <w:u w:val="single"/>
        </w:rPr>
        <w:t xml:space="preserve">           </w:t>
      </w:r>
      <w:r>
        <w:rPr>
          <w:rFonts w:hint="eastAsia"/>
          <w:color w:val="auto"/>
          <w:kern w:val="2"/>
          <w:sz w:val="21"/>
          <w:szCs w:val="21"/>
          <w:highlight w:val="none"/>
          <w:u w:val="single"/>
        </w:rPr>
        <w:t xml:space="preserve">          </w:t>
      </w:r>
      <w:r>
        <w:rPr>
          <w:color w:val="auto"/>
          <w:kern w:val="2"/>
          <w:sz w:val="21"/>
          <w:szCs w:val="21"/>
          <w:highlight w:val="none"/>
          <w:u w:val="single"/>
        </w:rPr>
        <w:t xml:space="preserve">     </w:t>
      </w:r>
      <w:r>
        <w:rPr>
          <w:color w:val="auto"/>
          <w:kern w:val="2"/>
          <w:sz w:val="21"/>
          <w:szCs w:val="21"/>
          <w:highlight w:val="none"/>
        </w:rPr>
        <w:t>（盖章）</w:t>
      </w:r>
      <w:r>
        <w:rPr>
          <w:color w:val="auto"/>
          <w:kern w:val="2"/>
          <w:position w:val="-2"/>
          <w:sz w:val="21"/>
          <w:szCs w:val="21"/>
          <w:highlight w:val="none"/>
          <w:vertAlign w:val="superscript"/>
        </w:rPr>
        <w:footnoteReference w:id="54"/>
      </w:r>
    </w:p>
    <w:p>
      <w:pPr>
        <w:adjustRightInd w:val="0"/>
        <w:spacing w:line="360" w:lineRule="auto"/>
        <w:textAlignment w:val="baseline"/>
        <w:rPr>
          <w:color w:val="auto"/>
          <w:kern w:val="2"/>
          <w:sz w:val="21"/>
          <w:szCs w:val="21"/>
          <w:highlight w:val="none"/>
        </w:rPr>
      </w:pPr>
      <w:r>
        <w:rPr>
          <w:color w:val="auto"/>
          <w:kern w:val="2"/>
          <w:sz w:val="21"/>
          <w:szCs w:val="21"/>
          <w:highlight w:val="none"/>
        </w:rPr>
        <w:t xml:space="preserve">                            委托代理人：</w:t>
      </w:r>
      <w:r>
        <w:rPr>
          <w:color w:val="auto"/>
          <w:kern w:val="2"/>
          <w:sz w:val="21"/>
          <w:szCs w:val="21"/>
          <w:highlight w:val="none"/>
          <w:u w:val="single"/>
        </w:rPr>
        <w:t xml:space="preserve">     </w:t>
      </w:r>
      <w:r>
        <w:rPr>
          <w:rFonts w:hint="eastAsia"/>
          <w:color w:val="auto"/>
          <w:kern w:val="2"/>
          <w:sz w:val="21"/>
          <w:szCs w:val="21"/>
          <w:highlight w:val="none"/>
          <w:u w:val="single"/>
        </w:rPr>
        <w:t xml:space="preserve">    </w:t>
      </w:r>
      <w:r>
        <w:rPr>
          <w:color w:val="auto"/>
          <w:kern w:val="2"/>
          <w:sz w:val="21"/>
          <w:szCs w:val="21"/>
          <w:highlight w:val="none"/>
          <w:u w:val="single"/>
        </w:rPr>
        <w:t xml:space="preserve">           </w:t>
      </w:r>
      <w:r>
        <w:rPr>
          <w:color w:val="auto"/>
          <w:kern w:val="2"/>
          <w:sz w:val="21"/>
          <w:szCs w:val="21"/>
          <w:highlight w:val="none"/>
        </w:rPr>
        <w:t>（盖章或签字）</w:t>
      </w:r>
      <w:r>
        <w:rPr>
          <w:color w:val="auto"/>
          <w:kern w:val="2"/>
          <w:position w:val="-2"/>
          <w:sz w:val="21"/>
          <w:szCs w:val="21"/>
          <w:highlight w:val="none"/>
          <w:vertAlign w:val="superscript"/>
        </w:rPr>
        <w:footnoteReference w:id="55"/>
      </w:r>
    </w:p>
    <w:p>
      <w:pPr>
        <w:adjustRightInd w:val="0"/>
        <w:spacing w:line="360" w:lineRule="auto"/>
        <w:textAlignment w:val="baseline"/>
        <w:rPr>
          <w:rFonts w:ascii="Times New Roman" w:hAnsi="Times New Roman" w:eastAsia="仿宋_GB2312"/>
          <w:color w:val="auto"/>
          <w:kern w:val="2"/>
          <w:sz w:val="24"/>
          <w:szCs w:val="22"/>
          <w:highlight w:val="none"/>
        </w:rPr>
      </w:pPr>
      <w:r>
        <w:rPr>
          <w:color w:val="auto"/>
          <w:kern w:val="2"/>
          <w:sz w:val="21"/>
          <w:szCs w:val="21"/>
          <w:highlight w:val="none"/>
        </w:rPr>
        <w:t xml:space="preserve">                                             </w:t>
      </w:r>
      <w:r>
        <w:rPr>
          <w:color w:val="auto"/>
          <w:kern w:val="2"/>
          <w:sz w:val="21"/>
          <w:szCs w:val="21"/>
          <w:highlight w:val="none"/>
          <w:u w:val="single"/>
        </w:rPr>
        <w:t xml:space="preserve">        </w:t>
      </w:r>
      <w:r>
        <w:rPr>
          <w:color w:val="auto"/>
          <w:kern w:val="2"/>
          <w:sz w:val="21"/>
          <w:szCs w:val="21"/>
          <w:highlight w:val="none"/>
        </w:rPr>
        <w:t>年</w:t>
      </w:r>
      <w:r>
        <w:rPr>
          <w:color w:val="auto"/>
          <w:kern w:val="2"/>
          <w:sz w:val="21"/>
          <w:szCs w:val="21"/>
          <w:highlight w:val="none"/>
          <w:u w:val="single"/>
        </w:rPr>
        <w:t xml:space="preserve">    </w:t>
      </w:r>
      <w:r>
        <w:rPr>
          <w:color w:val="auto"/>
          <w:kern w:val="2"/>
          <w:sz w:val="21"/>
          <w:szCs w:val="21"/>
          <w:highlight w:val="none"/>
        </w:rPr>
        <w:t>月</w:t>
      </w:r>
      <w:r>
        <w:rPr>
          <w:color w:val="auto"/>
          <w:kern w:val="2"/>
          <w:sz w:val="21"/>
          <w:szCs w:val="21"/>
          <w:highlight w:val="none"/>
          <w:u w:val="single"/>
        </w:rPr>
        <w:t xml:space="preserve">    </w:t>
      </w:r>
      <w:r>
        <w:rPr>
          <w:color w:val="auto"/>
          <w:kern w:val="2"/>
          <w:sz w:val="21"/>
          <w:szCs w:val="21"/>
          <w:highlight w:val="none"/>
        </w:rPr>
        <w:t>日</w:t>
      </w:r>
    </w:p>
    <w:p>
      <w:pPr>
        <w:spacing w:beforeLines="100" w:afterLines="100" w:line="360" w:lineRule="auto"/>
        <w:jc w:val="center"/>
        <w:rPr>
          <w:rFonts w:ascii="黑体" w:hAnsi="黑体" w:eastAsia="黑体"/>
          <w:color w:val="auto"/>
          <w:sz w:val="28"/>
          <w:szCs w:val="28"/>
          <w:highlight w:val="none"/>
        </w:rPr>
      </w:pPr>
      <w:r>
        <w:rPr>
          <w:rFonts w:ascii="Times New Roman" w:hAnsi="Times New Roman"/>
          <w:color w:val="auto"/>
          <w:kern w:val="1"/>
          <w:sz w:val="21"/>
          <w:szCs w:val="24"/>
          <w:highlight w:val="none"/>
          <w:lang w:val="zh-CN"/>
        </w:rPr>
        <w:br w:type="page"/>
      </w:r>
      <w:r>
        <w:rPr>
          <w:rFonts w:hint="eastAsia" w:ascii="黑体" w:hAnsi="黑体" w:eastAsia="黑体"/>
          <w:color w:val="auto"/>
          <w:sz w:val="28"/>
          <w:szCs w:val="28"/>
          <w:highlight w:val="none"/>
        </w:rPr>
        <w:t>（六）投标保证金</w:t>
      </w:r>
    </w:p>
    <w:p>
      <w:pPr>
        <w:spacing w:line="360" w:lineRule="auto"/>
        <w:jc w:val="center"/>
        <w:rPr>
          <w:rFonts w:cs="宋体"/>
          <w:color w:val="auto"/>
          <w:kern w:val="1"/>
          <w:sz w:val="21"/>
          <w:szCs w:val="24"/>
          <w:highlight w:val="none"/>
        </w:rPr>
      </w:pPr>
      <w:r>
        <w:rPr>
          <w:rFonts w:hint="eastAsia" w:ascii="黑体" w:hAnsi="黑体" w:eastAsia="黑体"/>
          <w:color w:val="auto"/>
          <w:sz w:val="21"/>
          <w:szCs w:val="21"/>
          <w:highlight w:val="none"/>
        </w:rPr>
        <w:t>1.</w:t>
      </w:r>
      <w:r>
        <w:rPr>
          <w:rFonts w:ascii="黑体" w:hAnsi="黑体" w:eastAsia="黑体"/>
          <w:color w:val="auto"/>
          <w:sz w:val="21"/>
          <w:szCs w:val="21"/>
          <w:highlight w:val="none"/>
        </w:rPr>
        <w:t>投标</w:t>
      </w:r>
      <w:r>
        <w:rPr>
          <w:rFonts w:hint="eastAsia" w:ascii="黑体" w:hAnsi="黑体" w:eastAsia="黑体"/>
          <w:color w:val="auto"/>
          <w:sz w:val="21"/>
          <w:szCs w:val="21"/>
          <w:highlight w:val="none"/>
        </w:rPr>
        <w:t>保证金凭证</w:t>
      </w:r>
      <w:r>
        <w:rPr>
          <w:rFonts w:ascii="黑体" w:hAnsi="黑体" w:eastAsia="黑体"/>
          <w:color w:val="auto"/>
          <w:position w:val="-2"/>
          <w:sz w:val="21"/>
          <w:szCs w:val="21"/>
          <w:highlight w:val="none"/>
          <w:vertAlign w:val="superscript"/>
        </w:rPr>
        <w:footnoteReference w:id="56"/>
      </w:r>
    </w:p>
    <w:p>
      <w:pPr>
        <w:spacing w:line="360" w:lineRule="auto"/>
        <w:jc w:val="center"/>
        <w:rPr>
          <w:rFonts w:cs="宋体"/>
          <w:color w:val="auto"/>
          <w:kern w:val="1"/>
          <w:sz w:val="21"/>
          <w:szCs w:val="24"/>
          <w:highlight w:val="none"/>
        </w:rPr>
      </w:pPr>
    </w:p>
    <w:p>
      <w:pPr>
        <w:spacing w:line="360" w:lineRule="auto"/>
        <w:jc w:val="center"/>
        <w:rPr>
          <w:b/>
          <w:bCs/>
          <w:color w:val="auto"/>
          <w:sz w:val="32"/>
          <w:szCs w:val="32"/>
          <w:highlight w:val="none"/>
        </w:rPr>
      </w:pPr>
      <w:r>
        <w:rPr>
          <w:rFonts w:ascii="Times New Roman" w:hAnsi="Times New Roman"/>
          <w:color w:val="auto"/>
          <w:kern w:val="1"/>
          <w:sz w:val="21"/>
          <w:szCs w:val="24"/>
          <w:highlight w:val="none"/>
          <w:lang w:val="zh-CN"/>
        </w:rPr>
        <w:br w:type="page"/>
      </w:r>
      <w:r>
        <w:rPr>
          <w:rFonts w:hint="eastAsia" w:ascii="黑体" w:hAnsi="黑体" w:eastAsia="黑体"/>
          <w:color w:val="auto"/>
          <w:kern w:val="1"/>
          <w:sz w:val="21"/>
          <w:szCs w:val="24"/>
          <w:highlight w:val="none"/>
        </w:rPr>
        <w:t>投标保函（独立保函）</w:t>
      </w:r>
    </w:p>
    <w:p>
      <w:pPr>
        <w:wordWrap w:val="0"/>
        <w:adjustRightInd w:val="0"/>
        <w:spacing w:line="360" w:lineRule="auto"/>
        <w:jc w:val="center"/>
        <w:textAlignment w:val="baseline"/>
        <w:rPr>
          <w:color w:val="auto"/>
          <w:sz w:val="20"/>
          <w:szCs w:val="21"/>
          <w:highlight w:val="none"/>
        </w:rPr>
      </w:pPr>
      <w:r>
        <w:rPr>
          <w:rFonts w:hint="eastAsia"/>
          <w:color w:val="auto"/>
          <w:sz w:val="20"/>
          <w:szCs w:val="21"/>
          <w:highlight w:val="none"/>
        </w:rPr>
        <w:t xml:space="preserve">                                            编号：</w:t>
      </w:r>
      <w:r>
        <w:rPr>
          <w:rFonts w:hint="eastAsia"/>
          <w:color w:val="auto"/>
          <w:sz w:val="20"/>
          <w:szCs w:val="21"/>
          <w:highlight w:val="none"/>
          <w:u w:val="single"/>
        </w:rPr>
        <w:t xml:space="preserve"> </w:t>
      </w:r>
      <w:r>
        <w:rPr>
          <w:rFonts w:hint="eastAsia"/>
          <w:color w:val="auto"/>
          <w:sz w:val="24"/>
          <w:szCs w:val="24"/>
          <w:highlight w:val="none"/>
          <w:u w:val="single"/>
        </w:rPr>
        <w:t xml:space="preserve">          </w:t>
      </w:r>
      <w:r>
        <w:rPr>
          <w:color w:val="auto"/>
          <w:sz w:val="20"/>
          <w:szCs w:val="21"/>
          <w:highlight w:val="none"/>
        </w:rPr>
        <w:t xml:space="preserve">  </w:t>
      </w:r>
    </w:p>
    <w:p>
      <w:pPr>
        <w:wordWrap w:val="0"/>
        <w:adjustRightInd w:val="0"/>
        <w:spacing w:line="360" w:lineRule="auto"/>
        <w:jc w:val="right"/>
        <w:textAlignment w:val="baseline"/>
        <w:rPr>
          <w:color w:val="auto"/>
          <w:sz w:val="24"/>
          <w:szCs w:val="24"/>
          <w:highlight w:val="none"/>
        </w:rPr>
      </w:pPr>
      <w:r>
        <w:rPr>
          <w:color w:val="auto"/>
          <w:sz w:val="20"/>
          <w:szCs w:val="21"/>
          <w:highlight w:val="none"/>
        </w:rPr>
        <w:t xml:space="preserve">        </w:t>
      </w:r>
    </w:p>
    <w:p>
      <w:pPr>
        <w:adjustRightInd w:val="0"/>
        <w:spacing w:line="360" w:lineRule="auto"/>
        <w:textAlignment w:val="baseline"/>
        <w:rPr>
          <w:color w:val="auto"/>
          <w:sz w:val="21"/>
          <w:szCs w:val="21"/>
          <w:highlight w:val="none"/>
        </w:rPr>
      </w:pPr>
      <w:bookmarkStart w:id="1954" w:name="_Hlk40303117"/>
      <w:r>
        <w:rPr>
          <w:rFonts w:hint="eastAsia"/>
          <w:color w:val="auto"/>
          <w:sz w:val="21"/>
          <w:szCs w:val="21"/>
          <w:highlight w:val="none"/>
        </w:rPr>
        <w:t>申请人：</w:t>
      </w:r>
    </w:p>
    <w:p>
      <w:pPr>
        <w:adjustRightInd w:val="0"/>
        <w:spacing w:line="360" w:lineRule="auto"/>
        <w:textAlignment w:val="baseline"/>
        <w:rPr>
          <w:color w:val="auto"/>
          <w:sz w:val="21"/>
          <w:szCs w:val="21"/>
          <w:highlight w:val="none"/>
        </w:rPr>
      </w:pPr>
      <w:r>
        <w:rPr>
          <w:rFonts w:hint="eastAsia"/>
          <w:color w:val="auto"/>
          <w:sz w:val="21"/>
          <w:szCs w:val="21"/>
          <w:highlight w:val="none"/>
        </w:rPr>
        <w:t>地址</w:t>
      </w:r>
      <w:r>
        <w:rPr>
          <w:color w:val="auto"/>
          <w:sz w:val="21"/>
          <w:szCs w:val="21"/>
          <w:highlight w:val="none"/>
        </w:rPr>
        <w:t>：</w:t>
      </w:r>
    </w:p>
    <w:p>
      <w:pPr>
        <w:adjustRightInd w:val="0"/>
        <w:spacing w:line="360" w:lineRule="auto"/>
        <w:textAlignment w:val="baseline"/>
        <w:rPr>
          <w:color w:val="auto"/>
          <w:sz w:val="21"/>
          <w:szCs w:val="21"/>
          <w:highlight w:val="none"/>
        </w:rPr>
      </w:pPr>
      <w:r>
        <w:rPr>
          <w:rFonts w:hint="eastAsia"/>
          <w:color w:val="auto"/>
          <w:sz w:val="21"/>
          <w:szCs w:val="21"/>
          <w:highlight w:val="none"/>
        </w:rPr>
        <w:t>受益人：</w:t>
      </w:r>
      <w:r>
        <w:rPr>
          <w:color w:val="auto"/>
          <w:sz w:val="21"/>
          <w:szCs w:val="21"/>
          <w:highlight w:val="none"/>
        </w:rPr>
        <w:t xml:space="preserve"> </w:t>
      </w:r>
    </w:p>
    <w:p>
      <w:pPr>
        <w:adjustRightInd w:val="0"/>
        <w:spacing w:line="360" w:lineRule="auto"/>
        <w:textAlignment w:val="baseline"/>
        <w:rPr>
          <w:color w:val="auto"/>
          <w:sz w:val="21"/>
          <w:szCs w:val="21"/>
          <w:highlight w:val="none"/>
        </w:rPr>
      </w:pPr>
      <w:r>
        <w:rPr>
          <w:rFonts w:hint="eastAsia"/>
          <w:color w:val="auto"/>
          <w:sz w:val="21"/>
          <w:szCs w:val="21"/>
          <w:highlight w:val="none"/>
        </w:rPr>
        <w:t>地址：</w:t>
      </w:r>
    </w:p>
    <w:p>
      <w:pPr>
        <w:adjustRightInd w:val="0"/>
        <w:spacing w:line="360" w:lineRule="auto"/>
        <w:textAlignment w:val="baseline"/>
        <w:rPr>
          <w:color w:val="auto"/>
          <w:sz w:val="21"/>
          <w:szCs w:val="21"/>
          <w:highlight w:val="none"/>
        </w:rPr>
      </w:pPr>
      <w:r>
        <w:rPr>
          <w:rFonts w:hint="eastAsia"/>
          <w:color w:val="auto"/>
          <w:sz w:val="21"/>
          <w:szCs w:val="21"/>
          <w:highlight w:val="none"/>
        </w:rPr>
        <w:t>开立人：</w:t>
      </w:r>
    </w:p>
    <w:bookmarkEnd w:id="1954"/>
    <w:p>
      <w:pPr>
        <w:adjustRightInd w:val="0"/>
        <w:spacing w:line="360" w:lineRule="auto"/>
        <w:textAlignment w:val="baseline"/>
        <w:rPr>
          <w:color w:val="auto"/>
          <w:sz w:val="21"/>
          <w:szCs w:val="21"/>
          <w:highlight w:val="none"/>
          <w:u w:val="single"/>
        </w:rPr>
      </w:pPr>
      <w:r>
        <w:rPr>
          <w:rFonts w:hint="eastAsia"/>
          <w:color w:val="auto"/>
          <w:sz w:val="21"/>
          <w:szCs w:val="21"/>
          <w:highlight w:val="none"/>
        </w:rPr>
        <w:t>地址：</w:t>
      </w:r>
    </w:p>
    <w:p>
      <w:pPr>
        <w:adjustRightInd w:val="0"/>
        <w:spacing w:line="360" w:lineRule="auto"/>
        <w:textAlignment w:val="baseline"/>
        <w:rPr>
          <w:color w:val="auto"/>
          <w:sz w:val="21"/>
          <w:szCs w:val="21"/>
          <w:highlight w:val="none"/>
        </w:rPr>
      </w:pPr>
    </w:p>
    <w:p>
      <w:pPr>
        <w:adjustRightInd w:val="0"/>
        <w:spacing w:line="360" w:lineRule="auto"/>
        <w:textAlignment w:val="baseline"/>
        <w:rPr>
          <w:color w:val="auto"/>
          <w:sz w:val="21"/>
          <w:szCs w:val="21"/>
          <w:highlight w:val="none"/>
        </w:rPr>
      </w:pPr>
      <w:r>
        <w:rPr>
          <w:rFonts w:hint="eastAsia"/>
          <w:color w:val="auto"/>
          <w:sz w:val="21"/>
          <w:szCs w:val="21"/>
          <w:highlight w:val="none"/>
        </w:rPr>
        <w:t>致：</w:t>
      </w:r>
      <w:r>
        <w:rPr>
          <w:rFonts w:hint="eastAsia"/>
          <w:color w:val="auto"/>
          <w:sz w:val="21"/>
          <w:szCs w:val="21"/>
          <w:highlight w:val="none"/>
          <w:u w:val="single"/>
        </w:rPr>
        <w:t>（受益人名称）</w:t>
      </w:r>
    </w:p>
    <w:p>
      <w:pPr>
        <w:adjustRightInd w:val="0"/>
        <w:spacing w:line="360" w:lineRule="auto"/>
        <w:ind w:firstLine="480"/>
        <w:textAlignment w:val="baseline"/>
        <w:rPr>
          <w:color w:val="auto"/>
          <w:sz w:val="21"/>
          <w:szCs w:val="21"/>
          <w:highlight w:val="none"/>
        </w:rPr>
      </w:pPr>
      <w:r>
        <w:rPr>
          <w:rFonts w:hint="eastAsia"/>
          <w:color w:val="auto"/>
          <w:sz w:val="21"/>
          <w:szCs w:val="21"/>
          <w:highlight w:val="none"/>
        </w:rPr>
        <w:t>我方（即“开立人”）已获得通知，本保函申请人（即“投标人”）已响应贵方于</w:t>
      </w:r>
      <w:r>
        <w:rPr>
          <w:rFonts w:hint="eastAsia"/>
          <w:color w:val="auto"/>
          <w:sz w:val="21"/>
          <w:szCs w:val="21"/>
          <w:highlight w:val="none"/>
          <w:u w:val="single"/>
        </w:rPr>
        <w:t xml:space="preserve">     </w:t>
      </w:r>
      <w:r>
        <w:rPr>
          <w:rFonts w:hint="eastAsia"/>
          <w:color w:val="auto"/>
          <w:sz w:val="21"/>
          <w:szCs w:val="21"/>
          <w:highlight w:val="none"/>
        </w:rPr>
        <w:t>年</w:t>
      </w:r>
      <w:r>
        <w:rPr>
          <w:rFonts w:hint="eastAsia"/>
          <w:color w:val="auto"/>
          <w:sz w:val="21"/>
          <w:szCs w:val="21"/>
          <w:highlight w:val="none"/>
          <w:u w:val="single"/>
        </w:rPr>
        <w:t xml:space="preserve">   </w:t>
      </w:r>
      <w:r>
        <w:rPr>
          <w:rFonts w:hint="eastAsia"/>
          <w:color w:val="auto"/>
          <w:sz w:val="21"/>
          <w:szCs w:val="21"/>
          <w:highlight w:val="none"/>
        </w:rPr>
        <w:t>月</w:t>
      </w:r>
      <w:r>
        <w:rPr>
          <w:rFonts w:hint="eastAsia"/>
          <w:color w:val="auto"/>
          <w:sz w:val="21"/>
          <w:szCs w:val="21"/>
          <w:highlight w:val="none"/>
          <w:u w:val="single"/>
        </w:rPr>
        <w:t xml:space="preserve">   </w:t>
      </w:r>
      <w:r>
        <w:rPr>
          <w:rFonts w:hint="eastAsia"/>
          <w:color w:val="auto"/>
          <w:sz w:val="21"/>
          <w:szCs w:val="21"/>
          <w:highlight w:val="none"/>
        </w:rPr>
        <w:t>日就</w:t>
      </w:r>
      <w:r>
        <w:rPr>
          <w:rFonts w:hint="eastAsia"/>
          <w:color w:val="auto"/>
          <w:sz w:val="21"/>
          <w:szCs w:val="21"/>
          <w:highlight w:val="none"/>
          <w:u w:val="single"/>
        </w:rPr>
        <w:t xml:space="preserve">    （招标项目名称及标段）       </w:t>
      </w:r>
      <w:r>
        <w:rPr>
          <w:rFonts w:hint="eastAsia"/>
          <w:color w:val="auto"/>
          <w:sz w:val="21"/>
          <w:szCs w:val="21"/>
          <w:highlight w:val="none"/>
        </w:rPr>
        <w:t>（以下简称“本工程”）发出的招标文件，并已向招标人（即“受益人”）提交了投标文件（即“基础交易”）。</w:t>
      </w:r>
    </w:p>
    <w:p>
      <w:pPr>
        <w:adjustRightInd w:val="0"/>
        <w:spacing w:line="360" w:lineRule="auto"/>
        <w:ind w:firstLine="420" w:firstLineChars="200"/>
        <w:textAlignment w:val="baseline"/>
        <w:rPr>
          <w:color w:val="auto"/>
          <w:sz w:val="21"/>
          <w:szCs w:val="21"/>
          <w:highlight w:val="none"/>
        </w:rPr>
      </w:pPr>
      <w:r>
        <w:rPr>
          <w:rFonts w:hint="eastAsia"/>
          <w:color w:val="auto"/>
          <w:sz w:val="21"/>
          <w:szCs w:val="21"/>
          <w:highlight w:val="none"/>
        </w:rPr>
        <w:t>一、我方理解根据招标条件，投标人必须提交一份投标保函（以下简称“本保函”），以担保投标人诚信履行其在上述基础交易中承担的投标人义务。鉴此，应申请人要求，我方在此同意向贵方出具此投标保函，本保函担保金额最高不超过</w:t>
      </w:r>
      <w:r>
        <w:rPr>
          <w:color w:val="auto"/>
          <w:sz w:val="21"/>
          <w:szCs w:val="21"/>
          <w:highlight w:val="none"/>
        </w:rPr>
        <w:t>人民币（大写）</w:t>
      </w:r>
      <w:r>
        <w:rPr>
          <w:color w:val="auto"/>
          <w:sz w:val="21"/>
          <w:szCs w:val="21"/>
          <w:highlight w:val="none"/>
          <w:u w:val="single"/>
        </w:rPr>
        <w:t xml:space="preserve">      </w:t>
      </w:r>
      <w:r>
        <w:rPr>
          <w:color w:val="auto"/>
          <w:sz w:val="21"/>
          <w:szCs w:val="21"/>
          <w:highlight w:val="none"/>
        </w:rPr>
        <w:t>元（¥</w:t>
      </w:r>
      <w:r>
        <w:rPr>
          <w:color w:val="auto"/>
          <w:sz w:val="21"/>
          <w:szCs w:val="21"/>
          <w:highlight w:val="none"/>
          <w:u w:val="single"/>
        </w:rPr>
        <w:t xml:space="preserve">       </w:t>
      </w:r>
      <w:r>
        <w:rPr>
          <w:color w:val="auto"/>
          <w:sz w:val="21"/>
          <w:szCs w:val="21"/>
          <w:highlight w:val="none"/>
        </w:rPr>
        <w:t>）。</w:t>
      </w:r>
    </w:p>
    <w:p>
      <w:pPr>
        <w:adjustRightInd w:val="0"/>
        <w:spacing w:line="360" w:lineRule="auto"/>
        <w:ind w:firstLine="420" w:firstLineChars="200"/>
        <w:textAlignment w:val="baseline"/>
        <w:rPr>
          <w:color w:val="auto"/>
          <w:sz w:val="21"/>
          <w:szCs w:val="21"/>
          <w:highlight w:val="none"/>
        </w:rPr>
      </w:pPr>
      <w:r>
        <w:rPr>
          <w:rFonts w:hint="eastAsia"/>
          <w:color w:val="auto"/>
          <w:sz w:val="21"/>
          <w:szCs w:val="21"/>
          <w:highlight w:val="none"/>
        </w:rPr>
        <w:t>二、我方在投标人发生以下情形时承担保证担保责任：</w:t>
      </w:r>
      <w:r>
        <w:rPr>
          <w:color w:val="auto"/>
          <w:sz w:val="21"/>
          <w:szCs w:val="21"/>
          <w:highlight w:val="none"/>
        </w:rPr>
        <w:t xml:space="preserve"> </w:t>
      </w:r>
    </w:p>
    <w:p>
      <w:pPr>
        <w:spacing w:line="360" w:lineRule="auto"/>
        <w:ind w:left="480"/>
        <w:rPr>
          <w:color w:val="auto"/>
          <w:kern w:val="2"/>
          <w:sz w:val="21"/>
          <w:szCs w:val="21"/>
          <w:highlight w:val="none"/>
        </w:rPr>
      </w:pPr>
      <w:r>
        <w:rPr>
          <w:rFonts w:hint="eastAsia"/>
          <w:color w:val="auto"/>
          <w:kern w:val="2"/>
          <w:sz w:val="21"/>
          <w:szCs w:val="21"/>
          <w:highlight w:val="none"/>
        </w:rPr>
        <w:t>（1）</w:t>
      </w:r>
      <w:r>
        <w:rPr>
          <w:rFonts w:hint="eastAsia" w:cs="宋体"/>
          <w:color w:val="auto"/>
          <w:kern w:val="1"/>
          <w:sz w:val="21"/>
          <w:szCs w:val="24"/>
          <w:highlight w:val="none"/>
        </w:rPr>
        <w:t>投标人在投标有效期内撤销其投标文件</w:t>
      </w:r>
      <w:r>
        <w:rPr>
          <w:rFonts w:hint="eastAsia"/>
          <w:color w:val="auto"/>
          <w:kern w:val="2"/>
          <w:sz w:val="21"/>
          <w:szCs w:val="21"/>
          <w:highlight w:val="none"/>
        </w:rPr>
        <w:t>。</w:t>
      </w:r>
      <w:r>
        <w:rPr>
          <w:color w:val="auto"/>
          <w:kern w:val="2"/>
          <w:sz w:val="21"/>
          <w:szCs w:val="21"/>
          <w:highlight w:val="none"/>
        </w:rPr>
        <w:t xml:space="preserve"> </w:t>
      </w:r>
    </w:p>
    <w:p>
      <w:pPr>
        <w:spacing w:line="360" w:lineRule="auto"/>
        <w:ind w:firstLine="480"/>
        <w:rPr>
          <w:color w:val="auto"/>
          <w:kern w:val="2"/>
          <w:sz w:val="21"/>
          <w:szCs w:val="21"/>
          <w:highlight w:val="none"/>
        </w:rPr>
      </w:pPr>
      <w:r>
        <w:rPr>
          <w:rFonts w:hint="eastAsia"/>
          <w:color w:val="auto"/>
          <w:kern w:val="2"/>
          <w:sz w:val="21"/>
          <w:szCs w:val="21"/>
          <w:highlight w:val="none"/>
        </w:rPr>
        <w:t>（2）中标人无正当理由不与招标人订立合同，在签订合同时向贵方提出附加条件，或者不按照招标文件要求提交履约保证金。</w:t>
      </w:r>
      <w:r>
        <w:rPr>
          <w:color w:val="auto"/>
          <w:kern w:val="2"/>
          <w:sz w:val="21"/>
          <w:szCs w:val="21"/>
          <w:highlight w:val="none"/>
        </w:rPr>
        <w:t xml:space="preserve"> </w:t>
      </w:r>
    </w:p>
    <w:p>
      <w:pPr>
        <w:spacing w:line="360" w:lineRule="auto"/>
        <w:ind w:firstLine="480"/>
        <w:rPr>
          <w:color w:val="auto"/>
          <w:kern w:val="2"/>
          <w:sz w:val="21"/>
          <w:szCs w:val="21"/>
          <w:highlight w:val="none"/>
        </w:rPr>
      </w:pPr>
      <w:r>
        <w:rPr>
          <w:rFonts w:hint="eastAsia"/>
          <w:color w:val="auto"/>
          <w:kern w:val="2"/>
          <w:sz w:val="21"/>
          <w:szCs w:val="21"/>
          <w:highlight w:val="none"/>
        </w:rPr>
        <w:t>（3）投标人存在投标须知前附表第24项规定投标保证金不予退还的其他</w:t>
      </w:r>
      <w:r>
        <w:rPr>
          <w:color w:val="auto"/>
          <w:kern w:val="2"/>
          <w:sz w:val="21"/>
          <w:szCs w:val="21"/>
          <w:highlight w:val="none"/>
        </w:rPr>
        <w:t>情形。</w:t>
      </w:r>
    </w:p>
    <w:p>
      <w:pPr>
        <w:spacing w:line="360" w:lineRule="auto"/>
        <w:ind w:firstLine="480"/>
        <w:rPr>
          <w:color w:val="auto"/>
          <w:kern w:val="2"/>
          <w:sz w:val="21"/>
          <w:szCs w:val="21"/>
          <w:highlight w:val="none"/>
        </w:rPr>
      </w:pPr>
      <w:r>
        <w:rPr>
          <w:rFonts w:hint="eastAsia"/>
          <w:color w:val="auto"/>
          <w:kern w:val="2"/>
          <w:sz w:val="21"/>
          <w:szCs w:val="21"/>
          <w:highlight w:val="none"/>
        </w:rPr>
        <w:t>（4）法律、法规规定的其他情形。</w:t>
      </w:r>
    </w:p>
    <w:p>
      <w:pPr>
        <w:adjustRightInd w:val="0"/>
        <w:spacing w:line="360" w:lineRule="auto"/>
        <w:textAlignment w:val="baseline"/>
        <w:rPr>
          <w:color w:val="auto"/>
          <w:sz w:val="21"/>
          <w:szCs w:val="21"/>
          <w:highlight w:val="none"/>
        </w:rPr>
      </w:pPr>
      <w:r>
        <w:rPr>
          <w:rFonts w:hint="eastAsia"/>
          <w:color w:val="auto"/>
          <w:sz w:val="21"/>
          <w:szCs w:val="21"/>
          <w:highlight w:val="none"/>
        </w:rPr>
        <w:t xml:space="preserve">    三、本保函为</w:t>
      </w:r>
      <w:r>
        <w:rPr>
          <w:color w:val="auto"/>
          <w:sz w:val="21"/>
          <w:szCs w:val="21"/>
          <w:highlight w:val="none"/>
        </w:rPr>
        <w:t>不可撤销、</w:t>
      </w:r>
      <w:r>
        <w:rPr>
          <w:rFonts w:hint="eastAsia"/>
          <w:color w:val="auto"/>
          <w:sz w:val="21"/>
          <w:szCs w:val="21"/>
          <w:highlight w:val="none"/>
        </w:rPr>
        <w:t>不可转让的见索即付</w:t>
      </w:r>
      <w:r>
        <w:rPr>
          <w:color w:val="auto"/>
          <w:sz w:val="21"/>
          <w:szCs w:val="21"/>
          <w:highlight w:val="none"/>
        </w:rPr>
        <w:t>独立</w:t>
      </w:r>
      <w:r>
        <w:rPr>
          <w:rFonts w:hint="eastAsia"/>
          <w:color w:val="auto"/>
          <w:sz w:val="21"/>
          <w:szCs w:val="21"/>
          <w:highlight w:val="none"/>
        </w:rPr>
        <w:t>保函</w:t>
      </w:r>
      <w:r>
        <w:rPr>
          <w:color w:val="auto"/>
          <w:sz w:val="21"/>
          <w:szCs w:val="21"/>
          <w:highlight w:val="none"/>
        </w:rPr>
        <w:t>。</w:t>
      </w:r>
      <w:r>
        <w:rPr>
          <w:rFonts w:hint="eastAsia"/>
          <w:color w:val="auto"/>
          <w:sz w:val="21"/>
          <w:szCs w:val="21"/>
          <w:highlight w:val="none"/>
        </w:rPr>
        <w:t>本保函</w:t>
      </w:r>
      <w:r>
        <w:rPr>
          <w:color w:val="auto"/>
          <w:sz w:val="21"/>
          <w:szCs w:val="21"/>
          <w:highlight w:val="none"/>
        </w:rPr>
        <w:t>有效期自</w:t>
      </w:r>
      <w:r>
        <w:rPr>
          <w:rFonts w:hint="eastAsia"/>
          <w:color w:val="auto"/>
          <w:sz w:val="21"/>
          <w:szCs w:val="21"/>
          <w:highlight w:val="none"/>
        </w:rPr>
        <w:t>开立之日起</w:t>
      </w:r>
      <w:r>
        <w:rPr>
          <w:color w:val="auto"/>
          <w:sz w:val="21"/>
          <w:szCs w:val="21"/>
          <w:highlight w:val="none"/>
        </w:rPr>
        <w:t>至</w:t>
      </w:r>
      <w:r>
        <w:rPr>
          <w:rFonts w:hint="eastAsia"/>
          <w:color w:val="auto"/>
          <w:sz w:val="21"/>
          <w:szCs w:val="21"/>
          <w:highlight w:val="none"/>
        </w:rPr>
        <w:t>投标有效期届满之日后的</w:t>
      </w:r>
      <w:r>
        <w:rPr>
          <w:rFonts w:hint="eastAsia"/>
          <w:color w:val="auto"/>
          <w:sz w:val="21"/>
          <w:szCs w:val="21"/>
          <w:highlight w:val="none"/>
          <w:u w:val="single"/>
        </w:rPr>
        <w:t>28</w:t>
      </w:r>
      <w:r>
        <w:rPr>
          <w:rFonts w:hint="eastAsia"/>
          <w:color w:val="auto"/>
          <w:sz w:val="21"/>
          <w:szCs w:val="21"/>
          <w:highlight w:val="none"/>
        </w:rPr>
        <w:t>日（含）</w:t>
      </w:r>
      <w:r>
        <w:rPr>
          <w:color w:val="auto"/>
          <w:sz w:val="21"/>
          <w:szCs w:val="21"/>
          <w:highlight w:val="none"/>
        </w:rPr>
        <w:t>。</w:t>
      </w:r>
      <w:r>
        <w:rPr>
          <w:rFonts w:hint="eastAsia"/>
          <w:color w:val="auto"/>
          <w:sz w:val="21"/>
          <w:szCs w:val="21"/>
          <w:highlight w:val="none"/>
        </w:rPr>
        <w:t>投标有效期延长的，本保函有效期相应顺延</w:t>
      </w:r>
      <w:bookmarkStart w:id="1955" w:name="_Hlk58489417"/>
      <w:r>
        <w:rPr>
          <w:rFonts w:hint="eastAsia"/>
          <w:color w:val="auto"/>
          <w:sz w:val="21"/>
          <w:szCs w:val="21"/>
          <w:highlight w:val="none"/>
        </w:rPr>
        <w:t>，最迟不超过</w:t>
      </w:r>
      <w:r>
        <w:rPr>
          <w:rFonts w:hint="eastAsia"/>
          <w:color w:val="auto"/>
          <w:sz w:val="21"/>
          <w:szCs w:val="21"/>
          <w:highlight w:val="none"/>
          <w:u w:val="single"/>
        </w:rPr>
        <w:t xml:space="preserve"> </w:t>
      </w:r>
      <w:r>
        <w:rPr>
          <w:color w:val="auto"/>
          <w:sz w:val="21"/>
          <w:szCs w:val="21"/>
          <w:highlight w:val="none"/>
          <w:u w:val="single"/>
        </w:rPr>
        <w:t xml:space="preserve"> </w:t>
      </w:r>
      <w:r>
        <w:rPr>
          <w:rFonts w:hint="eastAsia"/>
          <w:color w:val="auto"/>
          <w:sz w:val="21"/>
          <w:szCs w:val="21"/>
          <w:highlight w:val="none"/>
          <w:u w:val="single"/>
        </w:rPr>
        <w:t xml:space="preserve">  </w:t>
      </w:r>
      <w:r>
        <w:rPr>
          <w:color w:val="auto"/>
          <w:sz w:val="21"/>
          <w:szCs w:val="21"/>
          <w:highlight w:val="none"/>
          <w:u w:val="single"/>
        </w:rPr>
        <w:t xml:space="preserve">  </w:t>
      </w:r>
      <w:r>
        <w:rPr>
          <w:rFonts w:hint="eastAsia"/>
          <w:color w:val="auto"/>
          <w:sz w:val="21"/>
          <w:szCs w:val="21"/>
          <w:highlight w:val="none"/>
        </w:rPr>
        <w:t>年</w:t>
      </w:r>
      <w:r>
        <w:rPr>
          <w:rFonts w:hint="eastAsia"/>
          <w:color w:val="auto"/>
          <w:sz w:val="21"/>
          <w:szCs w:val="21"/>
          <w:highlight w:val="none"/>
          <w:u w:val="single"/>
        </w:rPr>
        <w:t xml:space="preserve"> </w:t>
      </w:r>
      <w:r>
        <w:rPr>
          <w:color w:val="auto"/>
          <w:sz w:val="21"/>
          <w:szCs w:val="21"/>
          <w:highlight w:val="none"/>
          <w:u w:val="single"/>
        </w:rPr>
        <w:t xml:space="preserve">   </w:t>
      </w:r>
      <w:r>
        <w:rPr>
          <w:rFonts w:hint="eastAsia"/>
          <w:color w:val="auto"/>
          <w:sz w:val="21"/>
          <w:szCs w:val="21"/>
          <w:highlight w:val="none"/>
        </w:rPr>
        <w:t>月</w:t>
      </w:r>
      <w:r>
        <w:rPr>
          <w:rFonts w:hint="eastAsia"/>
          <w:color w:val="auto"/>
          <w:sz w:val="21"/>
          <w:szCs w:val="21"/>
          <w:highlight w:val="none"/>
          <w:u w:val="single"/>
        </w:rPr>
        <w:t xml:space="preserve"> </w:t>
      </w:r>
      <w:r>
        <w:rPr>
          <w:color w:val="auto"/>
          <w:sz w:val="21"/>
          <w:szCs w:val="21"/>
          <w:highlight w:val="none"/>
          <w:u w:val="single"/>
        </w:rPr>
        <w:t xml:space="preserve">   </w:t>
      </w:r>
      <w:r>
        <w:rPr>
          <w:rFonts w:hint="eastAsia"/>
          <w:color w:val="auto"/>
          <w:sz w:val="21"/>
          <w:szCs w:val="21"/>
          <w:highlight w:val="none"/>
        </w:rPr>
        <w:t>日</w:t>
      </w:r>
      <w:bookmarkEnd w:id="1955"/>
      <w:r>
        <w:rPr>
          <w:rFonts w:hint="eastAsia"/>
          <w:color w:val="auto"/>
          <w:sz w:val="21"/>
          <w:szCs w:val="21"/>
          <w:highlight w:val="none"/>
        </w:rPr>
        <w:t>。</w:t>
      </w:r>
    </w:p>
    <w:p>
      <w:pPr>
        <w:adjustRightInd w:val="0"/>
        <w:spacing w:line="360" w:lineRule="auto"/>
        <w:ind w:firstLine="480"/>
        <w:textAlignment w:val="baseline"/>
        <w:rPr>
          <w:color w:val="auto"/>
          <w:sz w:val="21"/>
          <w:szCs w:val="21"/>
          <w:highlight w:val="none"/>
        </w:rPr>
      </w:pPr>
      <w:bookmarkStart w:id="1956" w:name="_Hlk40302764"/>
      <w:r>
        <w:rPr>
          <w:rFonts w:hint="eastAsia"/>
          <w:color w:val="auto"/>
          <w:sz w:val="21"/>
          <w:szCs w:val="21"/>
          <w:highlight w:val="none"/>
        </w:rPr>
        <w:t>四、我方承诺，在收到受益人发来的书面付款通知后的</w:t>
      </w:r>
      <w:r>
        <w:rPr>
          <w:rFonts w:hint="eastAsia"/>
          <w:b/>
          <w:bCs/>
          <w:color w:val="auto"/>
          <w:sz w:val="21"/>
          <w:szCs w:val="21"/>
          <w:highlight w:val="none"/>
          <w:u w:val="single"/>
        </w:rPr>
        <w:t xml:space="preserve"> 7 </w:t>
      </w:r>
      <w:r>
        <w:rPr>
          <w:rFonts w:hint="eastAsia"/>
          <w:color w:val="auto"/>
          <w:sz w:val="21"/>
          <w:szCs w:val="21"/>
          <w:highlight w:val="none"/>
        </w:rPr>
        <w:t>日内无条件支付，前述书面付款通知即为付款要求之单据，且应满足以下要求：</w:t>
      </w:r>
    </w:p>
    <w:p>
      <w:pPr>
        <w:adjustRightInd w:val="0"/>
        <w:spacing w:line="360" w:lineRule="auto"/>
        <w:ind w:firstLine="480"/>
        <w:textAlignment w:val="baseline"/>
        <w:rPr>
          <w:color w:val="auto"/>
          <w:sz w:val="21"/>
          <w:szCs w:val="21"/>
          <w:highlight w:val="none"/>
        </w:rPr>
      </w:pPr>
      <w:r>
        <w:rPr>
          <w:rFonts w:hint="eastAsia"/>
          <w:color w:val="auto"/>
          <w:sz w:val="21"/>
          <w:szCs w:val="21"/>
          <w:highlight w:val="none"/>
        </w:rPr>
        <w:t>（1）付款通知到达的日期在本保函的有效期内；</w:t>
      </w:r>
    </w:p>
    <w:p>
      <w:pPr>
        <w:adjustRightInd w:val="0"/>
        <w:spacing w:line="360" w:lineRule="auto"/>
        <w:ind w:firstLine="480"/>
        <w:textAlignment w:val="baseline"/>
        <w:rPr>
          <w:color w:val="auto"/>
          <w:sz w:val="21"/>
          <w:szCs w:val="21"/>
          <w:highlight w:val="none"/>
        </w:rPr>
      </w:pPr>
      <w:r>
        <w:rPr>
          <w:rFonts w:hint="eastAsia"/>
          <w:color w:val="auto"/>
          <w:sz w:val="21"/>
          <w:szCs w:val="21"/>
          <w:highlight w:val="none"/>
        </w:rPr>
        <w:t>（2）载明要求支付的金额；</w:t>
      </w:r>
    </w:p>
    <w:p>
      <w:pPr>
        <w:adjustRightInd w:val="0"/>
        <w:spacing w:line="360" w:lineRule="auto"/>
        <w:ind w:firstLine="480"/>
        <w:textAlignment w:val="baseline"/>
        <w:rPr>
          <w:color w:val="auto"/>
          <w:sz w:val="21"/>
          <w:szCs w:val="21"/>
          <w:highlight w:val="none"/>
        </w:rPr>
      </w:pPr>
      <w:r>
        <w:rPr>
          <w:rFonts w:hint="eastAsia"/>
          <w:color w:val="auto"/>
          <w:sz w:val="21"/>
          <w:szCs w:val="21"/>
          <w:highlight w:val="none"/>
        </w:rPr>
        <w:t>（3）</w:t>
      </w:r>
      <w:bookmarkStart w:id="1957" w:name="_Hlk40354215"/>
      <w:r>
        <w:rPr>
          <w:rFonts w:hint="eastAsia"/>
          <w:color w:val="auto"/>
          <w:sz w:val="21"/>
          <w:szCs w:val="21"/>
          <w:highlight w:val="none"/>
        </w:rPr>
        <w:t>载明申请人违反招投标文件规定的义务内容和具体条款；</w:t>
      </w:r>
      <w:bookmarkEnd w:id="1957"/>
    </w:p>
    <w:p>
      <w:pPr>
        <w:adjustRightInd w:val="0"/>
        <w:spacing w:line="360" w:lineRule="auto"/>
        <w:ind w:firstLine="480"/>
        <w:textAlignment w:val="baseline"/>
        <w:rPr>
          <w:color w:val="auto"/>
          <w:sz w:val="21"/>
          <w:szCs w:val="21"/>
          <w:highlight w:val="none"/>
        </w:rPr>
      </w:pPr>
      <w:r>
        <w:rPr>
          <w:rFonts w:hint="eastAsia"/>
          <w:color w:val="auto"/>
          <w:sz w:val="21"/>
          <w:szCs w:val="21"/>
          <w:highlight w:val="none"/>
        </w:rPr>
        <w:t>（4）</w:t>
      </w:r>
      <w:bookmarkStart w:id="1958" w:name="_Hlk40354839"/>
      <w:r>
        <w:rPr>
          <w:rFonts w:hint="eastAsia"/>
          <w:color w:val="auto"/>
          <w:sz w:val="21"/>
          <w:szCs w:val="21"/>
          <w:highlight w:val="none"/>
        </w:rPr>
        <w:t>声明不存在招标文件规定或我国法律规定免除申请人或我方支付责任的情形；</w:t>
      </w:r>
      <w:bookmarkEnd w:id="1958"/>
    </w:p>
    <w:p>
      <w:pPr>
        <w:adjustRightInd w:val="0"/>
        <w:spacing w:line="360" w:lineRule="auto"/>
        <w:ind w:firstLine="480"/>
        <w:textAlignment w:val="baseline"/>
        <w:rPr>
          <w:color w:val="auto"/>
          <w:sz w:val="21"/>
          <w:szCs w:val="21"/>
          <w:highlight w:val="none"/>
        </w:rPr>
      </w:pPr>
      <w:r>
        <w:rPr>
          <w:rFonts w:hint="eastAsia"/>
          <w:color w:val="auto"/>
          <w:sz w:val="21"/>
          <w:szCs w:val="21"/>
          <w:highlight w:val="none"/>
        </w:rPr>
        <w:t>（5）书面付款通知应在本保函有效期内到达的地址是：</w:t>
      </w:r>
      <w:r>
        <w:rPr>
          <w:rFonts w:hint="eastAsia"/>
          <w:color w:val="auto"/>
          <w:sz w:val="21"/>
          <w:szCs w:val="21"/>
          <w:highlight w:val="none"/>
          <w:u w:val="single"/>
        </w:rPr>
        <w:t xml:space="preserve"> </w:t>
      </w:r>
      <w:r>
        <w:rPr>
          <w:color w:val="auto"/>
          <w:sz w:val="21"/>
          <w:szCs w:val="21"/>
          <w:highlight w:val="none"/>
          <w:u w:val="single"/>
        </w:rPr>
        <w:t xml:space="preserve">          </w:t>
      </w:r>
      <w:r>
        <w:rPr>
          <w:rFonts w:hint="eastAsia"/>
          <w:color w:val="auto"/>
          <w:sz w:val="21"/>
          <w:szCs w:val="21"/>
          <w:highlight w:val="none"/>
        </w:rPr>
        <w:t>。</w:t>
      </w:r>
    </w:p>
    <w:bookmarkEnd w:id="1956"/>
    <w:p>
      <w:pPr>
        <w:adjustRightInd w:val="0"/>
        <w:spacing w:line="360" w:lineRule="auto"/>
        <w:textAlignment w:val="baseline"/>
        <w:rPr>
          <w:color w:val="auto"/>
          <w:sz w:val="21"/>
          <w:szCs w:val="21"/>
          <w:highlight w:val="none"/>
        </w:rPr>
      </w:pPr>
      <w:r>
        <w:rPr>
          <w:rFonts w:hint="eastAsia"/>
          <w:color w:val="auto"/>
          <w:sz w:val="21"/>
          <w:szCs w:val="21"/>
          <w:highlight w:val="none"/>
        </w:rPr>
        <w:t xml:space="preserve">    </w:t>
      </w:r>
      <w:bookmarkStart w:id="1959" w:name="_Hlk40303486"/>
      <w:r>
        <w:rPr>
          <w:rFonts w:hint="eastAsia"/>
          <w:color w:val="auto"/>
          <w:sz w:val="21"/>
          <w:szCs w:val="21"/>
          <w:highlight w:val="none"/>
        </w:rPr>
        <w:t>受益人发出的书面付款通知应由其为鉴明受益人法定代表人（负责人）或授权代理人签字并加盖公章。</w:t>
      </w:r>
      <w:bookmarkEnd w:id="1959"/>
    </w:p>
    <w:p>
      <w:pPr>
        <w:adjustRightInd w:val="0"/>
        <w:spacing w:line="360" w:lineRule="auto"/>
        <w:ind w:firstLine="420" w:firstLineChars="200"/>
        <w:textAlignment w:val="baseline"/>
        <w:rPr>
          <w:color w:val="auto"/>
          <w:sz w:val="21"/>
          <w:szCs w:val="21"/>
          <w:highlight w:val="none"/>
        </w:rPr>
      </w:pPr>
      <w:r>
        <w:rPr>
          <w:rFonts w:hint="eastAsia"/>
          <w:color w:val="auto"/>
          <w:sz w:val="21"/>
          <w:szCs w:val="21"/>
          <w:highlight w:val="none"/>
        </w:rPr>
        <w:t>五、</w:t>
      </w:r>
      <w:r>
        <w:rPr>
          <w:color w:val="auto"/>
          <w:sz w:val="21"/>
          <w:szCs w:val="21"/>
          <w:highlight w:val="none"/>
        </w:rPr>
        <w:t>本保函项下的权利不得转让，不得设定担保。</w:t>
      </w:r>
      <w:r>
        <w:rPr>
          <w:rFonts w:hint="eastAsia"/>
          <w:color w:val="auto"/>
          <w:sz w:val="21"/>
          <w:szCs w:val="21"/>
          <w:highlight w:val="none"/>
        </w:rPr>
        <w:t>贵方</w:t>
      </w:r>
      <w:r>
        <w:rPr>
          <w:color w:val="auto"/>
          <w:sz w:val="21"/>
          <w:szCs w:val="21"/>
          <w:highlight w:val="none"/>
        </w:rPr>
        <w:t>未经我方书面同意转让本保函或其项下任何权利，</w:t>
      </w:r>
      <w:r>
        <w:rPr>
          <w:rFonts w:hint="eastAsia"/>
          <w:color w:val="auto"/>
          <w:sz w:val="21"/>
          <w:szCs w:val="21"/>
          <w:highlight w:val="none"/>
        </w:rPr>
        <w:t>对我方不发生法律效力</w:t>
      </w:r>
      <w:r>
        <w:rPr>
          <w:color w:val="auto"/>
          <w:sz w:val="21"/>
          <w:szCs w:val="21"/>
          <w:highlight w:val="none"/>
        </w:rPr>
        <w:t xml:space="preserve">。 </w:t>
      </w:r>
    </w:p>
    <w:p>
      <w:pPr>
        <w:adjustRightInd w:val="0"/>
        <w:spacing w:line="360" w:lineRule="auto"/>
        <w:ind w:firstLine="420" w:firstLineChars="200"/>
        <w:textAlignment w:val="baseline"/>
        <w:rPr>
          <w:color w:val="auto"/>
          <w:sz w:val="21"/>
          <w:szCs w:val="21"/>
          <w:highlight w:val="none"/>
        </w:rPr>
      </w:pPr>
      <w:r>
        <w:rPr>
          <w:rFonts w:hint="eastAsia"/>
          <w:color w:val="auto"/>
          <w:sz w:val="21"/>
          <w:szCs w:val="21"/>
          <w:highlight w:val="none"/>
        </w:rPr>
        <w:t>六、</w:t>
      </w:r>
      <w:r>
        <w:rPr>
          <w:color w:val="auto"/>
          <w:sz w:val="21"/>
          <w:szCs w:val="21"/>
          <w:highlight w:val="none"/>
        </w:rPr>
        <w:t xml:space="preserve">本保函项下的基础交易不成立、不生效、无效、被撤销、被解除，不影响本保函的独立有效。 </w:t>
      </w:r>
    </w:p>
    <w:p>
      <w:pPr>
        <w:adjustRightInd w:val="0"/>
        <w:spacing w:line="360" w:lineRule="auto"/>
        <w:ind w:firstLine="420" w:firstLineChars="200"/>
        <w:textAlignment w:val="baseline"/>
        <w:rPr>
          <w:color w:val="auto"/>
          <w:sz w:val="21"/>
          <w:szCs w:val="21"/>
          <w:highlight w:val="none"/>
        </w:rPr>
      </w:pPr>
      <w:r>
        <w:rPr>
          <w:rFonts w:hint="eastAsia"/>
          <w:color w:val="auto"/>
          <w:sz w:val="21"/>
          <w:szCs w:val="21"/>
          <w:highlight w:val="none"/>
        </w:rPr>
        <w:t>七、受益人</w:t>
      </w:r>
      <w:r>
        <w:rPr>
          <w:color w:val="auto"/>
          <w:sz w:val="21"/>
          <w:szCs w:val="21"/>
          <w:highlight w:val="none"/>
        </w:rPr>
        <w:t>应在本保函到期后的</w:t>
      </w:r>
      <w:r>
        <w:rPr>
          <w:rFonts w:hint="eastAsia"/>
          <w:color w:val="auto"/>
          <w:sz w:val="21"/>
          <w:szCs w:val="21"/>
          <w:highlight w:val="none"/>
        </w:rPr>
        <w:t>七</w:t>
      </w:r>
      <w:r>
        <w:rPr>
          <w:color w:val="auto"/>
          <w:sz w:val="21"/>
          <w:szCs w:val="21"/>
          <w:highlight w:val="none"/>
        </w:rPr>
        <w:t>日内将本保函正本退回我方</w:t>
      </w:r>
      <w:r>
        <w:rPr>
          <w:rFonts w:hint="eastAsia"/>
          <w:color w:val="auto"/>
          <w:sz w:val="21"/>
          <w:szCs w:val="21"/>
          <w:highlight w:val="none"/>
        </w:rPr>
        <w:t>注销</w:t>
      </w:r>
      <w:r>
        <w:rPr>
          <w:color w:val="auto"/>
          <w:sz w:val="21"/>
          <w:szCs w:val="21"/>
          <w:highlight w:val="none"/>
        </w:rPr>
        <w:t>，但是不论</w:t>
      </w:r>
      <w:r>
        <w:rPr>
          <w:rFonts w:hint="eastAsia"/>
          <w:color w:val="auto"/>
          <w:sz w:val="21"/>
          <w:szCs w:val="21"/>
          <w:highlight w:val="none"/>
        </w:rPr>
        <w:t>受益人</w:t>
      </w:r>
      <w:r>
        <w:rPr>
          <w:color w:val="auto"/>
          <w:sz w:val="21"/>
          <w:szCs w:val="21"/>
          <w:highlight w:val="none"/>
        </w:rPr>
        <w:t>是否按此要求将本保函正本退回我方，我方在本保函项下的义务和责任均在保函</w:t>
      </w:r>
      <w:r>
        <w:rPr>
          <w:rFonts w:hint="eastAsia"/>
          <w:color w:val="auto"/>
          <w:sz w:val="21"/>
          <w:szCs w:val="21"/>
          <w:highlight w:val="none"/>
        </w:rPr>
        <w:t>有效期</w:t>
      </w:r>
      <w:r>
        <w:rPr>
          <w:color w:val="auto"/>
          <w:sz w:val="21"/>
          <w:szCs w:val="21"/>
          <w:highlight w:val="none"/>
        </w:rPr>
        <w:t xml:space="preserve">到期后自动消灭。 </w:t>
      </w:r>
    </w:p>
    <w:p>
      <w:pPr>
        <w:adjustRightInd w:val="0"/>
        <w:spacing w:line="360" w:lineRule="auto"/>
        <w:ind w:firstLine="420" w:firstLineChars="200"/>
        <w:textAlignment w:val="baseline"/>
        <w:rPr>
          <w:color w:val="auto"/>
          <w:sz w:val="21"/>
          <w:szCs w:val="21"/>
          <w:highlight w:val="none"/>
        </w:rPr>
      </w:pPr>
      <w:bookmarkStart w:id="1960" w:name="_Hlk40303383"/>
      <w:bookmarkStart w:id="1961" w:name="_Hlk40354981"/>
      <w:r>
        <w:rPr>
          <w:rFonts w:hint="eastAsia"/>
          <w:color w:val="auto"/>
          <w:sz w:val="21"/>
          <w:szCs w:val="21"/>
          <w:highlight w:val="none"/>
        </w:rPr>
        <w:t>八、</w:t>
      </w:r>
      <w:r>
        <w:rPr>
          <w:color w:val="auto"/>
          <w:sz w:val="21"/>
          <w:szCs w:val="21"/>
          <w:highlight w:val="none"/>
        </w:rPr>
        <w:t>本保函</w:t>
      </w:r>
      <w:r>
        <w:rPr>
          <w:rFonts w:hint="eastAsia"/>
          <w:color w:val="auto"/>
          <w:sz w:val="21"/>
          <w:szCs w:val="21"/>
          <w:highlight w:val="none"/>
        </w:rPr>
        <w:t>适</w:t>
      </w:r>
      <w:r>
        <w:rPr>
          <w:rFonts w:hint="eastAsia"/>
          <w:color w:val="auto"/>
          <w:spacing w:val="6"/>
          <w:sz w:val="21"/>
          <w:szCs w:val="21"/>
          <w:highlight w:val="none"/>
        </w:rPr>
        <w:t>用的法律为中华人民共和国法律，对本保函存在争议的，按下列</w:t>
      </w:r>
      <w:r>
        <w:rPr>
          <w:rFonts w:hint="eastAsia"/>
          <w:color w:val="auto"/>
          <w:sz w:val="21"/>
          <w:szCs w:val="21"/>
          <w:highlight w:val="none"/>
        </w:rPr>
        <w:t>第</w:t>
      </w:r>
      <w:r>
        <w:rPr>
          <w:rFonts w:hint="eastAsia"/>
          <w:color w:val="auto"/>
          <w:sz w:val="21"/>
          <w:szCs w:val="21"/>
          <w:highlight w:val="none"/>
          <w:u w:val="single"/>
        </w:rPr>
        <w:t xml:space="preserve">         </w:t>
      </w:r>
      <w:r>
        <w:rPr>
          <w:rFonts w:hint="eastAsia"/>
          <w:color w:val="auto"/>
          <w:sz w:val="21"/>
          <w:szCs w:val="21"/>
          <w:highlight w:val="none"/>
        </w:rPr>
        <w:t>种方式解决。</w:t>
      </w:r>
      <w:bookmarkEnd w:id="1960"/>
    </w:p>
    <w:p>
      <w:pPr>
        <w:widowControl/>
        <w:tabs>
          <w:tab w:val="left" w:pos="0"/>
          <w:tab w:val="left" w:pos="993"/>
          <w:tab w:val="left" w:pos="1134"/>
        </w:tabs>
        <w:spacing w:line="360" w:lineRule="auto"/>
        <w:ind w:firstLine="420" w:firstLineChars="200"/>
        <w:rPr>
          <w:rFonts w:hAnsi="Times New Roman"/>
          <w:color w:val="auto"/>
          <w:sz w:val="21"/>
          <w:szCs w:val="21"/>
          <w:highlight w:val="none"/>
        </w:rPr>
      </w:pPr>
      <w:r>
        <w:rPr>
          <w:rFonts w:hint="eastAsia" w:hAnsi="Times New Roman"/>
          <w:color w:val="auto"/>
          <w:sz w:val="21"/>
          <w:szCs w:val="21"/>
          <w:highlight w:val="none"/>
        </w:rPr>
        <w:t>（1）向本工程所在地的人民法院提起诉讼。</w:t>
      </w:r>
    </w:p>
    <w:p>
      <w:pPr>
        <w:widowControl/>
        <w:tabs>
          <w:tab w:val="left" w:pos="0"/>
          <w:tab w:val="left" w:pos="993"/>
          <w:tab w:val="left" w:pos="1134"/>
        </w:tabs>
        <w:spacing w:line="360" w:lineRule="auto"/>
        <w:ind w:firstLine="420" w:firstLineChars="200"/>
        <w:rPr>
          <w:rFonts w:hAnsi="Times New Roman"/>
          <w:color w:val="auto"/>
          <w:sz w:val="21"/>
          <w:szCs w:val="21"/>
          <w:highlight w:val="none"/>
        </w:rPr>
      </w:pPr>
      <w:r>
        <w:rPr>
          <w:rFonts w:hint="eastAsia" w:hAnsi="Times New Roman"/>
          <w:color w:val="auto"/>
          <w:sz w:val="21"/>
          <w:szCs w:val="21"/>
          <w:highlight w:val="none"/>
        </w:rPr>
        <w:t>（2）向</w:t>
      </w:r>
      <w:r>
        <w:rPr>
          <w:rFonts w:hint="eastAsia" w:hAnsi="Times New Roman"/>
          <w:color w:val="auto"/>
          <w:sz w:val="21"/>
          <w:szCs w:val="21"/>
          <w:highlight w:val="none"/>
          <w:u w:val="single"/>
        </w:rPr>
        <w:t xml:space="preserve">      </w:t>
      </w:r>
      <w:r>
        <w:rPr>
          <w:rFonts w:hint="eastAsia" w:hAnsi="Times New Roman"/>
          <w:color w:val="auto"/>
          <w:sz w:val="21"/>
          <w:szCs w:val="21"/>
          <w:highlight w:val="none"/>
        </w:rPr>
        <w:t>仲裁委员会申请仲裁。</w:t>
      </w:r>
    </w:p>
    <w:bookmarkEnd w:id="1961"/>
    <w:p>
      <w:pPr>
        <w:adjustRightInd w:val="0"/>
        <w:spacing w:line="360" w:lineRule="auto"/>
        <w:ind w:firstLine="420" w:firstLineChars="200"/>
        <w:textAlignment w:val="baseline"/>
        <w:rPr>
          <w:color w:val="auto"/>
          <w:sz w:val="21"/>
          <w:szCs w:val="21"/>
          <w:highlight w:val="none"/>
        </w:rPr>
      </w:pPr>
      <w:r>
        <w:rPr>
          <w:rFonts w:hint="eastAsia"/>
          <w:color w:val="auto"/>
          <w:sz w:val="21"/>
          <w:szCs w:val="21"/>
          <w:highlight w:val="none"/>
        </w:rPr>
        <w:t>九、</w:t>
      </w:r>
      <w:r>
        <w:rPr>
          <w:color w:val="auto"/>
          <w:sz w:val="21"/>
          <w:szCs w:val="21"/>
          <w:highlight w:val="none"/>
        </w:rPr>
        <w:t>本保函自我方法定代表人</w:t>
      </w:r>
      <w:r>
        <w:rPr>
          <w:rFonts w:hint="eastAsia"/>
          <w:color w:val="auto"/>
          <w:sz w:val="21"/>
          <w:szCs w:val="21"/>
          <w:highlight w:val="none"/>
        </w:rPr>
        <w:t>或授权代表</w:t>
      </w:r>
      <w:r>
        <w:rPr>
          <w:color w:val="auto"/>
          <w:sz w:val="21"/>
          <w:szCs w:val="21"/>
          <w:highlight w:val="none"/>
        </w:rPr>
        <w:t>签字</w:t>
      </w:r>
      <w:r>
        <w:rPr>
          <w:rFonts w:hint="eastAsia"/>
          <w:color w:val="auto"/>
          <w:sz w:val="21"/>
          <w:szCs w:val="21"/>
          <w:highlight w:val="none"/>
        </w:rPr>
        <w:t>并</w:t>
      </w:r>
      <w:r>
        <w:rPr>
          <w:color w:val="auto"/>
          <w:sz w:val="21"/>
          <w:szCs w:val="21"/>
          <w:highlight w:val="none"/>
        </w:rPr>
        <w:t xml:space="preserve">加盖公章之日起生效。 </w:t>
      </w:r>
    </w:p>
    <w:p>
      <w:pPr>
        <w:adjustRightInd w:val="0"/>
        <w:spacing w:line="360" w:lineRule="auto"/>
        <w:ind w:firstLine="420" w:firstLineChars="200"/>
        <w:textAlignment w:val="baseline"/>
        <w:rPr>
          <w:rFonts w:cs="宋体"/>
          <w:color w:val="auto"/>
          <w:sz w:val="21"/>
          <w:szCs w:val="21"/>
          <w:highlight w:val="none"/>
        </w:rPr>
      </w:pPr>
    </w:p>
    <w:p>
      <w:pPr>
        <w:adjustRightInd w:val="0"/>
        <w:spacing w:line="360" w:lineRule="auto"/>
        <w:ind w:firstLine="420" w:firstLineChars="200"/>
        <w:textAlignment w:val="baseline"/>
        <w:rPr>
          <w:rFonts w:cs="宋体"/>
          <w:color w:val="auto"/>
          <w:sz w:val="21"/>
          <w:szCs w:val="21"/>
          <w:highlight w:val="none"/>
          <w:u w:val="single"/>
        </w:rPr>
      </w:pPr>
      <w:r>
        <w:rPr>
          <w:rFonts w:hint="eastAsia" w:cs="宋体"/>
          <w:color w:val="auto"/>
          <w:sz w:val="21"/>
          <w:szCs w:val="21"/>
          <w:highlight w:val="none"/>
        </w:rPr>
        <w:t>查验保函网址：</w:t>
      </w:r>
      <w:r>
        <w:rPr>
          <w:rFonts w:hint="eastAsia" w:cs="宋体"/>
          <w:color w:val="auto"/>
          <w:sz w:val="21"/>
          <w:szCs w:val="21"/>
          <w:highlight w:val="none"/>
          <w:u w:val="single"/>
        </w:rPr>
        <w:t xml:space="preserve">            （必填）</w:t>
      </w:r>
    </w:p>
    <w:p>
      <w:pPr>
        <w:widowControl/>
        <w:tabs>
          <w:tab w:val="left" w:pos="0"/>
          <w:tab w:val="left" w:pos="993"/>
          <w:tab w:val="left" w:pos="1134"/>
        </w:tabs>
        <w:spacing w:line="360" w:lineRule="auto"/>
        <w:ind w:firstLine="420" w:firstLineChars="200"/>
        <w:rPr>
          <w:rFonts w:hAnsi="Times New Roman"/>
          <w:color w:val="auto"/>
          <w:sz w:val="21"/>
          <w:szCs w:val="21"/>
          <w:highlight w:val="none"/>
        </w:rPr>
      </w:pPr>
    </w:p>
    <w:p>
      <w:pPr>
        <w:adjustRightInd w:val="0"/>
        <w:spacing w:line="360" w:lineRule="auto"/>
        <w:ind w:firstLine="420" w:firstLineChars="200"/>
        <w:textAlignment w:val="baseline"/>
        <w:rPr>
          <w:color w:val="auto"/>
          <w:sz w:val="21"/>
          <w:szCs w:val="21"/>
          <w:highlight w:val="none"/>
        </w:rPr>
      </w:pPr>
      <w:r>
        <w:rPr>
          <w:rFonts w:hint="eastAsia"/>
          <w:color w:val="auto"/>
          <w:sz w:val="21"/>
          <w:szCs w:val="21"/>
          <w:highlight w:val="none"/>
        </w:rPr>
        <w:t>开 立 人</w:t>
      </w:r>
      <w:r>
        <w:rPr>
          <w:color w:val="auto"/>
          <w:sz w:val="21"/>
          <w:szCs w:val="21"/>
          <w:highlight w:val="none"/>
        </w:rPr>
        <w:t xml:space="preserve">：                 </w:t>
      </w:r>
      <w:r>
        <w:rPr>
          <w:rFonts w:hint="eastAsia"/>
          <w:color w:val="auto"/>
          <w:sz w:val="21"/>
          <w:szCs w:val="21"/>
          <w:highlight w:val="none"/>
        </w:rPr>
        <w:t xml:space="preserve">               </w:t>
      </w:r>
      <w:r>
        <w:rPr>
          <w:color w:val="auto"/>
          <w:sz w:val="21"/>
          <w:szCs w:val="21"/>
          <w:highlight w:val="none"/>
        </w:rPr>
        <w:t>（</w:t>
      </w:r>
      <w:r>
        <w:rPr>
          <w:rFonts w:hint="eastAsia"/>
          <w:color w:val="auto"/>
          <w:sz w:val="21"/>
          <w:szCs w:val="21"/>
          <w:highlight w:val="none"/>
        </w:rPr>
        <w:t>公章</w:t>
      </w:r>
      <w:r>
        <w:rPr>
          <w:color w:val="auto"/>
          <w:sz w:val="21"/>
          <w:szCs w:val="21"/>
          <w:highlight w:val="none"/>
        </w:rPr>
        <w:t xml:space="preserve">） </w:t>
      </w:r>
    </w:p>
    <w:p>
      <w:pPr>
        <w:adjustRightInd w:val="0"/>
        <w:spacing w:line="360" w:lineRule="auto"/>
        <w:ind w:firstLine="420" w:firstLineChars="200"/>
        <w:textAlignment w:val="baseline"/>
        <w:rPr>
          <w:color w:val="auto"/>
          <w:sz w:val="21"/>
          <w:szCs w:val="21"/>
          <w:highlight w:val="none"/>
        </w:rPr>
      </w:pPr>
      <w:r>
        <w:rPr>
          <w:rFonts w:hint="eastAsia"/>
          <w:color w:val="auto"/>
          <w:sz w:val="21"/>
          <w:szCs w:val="21"/>
          <w:highlight w:val="none"/>
        </w:rPr>
        <w:t>法定代表人（或授权代表） ：</w:t>
      </w:r>
      <w:r>
        <w:rPr>
          <w:color w:val="auto"/>
          <w:sz w:val="21"/>
          <w:szCs w:val="21"/>
          <w:highlight w:val="none"/>
        </w:rPr>
        <w:t xml:space="preserve">               （签字） </w:t>
      </w:r>
    </w:p>
    <w:p>
      <w:pPr>
        <w:adjustRightInd w:val="0"/>
        <w:spacing w:line="360" w:lineRule="auto"/>
        <w:ind w:firstLine="420" w:firstLineChars="200"/>
        <w:textAlignment w:val="baseline"/>
        <w:rPr>
          <w:color w:val="auto"/>
          <w:sz w:val="21"/>
          <w:szCs w:val="21"/>
          <w:highlight w:val="none"/>
        </w:rPr>
      </w:pPr>
      <w:r>
        <w:rPr>
          <w:rFonts w:hint="eastAsia"/>
          <w:color w:val="auto"/>
          <w:sz w:val="21"/>
          <w:szCs w:val="21"/>
          <w:highlight w:val="none"/>
        </w:rPr>
        <w:t>地</w:t>
      </w:r>
      <w:r>
        <w:rPr>
          <w:color w:val="auto"/>
          <w:sz w:val="21"/>
          <w:szCs w:val="21"/>
          <w:highlight w:val="none"/>
        </w:rPr>
        <w:t xml:space="preserve">    址：                                       </w:t>
      </w:r>
    </w:p>
    <w:p>
      <w:pPr>
        <w:adjustRightInd w:val="0"/>
        <w:spacing w:line="360" w:lineRule="auto"/>
        <w:ind w:firstLine="420" w:firstLineChars="200"/>
        <w:textAlignment w:val="baseline"/>
        <w:rPr>
          <w:color w:val="auto"/>
          <w:sz w:val="21"/>
          <w:szCs w:val="21"/>
          <w:highlight w:val="none"/>
        </w:rPr>
      </w:pPr>
      <w:r>
        <w:rPr>
          <w:rFonts w:hint="eastAsia"/>
          <w:color w:val="auto"/>
          <w:sz w:val="21"/>
          <w:szCs w:val="21"/>
          <w:highlight w:val="none"/>
        </w:rPr>
        <w:t>邮政编码：</w:t>
      </w:r>
      <w:r>
        <w:rPr>
          <w:color w:val="auto"/>
          <w:sz w:val="21"/>
          <w:szCs w:val="21"/>
          <w:highlight w:val="none"/>
        </w:rPr>
        <w:t xml:space="preserve">                 </w:t>
      </w:r>
    </w:p>
    <w:p>
      <w:pPr>
        <w:adjustRightInd w:val="0"/>
        <w:spacing w:line="360" w:lineRule="auto"/>
        <w:ind w:firstLine="420" w:firstLineChars="200"/>
        <w:textAlignment w:val="baseline"/>
        <w:rPr>
          <w:color w:val="auto"/>
          <w:sz w:val="21"/>
          <w:szCs w:val="21"/>
          <w:highlight w:val="none"/>
        </w:rPr>
      </w:pPr>
      <w:r>
        <w:rPr>
          <w:rFonts w:hint="eastAsia"/>
          <w:color w:val="auto"/>
          <w:sz w:val="21"/>
          <w:szCs w:val="21"/>
          <w:highlight w:val="none"/>
        </w:rPr>
        <w:t>电</w:t>
      </w:r>
      <w:r>
        <w:rPr>
          <w:color w:val="auto"/>
          <w:sz w:val="21"/>
          <w:szCs w:val="21"/>
          <w:highlight w:val="none"/>
        </w:rPr>
        <w:t xml:space="preserve">    话：                 </w:t>
      </w:r>
    </w:p>
    <w:p>
      <w:pPr>
        <w:adjustRightInd w:val="0"/>
        <w:spacing w:line="360" w:lineRule="auto"/>
        <w:ind w:firstLine="420" w:firstLineChars="200"/>
        <w:textAlignment w:val="baseline"/>
        <w:rPr>
          <w:color w:val="auto"/>
          <w:sz w:val="21"/>
          <w:szCs w:val="21"/>
          <w:highlight w:val="none"/>
        </w:rPr>
      </w:pPr>
      <w:r>
        <w:rPr>
          <w:rFonts w:hint="eastAsia"/>
          <w:color w:val="auto"/>
          <w:sz w:val="21"/>
          <w:szCs w:val="21"/>
          <w:highlight w:val="none"/>
        </w:rPr>
        <w:t>传</w:t>
      </w:r>
      <w:r>
        <w:rPr>
          <w:color w:val="auto"/>
          <w:sz w:val="21"/>
          <w:szCs w:val="21"/>
          <w:highlight w:val="none"/>
        </w:rPr>
        <w:t xml:space="preserve">    真：                 </w:t>
      </w:r>
    </w:p>
    <w:p>
      <w:pPr>
        <w:spacing w:line="360" w:lineRule="auto"/>
        <w:jc w:val="center"/>
        <w:rPr>
          <w:rFonts w:cs="宋体"/>
          <w:b/>
          <w:color w:val="auto"/>
          <w:sz w:val="21"/>
          <w:szCs w:val="21"/>
          <w:highlight w:val="none"/>
        </w:rPr>
      </w:pPr>
      <w:r>
        <w:rPr>
          <w:rFonts w:hint="eastAsia"/>
          <w:color w:val="auto"/>
          <w:sz w:val="21"/>
          <w:szCs w:val="21"/>
          <w:highlight w:val="none"/>
        </w:rPr>
        <w:t>开立时间：</w:t>
      </w:r>
      <w:r>
        <w:rPr>
          <w:color w:val="auto"/>
          <w:sz w:val="21"/>
          <w:szCs w:val="21"/>
          <w:highlight w:val="none"/>
        </w:rPr>
        <w:t xml:space="preserve">      年      月   </w:t>
      </w:r>
      <w:r>
        <w:rPr>
          <w:rFonts w:hint="eastAsia"/>
          <w:color w:val="auto"/>
          <w:sz w:val="21"/>
          <w:szCs w:val="21"/>
          <w:highlight w:val="none"/>
        </w:rPr>
        <w:t>日</w:t>
      </w:r>
      <w:r>
        <w:rPr>
          <w:rFonts w:hint="eastAsia" w:ascii="黑体" w:hAnsi="Times New Roman" w:eastAsia="黑体"/>
          <w:color w:val="auto"/>
          <w:sz w:val="21"/>
          <w:szCs w:val="21"/>
          <w:highlight w:val="none"/>
        </w:rPr>
        <w:t xml:space="preserve"> </w:t>
      </w:r>
    </w:p>
    <w:p>
      <w:pPr>
        <w:spacing w:line="360" w:lineRule="auto"/>
        <w:jc w:val="center"/>
        <w:rPr>
          <w:rFonts w:hAnsi="Times New Roman"/>
          <w:color w:val="auto"/>
          <w:sz w:val="21"/>
          <w:szCs w:val="21"/>
          <w:highlight w:val="none"/>
        </w:rPr>
      </w:pPr>
      <w:r>
        <w:rPr>
          <w:rFonts w:hAnsi="Times New Roman"/>
          <w:color w:val="auto"/>
          <w:sz w:val="21"/>
          <w:szCs w:val="21"/>
          <w:highlight w:val="none"/>
        </w:rPr>
        <w:t xml:space="preserve"> </w:t>
      </w:r>
    </w:p>
    <w:p>
      <w:pPr>
        <w:adjustRightInd w:val="0"/>
        <w:spacing w:line="360" w:lineRule="auto"/>
        <w:jc w:val="right"/>
        <w:textAlignment w:val="baseline"/>
        <w:rPr>
          <w:rFonts w:hAnsi="Times New Roman"/>
          <w:color w:val="auto"/>
          <w:sz w:val="24"/>
          <w:highlight w:val="none"/>
        </w:rPr>
      </w:pPr>
    </w:p>
    <w:p>
      <w:pPr>
        <w:adjustRightInd w:val="0"/>
        <w:spacing w:line="360" w:lineRule="atLeast"/>
        <w:textAlignment w:val="baseline"/>
        <w:rPr>
          <w:rFonts w:ascii="Times New Roman" w:hAnsi="Times New Roman"/>
          <w:color w:val="auto"/>
          <w:sz w:val="20"/>
          <w:highlight w:val="none"/>
        </w:rPr>
      </w:pPr>
    </w:p>
    <w:p>
      <w:pPr>
        <w:rPr>
          <w:rFonts w:ascii="瀹嬩綋" w:hAnsi="Times New Roman" w:eastAsia="瀹嬩綋" w:cs="瀹嬩綋"/>
          <w:color w:val="auto"/>
          <w:sz w:val="21"/>
          <w:szCs w:val="21"/>
          <w:highlight w:val="none"/>
        </w:rPr>
      </w:pPr>
      <w:r>
        <w:rPr>
          <w:rFonts w:hint="eastAsia" w:hAnsi="Times New Roman"/>
          <w:b/>
          <w:bCs/>
          <w:color w:val="auto"/>
          <w:sz w:val="24"/>
          <w:szCs w:val="32"/>
          <w:highlight w:val="none"/>
        </w:rPr>
        <w:br w:type="page"/>
      </w:r>
    </w:p>
    <w:p>
      <w:pPr>
        <w:pStyle w:val="59"/>
        <w:ind w:left="0" w:firstLine="0"/>
        <w:jc w:val="left"/>
        <w:rPr>
          <w:rFonts w:ascii="黑体" w:hAnsi="黑体" w:eastAsia="黑体"/>
          <w:color w:val="auto"/>
          <w:highlight w:val="none"/>
        </w:rPr>
      </w:pPr>
      <w:r>
        <w:rPr>
          <w:rFonts w:hint="eastAsia" w:ascii="黑体" w:hAnsi="黑体" w:eastAsia="黑体"/>
          <w:color w:val="auto"/>
          <w:highlight w:val="none"/>
        </w:rPr>
        <w:t>2.免缴投标保证金承诺函</w:t>
      </w:r>
    </w:p>
    <w:p>
      <w:pPr>
        <w:adjustRightInd w:val="0"/>
        <w:spacing w:line="360" w:lineRule="auto"/>
        <w:jc w:val="center"/>
        <w:textAlignment w:val="baseline"/>
        <w:rPr>
          <w:rFonts w:ascii="黑体" w:hAnsi="黑体" w:eastAsia="黑体"/>
          <w:color w:val="auto"/>
          <w:kern w:val="1"/>
          <w:sz w:val="21"/>
          <w:szCs w:val="24"/>
          <w:highlight w:val="none"/>
        </w:rPr>
      </w:pPr>
      <w:r>
        <w:rPr>
          <w:rFonts w:hint="eastAsia" w:ascii="黑体" w:hAnsi="黑体" w:eastAsia="黑体"/>
          <w:color w:val="auto"/>
          <w:kern w:val="1"/>
          <w:sz w:val="21"/>
          <w:szCs w:val="24"/>
          <w:highlight w:val="none"/>
        </w:rPr>
        <w:t>免缴投标保证金承诺函</w:t>
      </w:r>
    </w:p>
    <w:p>
      <w:pPr>
        <w:widowControl/>
        <w:adjustRightInd w:val="0"/>
        <w:spacing w:line="360" w:lineRule="auto"/>
        <w:jc w:val="left"/>
        <w:textAlignment w:val="bottom"/>
        <w:rPr>
          <w:rFonts w:cs="宋体"/>
          <w:color w:val="auto"/>
          <w:kern w:val="2"/>
          <w:sz w:val="21"/>
          <w:szCs w:val="21"/>
          <w:highlight w:val="none"/>
        </w:rPr>
      </w:pPr>
      <w:r>
        <w:rPr>
          <w:rFonts w:hint="eastAsia" w:cs="宋体"/>
          <w:color w:val="auto"/>
          <w:kern w:val="2"/>
          <w:sz w:val="21"/>
          <w:szCs w:val="21"/>
          <w:highlight w:val="none"/>
          <w:u w:val="single"/>
        </w:rPr>
        <w:t xml:space="preserve">                         （招标人名称）</w:t>
      </w:r>
      <w:r>
        <w:rPr>
          <w:rFonts w:hint="eastAsia" w:cs="宋体"/>
          <w:color w:val="auto"/>
          <w:kern w:val="2"/>
          <w:sz w:val="21"/>
          <w:szCs w:val="21"/>
          <w:highlight w:val="none"/>
        </w:rPr>
        <w:t>：</w:t>
      </w:r>
    </w:p>
    <w:p>
      <w:pPr>
        <w:widowControl/>
        <w:adjustRightInd w:val="0"/>
        <w:spacing w:line="360" w:lineRule="auto"/>
        <w:ind w:firstLine="480"/>
        <w:jc w:val="left"/>
        <w:textAlignment w:val="bottom"/>
        <w:rPr>
          <w:color w:val="auto"/>
          <w:kern w:val="2"/>
          <w:sz w:val="21"/>
          <w:szCs w:val="21"/>
          <w:highlight w:val="none"/>
        </w:rPr>
      </w:pPr>
      <w:r>
        <w:rPr>
          <w:rFonts w:hint="eastAsia" w:cs="宋体"/>
          <w:color w:val="auto"/>
          <w:kern w:val="2"/>
          <w:sz w:val="21"/>
          <w:szCs w:val="21"/>
          <w:highlight w:val="none"/>
        </w:rPr>
        <w:t>我司参加</w:t>
      </w:r>
      <w:r>
        <w:rPr>
          <w:rFonts w:hint="eastAsia" w:cs="宋体"/>
          <w:color w:val="auto"/>
          <w:kern w:val="2"/>
          <w:sz w:val="21"/>
          <w:szCs w:val="21"/>
          <w:highlight w:val="none"/>
          <w:u w:val="single"/>
        </w:rPr>
        <w:t xml:space="preserve">                        （招标项目名称及标段）   </w:t>
      </w:r>
      <w:r>
        <w:rPr>
          <w:rFonts w:hint="eastAsia" w:cs="宋体"/>
          <w:color w:val="auto"/>
          <w:kern w:val="2"/>
          <w:sz w:val="21"/>
          <w:szCs w:val="21"/>
          <w:highlight w:val="none"/>
        </w:rPr>
        <w:t>投标活动，符合招标文件规定的允许免缴投标保证金第</w:t>
      </w:r>
      <w:r>
        <w:rPr>
          <w:rFonts w:hint="eastAsia" w:cs="宋体"/>
          <w:color w:val="auto"/>
          <w:kern w:val="2"/>
          <w:sz w:val="21"/>
          <w:szCs w:val="21"/>
          <w:highlight w:val="none"/>
          <w:u w:val="single"/>
        </w:rPr>
        <w:t xml:space="preserve">         </w:t>
      </w:r>
      <w:r>
        <w:rPr>
          <w:rFonts w:hint="eastAsia" w:cs="宋体"/>
          <w:color w:val="auto"/>
          <w:kern w:val="2"/>
          <w:sz w:val="21"/>
          <w:szCs w:val="21"/>
          <w:highlight w:val="none"/>
        </w:rPr>
        <w:t>种情形，现免缴投标保证金参与投标。我司承诺按照招</w:t>
      </w:r>
      <w:r>
        <w:rPr>
          <w:rFonts w:hint="eastAsia"/>
          <w:color w:val="auto"/>
          <w:kern w:val="2"/>
          <w:sz w:val="21"/>
          <w:szCs w:val="21"/>
          <w:highlight w:val="none"/>
        </w:rPr>
        <w:t>标文件要求依法履行投标人义务。若我司存在下列任何一种事实的，收到你方书面通知，我司在7日内无条件地向你方全额付清本招标文件规定的投标保证金金额。</w:t>
      </w:r>
    </w:p>
    <w:p>
      <w:pPr>
        <w:spacing w:line="360" w:lineRule="auto"/>
        <w:ind w:left="480"/>
        <w:rPr>
          <w:color w:val="auto"/>
          <w:kern w:val="2"/>
          <w:sz w:val="21"/>
          <w:szCs w:val="21"/>
          <w:highlight w:val="none"/>
        </w:rPr>
      </w:pPr>
      <w:r>
        <w:rPr>
          <w:rFonts w:hint="eastAsia"/>
          <w:color w:val="auto"/>
          <w:kern w:val="2"/>
          <w:sz w:val="21"/>
          <w:szCs w:val="21"/>
          <w:highlight w:val="none"/>
        </w:rPr>
        <w:t>（1）投标人在投标有效期内撤销其投标文件。</w:t>
      </w:r>
      <w:r>
        <w:rPr>
          <w:color w:val="auto"/>
          <w:kern w:val="2"/>
          <w:sz w:val="21"/>
          <w:szCs w:val="21"/>
          <w:highlight w:val="none"/>
        </w:rPr>
        <w:t xml:space="preserve"> </w:t>
      </w:r>
    </w:p>
    <w:p>
      <w:pPr>
        <w:spacing w:line="360" w:lineRule="auto"/>
        <w:ind w:firstLine="480"/>
        <w:rPr>
          <w:color w:val="auto"/>
          <w:kern w:val="2"/>
          <w:sz w:val="21"/>
          <w:szCs w:val="21"/>
          <w:highlight w:val="none"/>
        </w:rPr>
      </w:pPr>
      <w:r>
        <w:rPr>
          <w:rFonts w:hint="eastAsia"/>
          <w:color w:val="auto"/>
          <w:kern w:val="2"/>
          <w:sz w:val="21"/>
          <w:szCs w:val="21"/>
          <w:highlight w:val="none"/>
        </w:rPr>
        <w:t>（2）中标人无正当理由不与招标人订立合同，在签订合同时向贵方提出附加条件，或者不按照招标文件要求提交履约保证金。</w:t>
      </w:r>
      <w:r>
        <w:rPr>
          <w:color w:val="auto"/>
          <w:kern w:val="2"/>
          <w:sz w:val="21"/>
          <w:szCs w:val="21"/>
          <w:highlight w:val="none"/>
        </w:rPr>
        <w:t xml:space="preserve"> </w:t>
      </w:r>
    </w:p>
    <w:p>
      <w:pPr>
        <w:tabs>
          <w:tab w:val="left" w:pos="800"/>
          <w:tab w:val="left" w:pos="1134"/>
        </w:tabs>
        <w:spacing w:line="360" w:lineRule="auto"/>
        <w:ind w:left="-340" w:leftChars="-100" w:firstLine="735" w:firstLineChars="350"/>
        <w:rPr>
          <w:color w:val="auto"/>
          <w:kern w:val="2"/>
          <w:sz w:val="21"/>
          <w:szCs w:val="21"/>
          <w:highlight w:val="none"/>
        </w:rPr>
      </w:pPr>
      <w:r>
        <w:rPr>
          <w:rFonts w:hint="eastAsia"/>
          <w:color w:val="auto"/>
          <w:kern w:val="2"/>
          <w:sz w:val="21"/>
          <w:szCs w:val="21"/>
          <w:highlight w:val="none"/>
        </w:rPr>
        <w:t>（3）投标人的投标文件存在投标人须知第3.6.4项规定的雷同情形之一；</w:t>
      </w:r>
    </w:p>
    <w:p>
      <w:pPr>
        <w:tabs>
          <w:tab w:val="left" w:pos="800"/>
          <w:tab w:val="left" w:pos="1134"/>
        </w:tabs>
        <w:spacing w:line="360" w:lineRule="auto"/>
        <w:ind w:left="-340" w:leftChars="-100" w:firstLine="735" w:firstLineChars="350"/>
        <w:rPr>
          <w:color w:val="auto"/>
          <w:kern w:val="2"/>
          <w:sz w:val="21"/>
          <w:szCs w:val="21"/>
          <w:highlight w:val="none"/>
        </w:rPr>
      </w:pPr>
      <w:r>
        <w:rPr>
          <w:rFonts w:hint="eastAsia"/>
          <w:color w:val="auto"/>
          <w:kern w:val="2"/>
          <w:sz w:val="21"/>
          <w:szCs w:val="21"/>
          <w:highlight w:val="none"/>
        </w:rPr>
        <w:t>（4）因中标人的违法行为导致中标被依法确认无效；</w:t>
      </w:r>
    </w:p>
    <w:p>
      <w:pPr>
        <w:spacing w:line="360" w:lineRule="auto"/>
        <w:ind w:firstLine="420" w:firstLineChars="200"/>
        <w:rPr>
          <w:color w:val="auto"/>
          <w:kern w:val="2"/>
          <w:sz w:val="21"/>
          <w:szCs w:val="21"/>
          <w:highlight w:val="none"/>
        </w:rPr>
      </w:pPr>
      <w:r>
        <w:rPr>
          <w:rFonts w:hint="eastAsia"/>
          <w:color w:val="auto"/>
          <w:kern w:val="2"/>
          <w:sz w:val="21"/>
          <w:szCs w:val="21"/>
          <w:highlight w:val="none"/>
        </w:rPr>
        <w:t>（5）法律、法规规定的其他情形。</w:t>
      </w:r>
    </w:p>
    <w:p>
      <w:pPr>
        <w:adjustRightInd w:val="0"/>
        <w:spacing w:line="360" w:lineRule="auto"/>
        <w:textAlignment w:val="baseline"/>
        <w:rPr>
          <w:rFonts w:cs="宋体"/>
          <w:b/>
          <w:bCs/>
          <w:color w:val="auto"/>
          <w:sz w:val="21"/>
          <w:szCs w:val="21"/>
          <w:highlight w:val="none"/>
        </w:rPr>
      </w:pPr>
    </w:p>
    <w:p>
      <w:pPr>
        <w:widowControl/>
        <w:tabs>
          <w:tab w:val="left" w:pos="0"/>
          <w:tab w:val="left" w:pos="993"/>
          <w:tab w:val="left" w:pos="1134"/>
        </w:tabs>
        <w:spacing w:line="360" w:lineRule="auto"/>
        <w:ind w:firstLine="422" w:firstLineChars="200"/>
        <w:rPr>
          <w:rFonts w:cs="宋体"/>
          <w:b/>
          <w:bCs/>
          <w:color w:val="auto"/>
          <w:sz w:val="21"/>
          <w:szCs w:val="21"/>
          <w:highlight w:val="none"/>
        </w:rPr>
      </w:pPr>
    </w:p>
    <w:p>
      <w:pPr>
        <w:widowControl/>
        <w:tabs>
          <w:tab w:val="left" w:pos="0"/>
          <w:tab w:val="left" w:pos="993"/>
          <w:tab w:val="left" w:pos="1134"/>
        </w:tabs>
        <w:spacing w:line="360" w:lineRule="auto"/>
        <w:ind w:firstLine="422" w:firstLineChars="200"/>
        <w:rPr>
          <w:rFonts w:cs="宋体"/>
          <w:b/>
          <w:bCs/>
          <w:color w:val="auto"/>
          <w:sz w:val="21"/>
          <w:szCs w:val="21"/>
          <w:highlight w:val="none"/>
        </w:rPr>
      </w:pPr>
    </w:p>
    <w:p>
      <w:pPr>
        <w:adjustRightInd w:val="0"/>
        <w:spacing w:line="360" w:lineRule="auto"/>
        <w:ind w:firstLine="210" w:firstLineChars="100"/>
        <w:jc w:val="right"/>
        <w:textAlignment w:val="baseline"/>
        <w:rPr>
          <w:rFonts w:cs="宋体"/>
          <w:color w:val="auto"/>
          <w:sz w:val="21"/>
          <w:szCs w:val="21"/>
          <w:highlight w:val="none"/>
        </w:rPr>
      </w:pPr>
      <w:r>
        <w:rPr>
          <w:rFonts w:hint="eastAsia" w:cs="宋体"/>
          <w:color w:val="auto"/>
          <w:sz w:val="21"/>
          <w:szCs w:val="21"/>
          <w:highlight w:val="none"/>
        </w:rPr>
        <w:t>投标人：</w:t>
      </w:r>
      <w:r>
        <w:rPr>
          <w:rFonts w:hint="eastAsia" w:cs="宋体"/>
          <w:color w:val="auto"/>
          <w:sz w:val="21"/>
          <w:szCs w:val="21"/>
          <w:highlight w:val="none"/>
          <w:u w:val="single"/>
        </w:rPr>
        <w:t xml:space="preserve">             </w:t>
      </w:r>
      <w:r>
        <w:rPr>
          <w:rFonts w:hint="eastAsia" w:cs="宋体"/>
          <w:color w:val="auto"/>
          <w:sz w:val="21"/>
          <w:szCs w:val="21"/>
          <w:highlight w:val="none"/>
        </w:rPr>
        <w:t>（盖单位公章）</w:t>
      </w:r>
      <w:r>
        <w:rPr>
          <w:rStyle w:val="74"/>
          <w:rFonts w:cs="宋体"/>
          <w:color w:val="auto"/>
          <w:sz w:val="21"/>
          <w:szCs w:val="21"/>
          <w:highlight w:val="none"/>
        </w:rPr>
        <w:footnoteReference w:id="57"/>
      </w:r>
      <w:r>
        <w:rPr>
          <w:rFonts w:hint="eastAsia" w:cs="宋体"/>
          <w:color w:val="auto"/>
          <w:sz w:val="21"/>
          <w:szCs w:val="21"/>
          <w:highlight w:val="none"/>
        </w:rPr>
        <w:t xml:space="preserve"> </w:t>
      </w:r>
    </w:p>
    <w:p>
      <w:pPr>
        <w:pStyle w:val="59"/>
        <w:spacing w:after="0" w:line="360" w:lineRule="auto"/>
        <w:ind w:left="0" w:firstLine="6090" w:firstLineChars="2900"/>
        <w:jc w:val="left"/>
        <w:rPr>
          <w:rFonts w:ascii="宋体" w:hAnsi="宋体" w:cs="宋体"/>
          <w:color w:val="auto"/>
          <w:kern w:val="0"/>
          <w:szCs w:val="21"/>
          <w:highlight w:val="none"/>
        </w:rPr>
      </w:pPr>
      <w:r>
        <w:rPr>
          <w:rFonts w:hint="eastAsia" w:ascii="宋体" w:hAnsi="宋体" w:cs="宋体"/>
          <w:color w:val="auto"/>
          <w:kern w:val="0"/>
          <w:szCs w:val="21"/>
          <w:highlight w:val="none"/>
        </w:rPr>
        <w:t>日期：</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年</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月</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日</w:t>
      </w:r>
    </w:p>
    <w:p>
      <w:pPr>
        <w:rPr>
          <w:rFonts w:ascii="黑体" w:hAnsi="黑体" w:eastAsia="黑体"/>
          <w:color w:val="auto"/>
          <w:sz w:val="21"/>
          <w:szCs w:val="24"/>
          <w:highlight w:val="none"/>
        </w:rPr>
      </w:pPr>
      <w:r>
        <w:rPr>
          <w:rFonts w:cs="宋体"/>
          <w:color w:val="auto"/>
          <w:szCs w:val="21"/>
          <w:highlight w:val="none"/>
        </w:rPr>
        <w:br w:type="page"/>
      </w:r>
      <w:r>
        <w:rPr>
          <w:rFonts w:hint="eastAsia" w:ascii="黑体" w:hAnsi="黑体" w:eastAsia="黑体"/>
          <w:color w:val="auto"/>
          <w:sz w:val="21"/>
          <w:szCs w:val="24"/>
          <w:highlight w:val="none"/>
        </w:rPr>
        <w:t>3.投标</w:t>
      </w:r>
      <w:r>
        <w:rPr>
          <w:rFonts w:ascii="黑体" w:hAnsi="黑体" w:eastAsia="黑体"/>
          <w:color w:val="auto"/>
          <w:sz w:val="21"/>
          <w:szCs w:val="24"/>
          <w:highlight w:val="none"/>
        </w:rPr>
        <w:t>保证金其他材料</w:t>
      </w:r>
      <w:r>
        <w:rPr>
          <w:rFonts w:hint="eastAsia" w:ascii="黑体" w:hAnsi="黑体" w:eastAsia="黑体"/>
          <w:color w:val="auto"/>
          <w:sz w:val="21"/>
          <w:szCs w:val="24"/>
          <w:highlight w:val="none"/>
        </w:rPr>
        <w:t>（免缴投标保证金的除外）</w:t>
      </w:r>
    </w:p>
    <w:p>
      <w:pPr>
        <w:pStyle w:val="59"/>
        <w:rPr>
          <w:color w:val="auto"/>
          <w:highlight w:val="none"/>
        </w:rPr>
      </w:pPr>
    </w:p>
    <w:p>
      <w:pPr>
        <w:spacing w:line="360" w:lineRule="auto"/>
        <w:ind w:firstLine="420"/>
        <w:rPr>
          <w:rFonts w:cs="宋体"/>
          <w:color w:val="auto"/>
          <w:kern w:val="1"/>
          <w:sz w:val="21"/>
          <w:szCs w:val="21"/>
          <w:highlight w:val="none"/>
        </w:rPr>
      </w:pPr>
      <w:r>
        <w:rPr>
          <w:rFonts w:hint="eastAsia" w:cs="宋体"/>
          <w:color w:val="auto"/>
          <w:kern w:val="1"/>
          <w:sz w:val="21"/>
          <w:szCs w:val="21"/>
          <w:highlight w:val="none"/>
        </w:rPr>
        <w:t>（1）中国人民银行发出的投标人企业基本账户许可证扫描件或基本存款账户开户银行开具的《基本存款账户信息》扫描件</w:t>
      </w:r>
      <w:r>
        <w:rPr>
          <w:rFonts w:hint="eastAsia" w:ascii="瀹嬩綋" w:hAnsi="Times New Roman" w:eastAsia="瀹嬩綋" w:cs="瀹嬩綋"/>
          <w:color w:val="auto"/>
          <w:sz w:val="21"/>
          <w:szCs w:val="21"/>
          <w:highlight w:val="none"/>
        </w:rPr>
        <w:t>并加盖投标人单位电子印章</w:t>
      </w:r>
      <w:r>
        <w:rPr>
          <w:rFonts w:hint="eastAsia" w:cs="宋体"/>
          <w:color w:val="auto"/>
          <w:kern w:val="1"/>
          <w:sz w:val="21"/>
          <w:szCs w:val="21"/>
          <w:highlight w:val="none"/>
        </w:rPr>
        <w:t>；</w:t>
      </w:r>
    </w:p>
    <w:p>
      <w:pPr>
        <w:spacing w:line="360" w:lineRule="auto"/>
        <w:ind w:firstLine="420"/>
        <w:rPr>
          <w:rFonts w:ascii="瀹嬩綋" w:hAnsi="Times New Roman" w:eastAsia="瀹嬩綋" w:cs="瀹嬩綋"/>
          <w:color w:val="auto"/>
          <w:sz w:val="21"/>
          <w:szCs w:val="21"/>
          <w:highlight w:val="none"/>
        </w:rPr>
      </w:pPr>
      <w:r>
        <w:rPr>
          <w:rFonts w:hint="eastAsia" w:cs="宋体"/>
          <w:color w:val="auto"/>
          <w:kern w:val="1"/>
          <w:sz w:val="21"/>
          <w:szCs w:val="24"/>
          <w:highlight w:val="none"/>
        </w:rPr>
        <w:t>（2）</w:t>
      </w:r>
      <w:r>
        <w:rPr>
          <w:rFonts w:hint="eastAsia" w:ascii="瀹嬩綋" w:hAnsi="Times New Roman" w:eastAsia="瀹嬩綋" w:cs="瀹嬩綋"/>
          <w:color w:val="auto"/>
          <w:sz w:val="21"/>
          <w:szCs w:val="21"/>
          <w:highlight w:val="none"/>
        </w:rPr>
        <w:t>支付电子投标保函费用的电汇或银行转账回单扫描件并加盖投标人单位电子印章；</w:t>
      </w:r>
    </w:p>
    <w:p>
      <w:pPr>
        <w:spacing w:line="360" w:lineRule="auto"/>
        <w:ind w:firstLine="420"/>
        <w:rPr>
          <w:rFonts w:ascii="瀹嬩綋" w:hAnsi="Times New Roman" w:eastAsia="瀹嬩綋" w:cs="瀹嬩綋"/>
          <w:color w:val="auto"/>
          <w:sz w:val="21"/>
          <w:szCs w:val="21"/>
          <w:highlight w:val="none"/>
        </w:rPr>
      </w:pPr>
      <w:r>
        <w:rPr>
          <w:rFonts w:hint="eastAsia" w:ascii="瀹嬩綋" w:hAnsi="Times New Roman" w:eastAsia="瀹嬩綋" w:cs="瀹嬩綋"/>
          <w:color w:val="auto"/>
          <w:sz w:val="21"/>
          <w:szCs w:val="21"/>
          <w:highlight w:val="none"/>
        </w:rPr>
        <w:t>（3）电子投标保函开立人出具的加盖电子投标保函开立人电子印章或电子投标保函开立人依法刻制并授权用于投标保函业务的专用章的到账证明扫描件并加盖投标人单位电子印章。</w:t>
      </w:r>
    </w:p>
    <w:p>
      <w:pPr>
        <w:pStyle w:val="59"/>
        <w:spacing w:after="0" w:line="360" w:lineRule="auto"/>
        <w:ind w:left="0" w:firstLine="5250" w:firstLineChars="2500"/>
        <w:jc w:val="left"/>
        <w:rPr>
          <w:color w:val="auto"/>
          <w:szCs w:val="21"/>
          <w:highlight w:val="none"/>
        </w:rPr>
      </w:pPr>
    </w:p>
    <w:p>
      <w:pPr>
        <w:spacing w:beforeLines="100" w:afterLines="100" w:line="360" w:lineRule="auto"/>
        <w:jc w:val="center"/>
        <w:rPr>
          <w:rFonts w:hAnsi="Times New Roman"/>
          <w:b/>
          <w:color w:val="auto"/>
          <w:sz w:val="30"/>
          <w:szCs w:val="30"/>
          <w:highlight w:val="none"/>
        </w:rPr>
      </w:pPr>
      <w:r>
        <w:rPr>
          <w:rFonts w:ascii="瀹嬩綋" w:hAnsi="Times New Roman" w:eastAsia="瀹嬩綋" w:cs="瀹嬩綋"/>
          <w:color w:val="auto"/>
          <w:sz w:val="21"/>
          <w:szCs w:val="21"/>
          <w:highlight w:val="none"/>
        </w:rPr>
        <w:br w:type="page"/>
      </w:r>
      <w:r>
        <w:rPr>
          <w:rFonts w:hint="eastAsia" w:ascii="黑体" w:hAnsi="黑体" w:eastAsia="黑体"/>
          <w:color w:val="auto"/>
          <w:sz w:val="28"/>
          <w:szCs w:val="28"/>
          <w:highlight w:val="none"/>
        </w:rPr>
        <w:t>（七）拟分包企业情况表</w:t>
      </w:r>
      <w:r>
        <w:rPr>
          <w:rFonts w:ascii="黑体" w:hAnsi="黑体" w:eastAsia="黑体"/>
          <w:color w:val="auto"/>
          <w:position w:val="-2"/>
          <w:sz w:val="28"/>
          <w:szCs w:val="28"/>
          <w:highlight w:val="none"/>
          <w:vertAlign w:val="superscript"/>
        </w:rPr>
        <w:footnoteReference w:id="58"/>
      </w:r>
    </w:p>
    <w:tbl>
      <w:tblPr>
        <w:tblStyle w:val="60"/>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7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5" w:hRule="atLeast"/>
        </w:trPr>
        <w:tc>
          <w:tcPr>
            <w:tcW w:w="1809" w:type="dxa"/>
            <w:vAlign w:val="center"/>
          </w:tcPr>
          <w:p>
            <w:pPr>
              <w:adjustRightInd w:val="0"/>
              <w:spacing w:line="500" w:lineRule="exact"/>
              <w:jc w:val="center"/>
              <w:textAlignment w:val="baseline"/>
              <w:rPr>
                <w:rFonts w:hAnsi="Times New Roman"/>
                <w:color w:val="auto"/>
                <w:sz w:val="21"/>
                <w:szCs w:val="21"/>
                <w:highlight w:val="none"/>
              </w:rPr>
            </w:pPr>
            <w:r>
              <w:rPr>
                <w:rFonts w:hint="eastAsia" w:hAnsi="Times New Roman"/>
                <w:color w:val="auto"/>
                <w:sz w:val="21"/>
                <w:szCs w:val="21"/>
                <w:highlight w:val="none"/>
              </w:rPr>
              <w:t>分包人名称</w:t>
            </w:r>
          </w:p>
        </w:tc>
        <w:tc>
          <w:tcPr>
            <w:tcW w:w="7870" w:type="dxa"/>
            <w:vAlign w:val="center"/>
          </w:tcPr>
          <w:p>
            <w:pPr>
              <w:adjustRightInd w:val="0"/>
              <w:spacing w:line="500" w:lineRule="exact"/>
              <w:jc w:val="center"/>
              <w:textAlignment w:val="baseline"/>
              <w:rPr>
                <w:rFonts w:hAnsi="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5" w:hRule="atLeast"/>
        </w:trPr>
        <w:tc>
          <w:tcPr>
            <w:tcW w:w="1809" w:type="dxa"/>
            <w:vAlign w:val="center"/>
          </w:tcPr>
          <w:p>
            <w:pPr>
              <w:adjustRightInd w:val="0"/>
              <w:spacing w:line="500" w:lineRule="exact"/>
              <w:jc w:val="center"/>
              <w:textAlignment w:val="baseline"/>
              <w:rPr>
                <w:rFonts w:hAnsi="Times New Roman"/>
                <w:color w:val="auto"/>
                <w:sz w:val="21"/>
                <w:szCs w:val="21"/>
                <w:highlight w:val="none"/>
              </w:rPr>
            </w:pPr>
            <w:r>
              <w:rPr>
                <w:rFonts w:hint="eastAsia" w:hAnsi="Times New Roman"/>
                <w:color w:val="auto"/>
                <w:sz w:val="21"/>
                <w:szCs w:val="21"/>
                <w:highlight w:val="none"/>
              </w:rPr>
              <w:t>地      址</w:t>
            </w:r>
          </w:p>
        </w:tc>
        <w:tc>
          <w:tcPr>
            <w:tcW w:w="7870" w:type="dxa"/>
            <w:vAlign w:val="center"/>
          </w:tcPr>
          <w:p>
            <w:pPr>
              <w:adjustRightInd w:val="0"/>
              <w:spacing w:line="500" w:lineRule="exact"/>
              <w:jc w:val="center"/>
              <w:textAlignment w:val="baseline"/>
              <w:rPr>
                <w:rFonts w:hAnsi="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5" w:hRule="atLeast"/>
        </w:trPr>
        <w:tc>
          <w:tcPr>
            <w:tcW w:w="1809" w:type="dxa"/>
            <w:vAlign w:val="center"/>
          </w:tcPr>
          <w:p>
            <w:pPr>
              <w:adjustRightInd w:val="0"/>
              <w:spacing w:line="500" w:lineRule="exact"/>
              <w:jc w:val="center"/>
              <w:textAlignment w:val="baseline"/>
              <w:rPr>
                <w:rFonts w:hAnsi="Times New Roman"/>
                <w:color w:val="auto"/>
                <w:sz w:val="21"/>
                <w:szCs w:val="21"/>
                <w:highlight w:val="none"/>
              </w:rPr>
            </w:pPr>
            <w:r>
              <w:rPr>
                <w:rFonts w:hint="eastAsia" w:hAnsi="Times New Roman"/>
                <w:color w:val="auto"/>
                <w:sz w:val="21"/>
                <w:szCs w:val="21"/>
                <w:highlight w:val="none"/>
              </w:rPr>
              <w:t>法定代表人</w:t>
            </w:r>
          </w:p>
        </w:tc>
        <w:tc>
          <w:tcPr>
            <w:tcW w:w="7870" w:type="dxa"/>
            <w:vAlign w:val="center"/>
          </w:tcPr>
          <w:p>
            <w:pPr>
              <w:adjustRightInd w:val="0"/>
              <w:spacing w:line="500" w:lineRule="exact"/>
              <w:jc w:val="center"/>
              <w:textAlignment w:val="baseline"/>
              <w:rPr>
                <w:rFonts w:hAnsi="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5" w:hRule="atLeast"/>
        </w:trPr>
        <w:tc>
          <w:tcPr>
            <w:tcW w:w="1809" w:type="dxa"/>
            <w:vAlign w:val="center"/>
          </w:tcPr>
          <w:p>
            <w:pPr>
              <w:adjustRightInd w:val="0"/>
              <w:spacing w:line="500" w:lineRule="exact"/>
              <w:jc w:val="center"/>
              <w:textAlignment w:val="baseline"/>
              <w:rPr>
                <w:rFonts w:hAnsi="Times New Roman"/>
                <w:color w:val="auto"/>
                <w:sz w:val="21"/>
                <w:szCs w:val="21"/>
                <w:highlight w:val="none"/>
              </w:rPr>
            </w:pPr>
            <w:r>
              <w:rPr>
                <w:rFonts w:hint="eastAsia" w:hAnsi="Times New Roman"/>
                <w:color w:val="auto"/>
                <w:sz w:val="21"/>
                <w:szCs w:val="21"/>
                <w:highlight w:val="none"/>
              </w:rPr>
              <w:t>联系电话</w:t>
            </w:r>
          </w:p>
        </w:tc>
        <w:tc>
          <w:tcPr>
            <w:tcW w:w="7870" w:type="dxa"/>
            <w:vAlign w:val="center"/>
          </w:tcPr>
          <w:p>
            <w:pPr>
              <w:adjustRightInd w:val="0"/>
              <w:spacing w:line="500" w:lineRule="exact"/>
              <w:jc w:val="center"/>
              <w:textAlignment w:val="baseline"/>
              <w:rPr>
                <w:rFonts w:hAnsi="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5" w:hRule="atLeast"/>
        </w:trPr>
        <w:tc>
          <w:tcPr>
            <w:tcW w:w="1809" w:type="dxa"/>
            <w:vAlign w:val="center"/>
          </w:tcPr>
          <w:p>
            <w:pPr>
              <w:adjustRightInd w:val="0"/>
              <w:spacing w:line="500" w:lineRule="exact"/>
              <w:jc w:val="center"/>
              <w:textAlignment w:val="baseline"/>
              <w:rPr>
                <w:rFonts w:hAnsi="Times New Roman"/>
                <w:color w:val="auto"/>
                <w:sz w:val="21"/>
                <w:szCs w:val="21"/>
                <w:highlight w:val="none"/>
              </w:rPr>
            </w:pPr>
            <w:r>
              <w:rPr>
                <w:rFonts w:hint="eastAsia" w:hAnsi="Times New Roman"/>
                <w:color w:val="auto"/>
                <w:sz w:val="21"/>
                <w:szCs w:val="21"/>
                <w:highlight w:val="none"/>
              </w:rPr>
              <w:t>营业执照号码</w:t>
            </w:r>
          </w:p>
        </w:tc>
        <w:tc>
          <w:tcPr>
            <w:tcW w:w="7870" w:type="dxa"/>
            <w:vAlign w:val="center"/>
          </w:tcPr>
          <w:p>
            <w:pPr>
              <w:adjustRightInd w:val="0"/>
              <w:spacing w:line="500" w:lineRule="exact"/>
              <w:jc w:val="center"/>
              <w:textAlignment w:val="baseline"/>
              <w:rPr>
                <w:rFonts w:hAnsi="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5" w:hRule="atLeast"/>
        </w:trPr>
        <w:tc>
          <w:tcPr>
            <w:tcW w:w="1809" w:type="dxa"/>
            <w:vAlign w:val="center"/>
          </w:tcPr>
          <w:p>
            <w:pPr>
              <w:adjustRightInd w:val="0"/>
              <w:spacing w:line="500" w:lineRule="exact"/>
              <w:jc w:val="center"/>
              <w:textAlignment w:val="baseline"/>
              <w:rPr>
                <w:rFonts w:hAnsi="Times New Roman"/>
                <w:color w:val="auto"/>
                <w:sz w:val="21"/>
                <w:szCs w:val="21"/>
                <w:highlight w:val="none"/>
              </w:rPr>
            </w:pPr>
            <w:r>
              <w:rPr>
                <w:rFonts w:hint="eastAsia" w:hAnsi="Times New Roman"/>
                <w:color w:val="auto"/>
                <w:sz w:val="21"/>
                <w:szCs w:val="21"/>
                <w:highlight w:val="none"/>
              </w:rPr>
              <w:t>资质等级</w:t>
            </w:r>
          </w:p>
        </w:tc>
        <w:tc>
          <w:tcPr>
            <w:tcW w:w="7870" w:type="dxa"/>
            <w:vAlign w:val="center"/>
          </w:tcPr>
          <w:p>
            <w:pPr>
              <w:adjustRightInd w:val="0"/>
              <w:spacing w:line="500" w:lineRule="exact"/>
              <w:jc w:val="center"/>
              <w:textAlignment w:val="baseline"/>
              <w:rPr>
                <w:rFonts w:hAnsi="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5" w:hRule="atLeast"/>
        </w:trPr>
        <w:tc>
          <w:tcPr>
            <w:tcW w:w="1809" w:type="dxa"/>
            <w:vAlign w:val="center"/>
          </w:tcPr>
          <w:p>
            <w:pPr>
              <w:adjustRightInd w:val="0"/>
              <w:spacing w:line="500" w:lineRule="exact"/>
              <w:jc w:val="center"/>
              <w:textAlignment w:val="baseline"/>
              <w:rPr>
                <w:rFonts w:hAnsi="Times New Roman"/>
                <w:color w:val="auto"/>
                <w:sz w:val="21"/>
                <w:szCs w:val="21"/>
                <w:highlight w:val="none"/>
              </w:rPr>
            </w:pPr>
            <w:r>
              <w:rPr>
                <w:rFonts w:hint="eastAsia" w:hAnsi="Times New Roman"/>
                <w:color w:val="auto"/>
                <w:sz w:val="21"/>
                <w:szCs w:val="21"/>
                <w:highlight w:val="none"/>
              </w:rPr>
              <w:t>拟分包工程</w:t>
            </w:r>
          </w:p>
        </w:tc>
        <w:tc>
          <w:tcPr>
            <w:tcW w:w="7870" w:type="dxa"/>
            <w:vAlign w:val="center"/>
          </w:tcPr>
          <w:p>
            <w:pPr>
              <w:adjustRightInd w:val="0"/>
              <w:spacing w:line="500" w:lineRule="exact"/>
              <w:jc w:val="center"/>
              <w:textAlignment w:val="baseline"/>
              <w:rPr>
                <w:rFonts w:hAnsi="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2" w:hRule="atLeast"/>
        </w:trPr>
        <w:tc>
          <w:tcPr>
            <w:tcW w:w="1809" w:type="dxa"/>
            <w:vAlign w:val="center"/>
          </w:tcPr>
          <w:p>
            <w:pPr>
              <w:adjustRightInd w:val="0"/>
              <w:spacing w:line="500" w:lineRule="exact"/>
              <w:jc w:val="center"/>
              <w:textAlignment w:val="baseline"/>
              <w:rPr>
                <w:rFonts w:hAnsi="Times New Roman"/>
                <w:color w:val="auto"/>
                <w:sz w:val="21"/>
                <w:szCs w:val="21"/>
                <w:highlight w:val="none"/>
              </w:rPr>
            </w:pPr>
            <w:r>
              <w:rPr>
                <w:rFonts w:hint="eastAsia" w:hAnsi="Times New Roman"/>
                <w:color w:val="auto"/>
                <w:sz w:val="21"/>
                <w:szCs w:val="21"/>
                <w:highlight w:val="none"/>
              </w:rPr>
              <w:t>分 包 理 由</w:t>
            </w:r>
          </w:p>
        </w:tc>
        <w:tc>
          <w:tcPr>
            <w:tcW w:w="7870" w:type="dxa"/>
            <w:vAlign w:val="center"/>
          </w:tcPr>
          <w:p>
            <w:pPr>
              <w:adjustRightInd w:val="0"/>
              <w:spacing w:line="500" w:lineRule="exact"/>
              <w:jc w:val="center"/>
              <w:textAlignment w:val="baseline"/>
              <w:rPr>
                <w:rFonts w:hAnsi="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trPr>
        <w:tc>
          <w:tcPr>
            <w:tcW w:w="9679" w:type="dxa"/>
            <w:gridSpan w:val="2"/>
            <w:vAlign w:val="center"/>
          </w:tcPr>
          <w:p>
            <w:pPr>
              <w:adjustRightInd w:val="0"/>
              <w:spacing w:line="560" w:lineRule="exact"/>
              <w:textAlignment w:val="baseline"/>
              <w:rPr>
                <w:rFonts w:hAnsi="Times New Roman"/>
                <w:color w:val="auto"/>
                <w:sz w:val="21"/>
                <w:szCs w:val="21"/>
                <w:highlight w:val="none"/>
              </w:rPr>
            </w:pPr>
            <w:r>
              <w:rPr>
                <w:rFonts w:hint="eastAsia" w:cs="宋体"/>
                <w:color w:val="auto"/>
                <w:kern w:val="1"/>
                <w:sz w:val="21"/>
                <w:szCs w:val="24"/>
                <w:highlight w:val="none"/>
              </w:rPr>
              <w:t>说明：后页附件为</w:t>
            </w:r>
            <w:r>
              <w:rPr>
                <w:rFonts w:hint="eastAsia" w:hAnsi="Times New Roman"/>
                <w:color w:val="auto"/>
                <w:sz w:val="21"/>
                <w:szCs w:val="21"/>
                <w:highlight w:val="none"/>
              </w:rPr>
              <w:t>拟分包企业的营业执照和资质证书</w:t>
            </w:r>
            <w:r>
              <w:rPr>
                <w:rFonts w:hint="eastAsia" w:cs="宋体"/>
                <w:color w:val="auto"/>
                <w:kern w:val="1"/>
                <w:sz w:val="21"/>
                <w:szCs w:val="24"/>
                <w:highlight w:val="none"/>
              </w:rPr>
              <w:t>，附件是本表的组成部分。</w:t>
            </w:r>
          </w:p>
        </w:tc>
      </w:tr>
    </w:tbl>
    <w:p>
      <w:pPr>
        <w:adjustRightInd w:val="0"/>
        <w:spacing w:line="560" w:lineRule="exact"/>
        <w:jc w:val="right"/>
        <w:textAlignment w:val="baseline"/>
        <w:rPr>
          <w:rFonts w:hAnsi="Times New Roman"/>
          <w:color w:val="auto"/>
          <w:kern w:val="2"/>
          <w:sz w:val="21"/>
          <w:szCs w:val="22"/>
          <w:highlight w:val="none"/>
        </w:rPr>
      </w:pPr>
    </w:p>
    <w:p>
      <w:pPr>
        <w:adjustRightInd w:val="0"/>
        <w:spacing w:line="360" w:lineRule="auto"/>
        <w:textAlignment w:val="baseline"/>
        <w:rPr>
          <w:rFonts w:hAnsi="Times New Roman"/>
          <w:color w:val="auto"/>
          <w:kern w:val="2"/>
          <w:sz w:val="24"/>
          <w:szCs w:val="24"/>
          <w:highlight w:val="none"/>
        </w:rPr>
      </w:pPr>
      <w:r>
        <w:rPr>
          <w:rFonts w:hint="eastAsia" w:hAnsi="Times New Roman"/>
          <w:color w:val="auto"/>
          <w:kern w:val="2"/>
          <w:sz w:val="24"/>
          <w:szCs w:val="24"/>
          <w:highlight w:val="none"/>
        </w:rPr>
        <w:t xml:space="preserve">                         </w:t>
      </w:r>
    </w:p>
    <w:p>
      <w:pPr>
        <w:spacing w:line="360" w:lineRule="auto"/>
        <w:ind w:firstLine="210" w:firstLineChars="100"/>
        <w:rPr>
          <w:rFonts w:ascii="黑体" w:hAnsi="黑体" w:eastAsia="黑体"/>
          <w:color w:val="auto"/>
          <w:sz w:val="21"/>
          <w:szCs w:val="21"/>
          <w:highlight w:val="none"/>
        </w:rPr>
      </w:pPr>
      <w:r>
        <w:rPr>
          <w:rFonts w:ascii="瀹嬩綋" w:hAnsi="Times New Roman" w:eastAsia="瀹嬩綋" w:cs="瀹嬩綋"/>
          <w:color w:val="auto"/>
          <w:sz w:val="21"/>
          <w:szCs w:val="21"/>
          <w:highlight w:val="none"/>
        </w:rPr>
        <w:br w:type="page"/>
      </w:r>
      <w:r>
        <w:rPr>
          <w:rFonts w:hint="eastAsia" w:ascii="黑体" w:hAnsi="黑体" w:eastAsia="黑体"/>
          <w:color w:val="auto"/>
          <w:sz w:val="21"/>
          <w:szCs w:val="21"/>
          <w:highlight w:val="none"/>
        </w:rPr>
        <w:t>拟分包企业情况表附件：</w:t>
      </w:r>
    </w:p>
    <w:p>
      <w:pPr>
        <w:spacing w:line="360" w:lineRule="auto"/>
        <w:ind w:firstLine="630" w:firstLineChars="300"/>
        <w:rPr>
          <w:rFonts w:hAnsi="Times New Roman"/>
          <w:color w:val="auto"/>
          <w:kern w:val="2"/>
          <w:sz w:val="21"/>
          <w:szCs w:val="21"/>
          <w:highlight w:val="none"/>
        </w:rPr>
      </w:pPr>
      <w:r>
        <w:rPr>
          <w:rFonts w:hint="eastAsia" w:hAnsi="Times New Roman"/>
          <w:color w:val="auto"/>
          <w:kern w:val="2"/>
          <w:sz w:val="21"/>
          <w:szCs w:val="21"/>
          <w:highlight w:val="none"/>
        </w:rPr>
        <w:t>（1）拟分包企业的营业执照</w:t>
      </w:r>
    </w:p>
    <w:p>
      <w:pPr>
        <w:spacing w:line="360" w:lineRule="auto"/>
        <w:ind w:firstLine="630" w:firstLineChars="300"/>
        <w:rPr>
          <w:rFonts w:ascii="黑体" w:hAnsi="黑体" w:eastAsia="黑体"/>
          <w:color w:val="auto"/>
          <w:sz w:val="21"/>
          <w:szCs w:val="21"/>
          <w:highlight w:val="none"/>
        </w:rPr>
      </w:pPr>
      <w:r>
        <w:rPr>
          <w:rFonts w:hint="eastAsia" w:hAnsi="Times New Roman"/>
          <w:color w:val="auto"/>
          <w:kern w:val="2"/>
          <w:sz w:val="21"/>
          <w:szCs w:val="21"/>
          <w:highlight w:val="none"/>
        </w:rPr>
        <w:t>（2）拟分包企业的资质证书</w:t>
      </w:r>
    </w:p>
    <w:p>
      <w:pPr>
        <w:spacing w:beforeLines="100" w:afterLines="100" w:line="360" w:lineRule="auto"/>
        <w:ind w:firstLine="420"/>
        <w:jc w:val="center"/>
        <w:rPr>
          <w:rFonts w:ascii="瀹嬩綋" w:hAnsi="Times New Roman" w:eastAsia="瀹嬩綋" w:cs="瀹嬩綋"/>
          <w:color w:val="auto"/>
          <w:sz w:val="21"/>
          <w:szCs w:val="21"/>
          <w:highlight w:val="none"/>
        </w:rPr>
      </w:pPr>
      <w:r>
        <w:rPr>
          <w:rFonts w:ascii="黑体" w:hAnsi="黑体" w:eastAsia="黑体"/>
          <w:color w:val="auto"/>
          <w:sz w:val="21"/>
          <w:szCs w:val="21"/>
          <w:highlight w:val="none"/>
        </w:rPr>
        <w:br w:type="page"/>
      </w:r>
      <w:r>
        <w:rPr>
          <w:rFonts w:hint="eastAsia" w:ascii="黑体" w:hAnsi="黑体" w:eastAsia="黑体"/>
          <w:color w:val="auto"/>
          <w:sz w:val="28"/>
          <w:szCs w:val="28"/>
          <w:highlight w:val="none"/>
        </w:rPr>
        <w:t>（八）定标要素情况表</w:t>
      </w:r>
    </w:p>
    <w:bookmarkEnd w:id="1950"/>
    <w:bookmarkEnd w:id="1951"/>
    <w:bookmarkEnd w:id="1952"/>
    <w:bookmarkEnd w:id="1953"/>
    <w:p>
      <w:pPr>
        <w:widowControl/>
        <w:jc w:val="left"/>
        <w:rPr>
          <w:rFonts w:ascii="黑体" w:hAnsi="黑体" w:eastAsia="黑体"/>
          <w:color w:val="auto"/>
          <w:kern w:val="1"/>
          <w:sz w:val="21"/>
          <w:szCs w:val="21"/>
          <w:highlight w:val="none"/>
        </w:rPr>
      </w:pPr>
      <w:bookmarkStart w:id="1962" w:name="_Toc458440274"/>
      <w:r>
        <w:rPr>
          <w:rFonts w:hint="eastAsia" w:ascii="黑体" w:hAnsi="黑体" w:eastAsia="黑体"/>
          <w:b/>
          <w:color w:val="auto"/>
          <w:sz w:val="21"/>
          <w:szCs w:val="21"/>
          <w:highlight w:val="none"/>
        </w:rPr>
        <w:t>1、</w:t>
      </w:r>
      <w:r>
        <w:rPr>
          <w:rFonts w:ascii="黑体" w:hAnsi="黑体" w:eastAsia="黑体"/>
          <w:color w:val="auto"/>
          <w:kern w:val="1"/>
          <w:sz w:val="21"/>
          <w:szCs w:val="21"/>
          <w:highlight w:val="none"/>
        </w:rPr>
        <w:t>信用要素情况表</w:t>
      </w:r>
      <w:r>
        <w:rPr>
          <w:rStyle w:val="74"/>
          <w:rFonts w:ascii="黑体" w:hAnsi="黑体" w:eastAsia="黑体"/>
          <w:color w:val="auto"/>
          <w:kern w:val="1"/>
          <w:sz w:val="21"/>
          <w:szCs w:val="21"/>
          <w:highlight w:val="none"/>
        </w:rPr>
        <w:footnoteReference w:id="59"/>
      </w:r>
    </w:p>
    <w:tbl>
      <w:tblPr>
        <w:tblStyle w:val="60"/>
        <w:tblpPr w:leftFromText="180" w:rightFromText="180" w:vertAnchor="text" w:horzAnchor="margin" w:tblpX="108" w:tblpY="14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63"/>
        <w:gridCol w:w="57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3363" w:type="dxa"/>
            <w:vAlign w:val="center"/>
          </w:tcPr>
          <w:p>
            <w:pPr>
              <w:spacing w:line="400" w:lineRule="exact"/>
              <w:jc w:val="center"/>
              <w:rPr>
                <w:rFonts w:ascii="黑体" w:hAnsi="黑体" w:eastAsia="黑体"/>
                <w:color w:val="auto"/>
                <w:kern w:val="1"/>
                <w:sz w:val="21"/>
                <w:szCs w:val="21"/>
                <w:highlight w:val="none"/>
              </w:rPr>
            </w:pPr>
            <w:r>
              <w:rPr>
                <w:rFonts w:hint="eastAsia" w:ascii="黑体" w:hAnsi="黑体" w:eastAsia="黑体"/>
                <w:color w:val="auto"/>
                <w:kern w:val="1"/>
                <w:sz w:val="21"/>
                <w:szCs w:val="21"/>
                <w:highlight w:val="none"/>
              </w:rPr>
              <w:t>招标人要求的信用子要素</w:t>
            </w:r>
            <w:r>
              <w:rPr>
                <w:rStyle w:val="74"/>
                <w:rFonts w:ascii="黑体" w:hAnsi="黑体" w:eastAsia="黑体"/>
                <w:color w:val="auto"/>
                <w:kern w:val="1"/>
                <w:sz w:val="21"/>
                <w:szCs w:val="21"/>
                <w:highlight w:val="none"/>
              </w:rPr>
              <w:footnoteReference w:id="60"/>
            </w:r>
          </w:p>
        </w:tc>
        <w:tc>
          <w:tcPr>
            <w:tcW w:w="5753" w:type="dxa"/>
            <w:vAlign w:val="center"/>
          </w:tcPr>
          <w:p>
            <w:pPr>
              <w:spacing w:line="400" w:lineRule="exact"/>
              <w:jc w:val="center"/>
              <w:rPr>
                <w:rFonts w:ascii="黑体" w:hAnsi="黑体" w:eastAsia="黑体"/>
                <w:color w:val="auto"/>
                <w:kern w:val="1"/>
                <w:sz w:val="21"/>
                <w:szCs w:val="21"/>
                <w:highlight w:val="none"/>
              </w:rPr>
            </w:pPr>
            <w:bookmarkStart w:id="1963" w:name="_Hlk62373668"/>
            <w:r>
              <w:rPr>
                <w:rFonts w:hint="eastAsia" w:ascii="黑体" w:hAnsi="黑体" w:eastAsia="黑体"/>
                <w:color w:val="auto"/>
                <w:kern w:val="1"/>
                <w:sz w:val="21"/>
                <w:szCs w:val="21"/>
                <w:highlight w:val="none"/>
              </w:rPr>
              <w:t>投标人提供的证明材料明细</w:t>
            </w:r>
            <w:bookmarkEnd w:id="196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3363" w:type="dxa"/>
            <w:vAlign w:val="center"/>
          </w:tcPr>
          <w:p>
            <w:pPr>
              <w:spacing w:line="300" w:lineRule="auto"/>
              <w:ind w:firstLine="422" w:firstLineChars="200"/>
              <w:jc w:val="left"/>
              <w:rPr>
                <w:b/>
                <w:color w:val="auto"/>
                <w:sz w:val="21"/>
                <w:szCs w:val="21"/>
                <w:highlight w:val="none"/>
              </w:rPr>
            </w:pPr>
          </w:p>
        </w:tc>
        <w:tc>
          <w:tcPr>
            <w:tcW w:w="5753" w:type="dxa"/>
            <w:vAlign w:val="center"/>
          </w:tcPr>
          <w:p>
            <w:pPr>
              <w:spacing w:line="400" w:lineRule="exact"/>
              <w:jc w:val="left"/>
              <w:rPr>
                <w:color w:val="auto"/>
                <w:sz w:val="21"/>
                <w:szCs w:val="21"/>
                <w:highlight w:val="none"/>
                <w:u w:val="single"/>
              </w:rPr>
            </w:pPr>
            <w:r>
              <w:rPr>
                <w:rFonts w:hint="eastAsia"/>
                <w:color w:val="auto"/>
                <w:sz w:val="21"/>
                <w:szCs w:val="21"/>
                <w:highlight w:val="none"/>
              </w:rPr>
              <w:t>①</w:t>
            </w:r>
            <w:r>
              <w:rPr>
                <w:rFonts w:hint="eastAsia"/>
                <w:color w:val="auto"/>
                <w:sz w:val="21"/>
                <w:szCs w:val="21"/>
                <w:highlight w:val="none"/>
                <w:u w:val="single"/>
              </w:rPr>
              <w:t xml:space="preserve">       </w:t>
            </w:r>
            <w:r>
              <w:rPr>
                <w:rFonts w:hint="eastAsia"/>
                <w:color w:val="auto"/>
                <w:sz w:val="21"/>
                <w:szCs w:val="21"/>
                <w:highlight w:val="none"/>
              </w:rPr>
              <w:t>；</w:t>
            </w:r>
          </w:p>
          <w:p>
            <w:pPr>
              <w:pStyle w:val="58"/>
              <w:ind w:firstLine="0"/>
              <w:rPr>
                <w:rFonts w:ascii="Calibri" w:hAnsi="Calibri"/>
                <w:color w:val="auto"/>
                <w:szCs w:val="21"/>
                <w:highlight w:val="none"/>
                <w:u w:val="single"/>
              </w:rPr>
            </w:pPr>
            <w:r>
              <w:rPr>
                <w:rFonts w:hint="eastAsia" w:ascii="Calibri" w:hAnsi="Calibri"/>
                <w:color w:val="auto"/>
                <w:szCs w:val="21"/>
                <w:highlight w:val="none"/>
              </w:rPr>
              <w:t>②</w:t>
            </w:r>
            <w:r>
              <w:rPr>
                <w:rFonts w:hint="eastAsia" w:ascii="宋体" w:hAnsi="宋体"/>
                <w:color w:val="auto"/>
                <w:szCs w:val="21"/>
                <w:highlight w:val="none"/>
                <w:u w:val="single"/>
              </w:rPr>
              <w:t xml:space="preserve">       </w:t>
            </w:r>
            <w:r>
              <w:rPr>
                <w:rFonts w:hint="eastAsia" w:ascii="Calibri" w:hAnsi="Calibri"/>
                <w:color w:val="auto"/>
                <w:szCs w:val="21"/>
                <w:highlight w:val="none"/>
              </w:rPr>
              <w:t>；</w:t>
            </w:r>
          </w:p>
          <w:p>
            <w:pPr>
              <w:pStyle w:val="58"/>
              <w:ind w:firstLine="0"/>
              <w:rPr>
                <w:rFonts w:ascii="Calibri" w:hAnsi="Calibri"/>
                <w:color w:val="auto"/>
                <w:highlight w:val="none"/>
              </w:rPr>
            </w:pPr>
            <w:r>
              <w:rPr>
                <w:rFonts w:hint="eastAsia" w:ascii="Calibri" w:hAnsi="Calibri"/>
                <w:color w:val="auto"/>
                <w:szCs w:val="21"/>
                <w:highlight w:val="none"/>
              </w:rPr>
              <w:t>③</w:t>
            </w:r>
            <w:r>
              <w:rPr>
                <w:rFonts w:hint="eastAsia" w:ascii="Calibri" w:hAnsi="Calibri"/>
                <w:color w:val="auto"/>
                <w:szCs w:val="21"/>
                <w:highlight w:val="none"/>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9116" w:type="dxa"/>
            <w:gridSpan w:val="2"/>
            <w:vAlign w:val="center"/>
          </w:tcPr>
          <w:p>
            <w:pPr>
              <w:spacing w:line="400" w:lineRule="exact"/>
              <w:rPr>
                <w:b/>
                <w:color w:val="auto"/>
                <w:sz w:val="21"/>
                <w:szCs w:val="21"/>
                <w:highlight w:val="none"/>
              </w:rPr>
            </w:pPr>
            <w:r>
              <w:rPr>
                <w:rFonts w:hint="eastAsia" w:cs="宋体"/>
                <w:color w:val="auto"/>
                <w:kern w:val="1"/>
                <w:sz w:val="21"/>
                <w:szCs w:val="24"/>
                <w:highlight w:val="none"/>
              </w:rPr>
              <w:t>说明：投标人</w:t>
            </w:r>
            <w:r>
              <w:rPr>
                <w:rFonts w:hint="eastAsia" w:hAnsi="Times New Roman"/>
                <w:color w:val="auto"/>
                <w:sz w:val="21"/>
                <w:szCs w:val="21"/>
                <w:highlight w:val="none"/>
              </w:rPr>
              <w:t>应根据招标文件第四章定标办法的前附表中定标要素编列内容的规定提供与信用子要素有关的证明材料，作为附件列于本表</w:t>
            </w:r>
            <w:r>
              <w:rPr>
                <w:rFonts w:hint="eastAsia" w:cs="宋体"/>
                <w:color w:val="auto"/>
                <w:kern w:val="1"/>
                <w:sz w:val="21"/>
                <w:szCs w:val="24"/>
                <w:highlight w:val="none"/>
              </w:rPr>
              <w:t>续页并按上述明细顺序列编，附件是本表的组成部分。</w:t>
            </w:r>
          </w:p>
        </w:tc>
      </w:tr>
    </w:tbl>
    <w:p>
      <w:pPr>
        <w:widowControl/>
        <w:tabs>
          <w:tab w:val="left" w:pos="6068"/>
        </w:tabs>
        <w:jc w:val="left"/>
        <w:rPr>
          <w:color w:val="auto"/>
          <w:sz w:val="24"/>
          <w:szCs w:val="24"/>
          <w:highlight w:val="none"/>
        </w:rPr>
      </w:pPr>
      <w:r>
        <w:rPr>
          <w:color w:val="auto"/>
          <w:sz w:val="24"/>
          <w:szCs w:val="24"/>
          <w:highlight w:val="none"/>
        </w:rPr>
        <w:tab/>
      </w:r>
    </w:p>
    <w:p>
      <w:pPr>
        <w:widowControl/>
        <w:jc w:val="left"/>
        <w:rPr>
          <w:rFonts w:ascii="黑体" w:hAnsi="黑体" w:eastAsia="黑体"/>
          <w:color w:val="auto"/>
          <w:kern w:val="1"/>
          <w:sz w:val="21"/>
          <w:szCs w:val="21"/>
          <w:highlight w:val="none"/>
        </w:rPr>
      </w:pPr>
      <w:r>
        <w:rPr>
          <w:color w:val="auto"/>
          <w:sz w:val="24"/>
          <w:szCs w:val="24"/>
          <w:highlight w:val="none"/>
        </w:rPr>
        <w:br w:type="page"/>
      </w:r>
      <w:r>
        <w:rPr>
          <w:rFonts w:hint="eastAsia" w:ascii="黑体" w:hAnsi="黑体" w:eastAsia="黑体"/>
          <w:b/>
          <w:color w:val="auto"/>
          <w:sz w:val="21"/>
          <w:szCs w:val="21"/>
          <w:highlight w:val="none"/>
        </w:rPr>
        <w:t>2、</w:t>
      </w:r>
      <w:r>
        <w:rPr>
          <w:rFonts w:hint="eastAsia" w:ascii="黑体" w:hAnsi="黑体" w:eastAsia="黑体"/>
          <w:color w:val="auto"/>
          <w:kern w:val="1"/>
          <w:sz w:val="21"/>
          <w:szCs w:val="21"/>
          <w:highlight w:val="none"/>
        </w:rPr>
        <w:t>实力</w:t>
      </w:r>
      <w:r>
        <w:rPr>
          <w:rFonts w:ascii="黑体" w:hAnsi="黑体" w:eastAsia="黑体"/>
          <w:color w:val="auto"/>
          <w:kern w:val="1"/>
          <w:sz w:val="21"/>
          <w:szCs w:val="21"/>
          <w:highlight w:val="none"/>
        </w:rPr>
        <w:t>要素情况表</w:t>
      </w:r>
      <w:r>
        <w:rPr>
          <w:rStyle w:val="74"/>
          <w:rFonts w:ascii="黑体" w:hAnsi="黑体" w:eastAsia="黑体"/>
          <w:color w:val="auto"/>
          <w:kern w:val="1"/>
          <w:sz w:val="21"/>
          <w:szCs w:val="21"/>
          <w:highlight w:val="none"/>
        </w:rPr>
        <w:footnoteReference w:id="61"/>
      </w:r>
    </w:p>
    <w:tbl>
      <w:tblPr>
        <w:tblStyle w:val="60"/>
        <w:tblpPr w:leftFromText="180" w:rightFromText="180" w:vertAnchor="text" w:horzAnchor="margin" w:tblpX="108" w:tblpY="14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57"/>
        <w:gridCol w:w="57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3357" w:type="dxa"/>
            <w:vAlign w:val="center"/>
          </w:tcPr>
          <w:p>
            <w:pPr>
              <w:spacing w:line="400" w:lineRule="exact"/>
              <w:jc w:val="center"/>
              <w:rPr>
                <w:rFonts w:ascii="黑体" w:hAnsi="黑体" w:eastAsia="黑体"/>
                <w:color w:val="auto"/>
                <w:kern w:val="1"/>
                <w:sz w:val="21"/>
                <w:szCs w:val="21"/>
                <w:highlight w:val="none"/>
              </w:rPr>
            </w:pPr>
            <w:r>
              <w:rPr>
                <w:rFonts w:hint="eastAsia" w:ascii="黑体" w:hAnsi="黑体" w:eastAsia="黑体"/>
                <w:color w:val="auto"/>
                <w:kern w:val="1"/>
                <w:sz w:val="21"/>
                <w:szCs w:val="21"/>
                <w:highlight w:val="none"/>
              </w:rPr>
              <w:t>招标人要求的实力子要素</w:t>
            </w:r>
            <w:r>
              <w:rPr>
                <w:rStyle w:val="74"/>
                <w:rFonts w:ascii="黑体" w:hAnsi="黑体" w:eastAsia="黑体"/>
                <w:color w:val="auto"/>
                <w:kern w:val="1"/>
                <w:sz w:val="21"/>
                <w:szCs w:val="21"/>
                <w:highlight w:val="none"/>
              </w:rPr>
              <w:footnoteReference w:id="62"/>
            </w:r>
          </w:p>
        </w:tc>
        <w:tc>
          <w:tcPr>
            <w:tcW w:w="5759" w:type="dxa"/>
            <w:vAlign w:val="center"/>
          </w:tcPr>
          <w:p>
            <w:pPr>
              <w:spacing w:line="400" w:lineRule="exact"/>
              <w:jc w:val="center"/>
              <w:rPr>
                <w:rFonts w:ascii="黑体" w:hAnsi="黑体" w:eastAsia="黑体"/>
                <w:color w:val="auto"/>
                <w:kern w:val="1"/>
                <w:sz w:val="21"/>
                <w:szCs w:val="21"/>
                <w:highlight w:val="none"/>
              </w:rPr>
            </w:pPr>
            <w:r>
              <w:rPr>
                <w:rFonts w:hint="eastAsia" w:ascii="黑体" w:hAnsi="黑体" w:eastAsia="黑体"/>
                <w:color w:val="auto"/>
                <w:kern w:val="1"/>
                <w:sz w:val="21"/>
                <w:szCs w:val="21"/>
                <w:highlight w:val="none"/>
              </w:rPr>
              <w:t>投标人提供的证明材料明细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3357" w:type="dxa"/>
            <w:vAlign w:val="center"/>
          </w:tcPr>
          <w:p>
            <w:pPr>
              <w:spacing w:line="300" w:lineRule="auto"/>
              <w:ind w:firstLine="422" w:firstLineChars="200"/>
              <w:jc w:val="left"/>
              <w:rPr>
                <w:b/>
                <w:color w:val="auto"/>
                <w:sz w:val="21"/>
                <w:szCs w:val="21"/>
                <w:highlight w:val="none"/>
              </w:rPr>
            </w:pPr>
          </w:p>
        </w:tc>
        <w:tc>
          <w:tcPr>
            <w:tcW w:w="5759" w:type="dxa"/>
            <w:vAlign w:val="center"/>
          </w:tcPr>
          <w:p>
            <w:pPr>
              <w:spacing w:line="400" w:lineRule="exact"/>
              <w:jc w:val="left"/>
              <w:rPr>
                <w:color w:val="auto"/>
                <w:sz w:val="21"/>
                <w:szCs w:val="21"/>
                <w:highlight w:val="none"/>
                <w:u w:val="single"/>
              </w:rPr>
            </w:pPr>
            <w:r>
              <w:rPr>
                <w:rFonts w:hint="eastAsia"/>
                <w:color w:val="auto"/>
                <w:sz w:val="21"/>
                <w:szCs w:val="21"/>
                <w:highlight w:val="none"/>
              </w:rPr>
              <w:t>①</w:t>
            </w:r>
            <w:r>
              <w:rPr>
                <w:rFonts w:hint="eastAsia"/>
                <w:color w:val="auto"/>
                <w:sz w:val="21"/>
                <w:szCs w:val="21"/>
                <w:highlight w:val="none"/>
                <w:u w:val="single"/>
              </w:rPr>
              <w:t xml:space="preserve">       </w:t>
            </w:r>
            <w:r>
              <w:rPr>
                <w:rFonts w:hint="eastAsia"/>
                <w:color w:val="auto"/>
                <w:sz w:val="21"/>
                <w:szCs w:val="21"/>
                <w:highlight w:val="none"/>
              </w:rPr>
              <w:t>；</w:t>
            </w:r>
          </w:p>
          <w:p>
            <w:pPr>
              <w:pStyle w:val="58"/>
              <w:ind w:firstLine="0"/>
              <w:rPr>
                <w:rFonts w:ascii="Calibri" w:hAnsi="Calibri"/>
                <w:color w:val="auto"/>
                <w:szCs w:val="21"/>
                <w:highlight w:val="none"/>
                <w:u w:val="single"/>
              </w:rPr>
            </w:pPr>
            <w:r>
              <w:rPr>
                <w:rFonts w:hint="eastAsia" w:ascii="Calibri" w:hAnsi="Calibri"/>
                <w:color w:val="auto"/>
                <w:szCs w:val="21"/>
                <w:highlight w:val="none"/>
              </w:rPr>
              <w:t>②</w:t>
            </w:r>
            <w:r>
              <w:rPr>
                <w:rFonts w:hint="eastAsia" w:ascii="宋体" w:hAnsi="宋体"/>
                <w:color w:val="auto"/>
                <w:szCs w:val="21"/>
                <w:highlight w:val="none"/>
                <w:u w:val="single"/>
              </w:rPr>
              <w:t xml:space="preserve">       </w:t>
            </w:r>
            <w:r>
              <w:rPr>
                <w:rFonts w:hint="eastAsia" w:ascii="Calibri" w:hAnsi="Calibri"/>
                <w:color w:val="auto"/>
                <w:szCs w:val="21"/>
                <w:highlight w:val="none"/>
              </w:rPr>
              <w:t>；</w:t>
            </w:r>
          </w:p>
          <w:p>
            <w:pPr>
              <w:pStyle w:val="58"/>
              <w:ind w:firstLine="0"/>
              <w:rPr>
                <w:rFonts w:ascii="Calibri" w:hAnsi="Calibri"/>
                <w:color w:val="auto"/>
                <w:highlight w:val="none"/>
              </w:rPr>
            </w:pPr>
            <w:r>
              <w:rPr>
                <w:rFonts w:hint="eastAsia" w:ascii="Calibri" w:hAnsi="Calibri"/>
                <w:color w:val="auto"/>
                <w:szCs w:val="21"/>
                <w:highlight w:val="none"/>
              </w:rPr>
              <w:t>③</w:t>
            </w:r>
            <w:r>
              <w:rPr>
                <w:rFonts w:hint="eastAsia" w:ascii="Calibri" w:hAnsi="Calibri"/>
                <w:color w:val="auto"/>
                <w:szCs w:val="21"/>
                <w:highlight w:val="none"/>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9116" w:type="dxa"/>
            <w:gridSpan w:val="2"/>
            <w:vAlign w:val="center"/>
          </w:tcPr>
          <w:p>
            <w:pPr>
              <w:spacing w:line="400" w:lineRule="exact"/>
              <w:rPr>
                <w:b/>
                <w:color w:val="auto"/>
                <w:sz w:val="21"/>
                <w:szCs w:val="21"/>
                <w:highlight w:val="none"/>
              </w:rPr>
            </w:pPr>
            <w:r>
              <w:rPr>
                <w:rFonts w:hint="eastAsia" w:cs="宋体"/>
                <w:color w:val="auto"/>
                <w:kern w:val="1"/>
                <w:sz w:val="21"/>
                <w:szCs w:val="24"/>
                <w:highlight w:val="none"/>
              </w:rPr>
              <w:t>说明：投标人</w:t>
            </w:r>
            <w:r>
              <w:rPr>
                <w:rFonts w:hint="eastAsia" w:hAnsi="Times New Roman"/>
                <w:color w:val="auto"/>
                <w:sz w:val="21"/>
                <w:szCs w:val="21"/>
                <w:highlight w:val="none"/>
              </w:rPr>
              <w:t>应根据招标文件第四章定标办法的前附表中定标要素编列内容的规定提供与实力子要素有关的证明材料，作为附件列于本表</w:t>
            </w:r>
            <w:r>
              <w:rPr>
                <w:rFonts w:hint="eastAsia" w:cs="宋体"/>
                <w:color w:val="auto"/>
                <w:kern w:val="1"/>
                <w:sz w:val="21"/>
                <w:szCs w:val="24"/>
                <w:highlight w:val="none"/>
              </w:rPr>
              <w:t>续页并按上述明细顺序列编，附件是本表的组成部分。</w:t>
            </w:r>
          </w:p>
        </w:tc>
      </w:tr>
    </w:tbl>
    <w:p>
      <w:pPr>
        <w:widowControl/>
        <w:jc w:val="center"/>
        <w:rPr>
          <w:rFonts w:cs="宋体"/>
          <w:color w:val="auto"/>
          <w:kern w:val="1"/>
          <w:sz w:val="21"/>
          <w:szCs w:val="24"/>
          <w:highlight w:val="none"/>
        </w:rPr>
      </w:pPr>
      <w:r>
        <w:rPr>
          <w:color w:val="auto"/>
          <w:sz w:val="24"/>
          <w:szCs w:val="24"/>
          <w:highlight w:val="none"/>
        </w:rPr>
        <w:br w:type="page"/>
      </w:r>
      <w:bookmarkEnd w:id="1962"/>
      <w:r>
        <w:rPr>
          <w:rFonts w:hint="eastAsia" w:ascii="黑体" w:hAnsi="黑体" w:eastAsia="黑体"/>
          <w:color w:val="auto"/>
          <w:sz w:val="28"/>
          <w:szCs w:val="28"/>
          <w:highlight w:val="none"/>
        </w:rPr>
        <w:t>（九）其他资料</w:t>
      </w:r>
      <w:r>
        <w:rPr>
          <w:rStyle w:val="74"/>
          <w:rFonts w:ascii="黑体" w:hAnsi="黑体" w:eastAsia="黑体"/>
          <w:color w:val="auto"/>
          <w:sz w:val="28"/>
          <w:szCs w:val="28"/>
          <w:highlight w:val="none"/>
        </w:rPr>
        <w:footnoteReference w:id="63"/>
      </w:r>
    </w:p>
    <w:p>
      <w:pPr>
        <w:pStyle w:val="58"/>
        <w:rPr>
          <w:color w:val="auto"/>
          <w:highlight w:val="none"/>
        </w:rPr>
      </w:pPr>
      <w:r>
        <w:rPr>
          <w:color w:val="auto"/>
          <w:highlight w:val="none"/>
        </w:rPr>
        <w:br w:type="page"/>
      </w:r>
    </w:p>
    <w:p>
      <w:pPr>
        <w:spacing w:before="4000"/>
        <w:jc w:val="center"/>
        <w:rPr>
          <w:rFonts w:ascii="黑体" w:hAnsi="黑体" w:eastAsia="黑体"/>
          <w:color w:val="auto"/>
          <w:sz w:val="32"/>
          <w:szCs w:val="32"/>
          <w:highlight w:val="none"/>
        </w:rPr>
      </w:pPr>
      <w:bookmarkStart w:id="1964" w:name="_Toc17130"/>
      <w:bookmarkStart w:id="1965" w:name="_Toc22665"/>
      <w:bookmarkStart w:id="1966" w:name="_Toc20063"/>
      <w:bookmarkStart w:id="1967" w:name="_Toc300038999"/>
      <w:bookmarkStart w:id="1968" w:name="_Toc374616491"/>
      <w:bookmarkStart w:id="1969" w:name="_Toc21293"/>
      <w:bookmarkStart w:id="1970" w:name="_Toc63471534"/>
      <w:bookmarkStart w:id="1971" w:name="_Toc95912269"/>
      <w:bookmarkStart w:id="1972" w:name="_Toc84419885"/>
      <w:bookmarkStart w:id="1973" w:name="_Toc19650"/>
      <w:r>
        <w:rPr>
          <w:rFonts w:hint="eastAsia" w:ascii="黑体" w:hAnsi="黑体" w:eastAsia="黑体"/>
          <w:color w:val="auto"/>
          <w:sz w:val="32"/>
          <w:szCs w:val="32"/>
          <w:highlight w:val="none"/>
        </w:rPr>
        <w:t>第2节 商务文件</w:t>
      </w:r>
      <w:bookmarkEnd w:id="1964"/>
      <w:bookmarkEnd w:id="1965"/>
      <w:bookmarkEnd w:id="1966"/>
      <w:bookmarkEnd w:id="1967"/>
      <w:bookmarkEnd w:id="1968"/>
      <w:bookmarkEnd w:id="1969"/>
      <w:bookmarkEnd w:id="1970"/>
      <w:bookmarkEnd w:id="1971"/>
      <w:bookmarkEnd w:id="1972"/>
      <w:bookmarkEnd w:id="1973"/>
    </w:p>
    <w:p>
      <w:pPr>
        <w:adjustRightInd w:val="0"/>
        <w:snapToGrid w:val="0"/>
        <w:spacing w:line="360" w:lineRule="auto"/>
        <w:jc w:val="center"/>
        <w:textAlignment w:val="baseline"/>
        <w:rPr>
          <w:rFonts w:hAnsi="Times New Roman"/>
          <w:b/>
          <w:color w:val="auto"/>
          <w:kern w:val="2"/>
          <w:sz w:val="32"/>
          <w:szCs w:val="32"/>
          <w:highlight w:val="none"/>
        </w:rPr>
      </w:pPr>
    </w:p>
    <w:p>
      <w:pPr>
        <w:adjustRightInd w:val="0"/>
        <w:spacing w:line="360" w:lineRule="auto"/>
        <w:ind w:firstLine="480" w:firstLineChars="200"/>
        <w:textAlignment w:val="baseline"/>
        <w:rPr>
          <w:rFonts w:hAnsi="Times New Roman"/>
          <w:color w:val="auto"/>
          <w:sz w:val="24"/>
          <w:highlight w:val="none"/>
        </w:rPr>
      </w:pPr>
      <w:r>
        <w:rPr>
          <w:rFonts w:hAnsi="Times New Roman"/>
          <w:color w:val="auto"/>
          <w:sz w:val="24"/>
          <w:highlight w:val="none"/>
        </w:rPr>
        <w:br w:type="page"/>
      </w:r>
    </w:p>
    <w:p>
      <w:pPr>
        <w:adjustRightInd w:val="0"/>
        <w:spacing w:beforeLines="600" w:line="420" w:lineRule="exact"/>
        <w:ind w:firstLine="840" w:firstLineChars="300"/>
        <w:jc w:val="left"/>
        <w:textAlignment w:val="baseline"/>
        <w:rPr>
          <w:rFonts w:hAnsi="Times New Roman"/>
          <w:color w:val="auto"/>
          <w:kern w:val="2"/>
          <w:sz w:val="28"/>
          <w:highlight w:val="none"/>
          <w:u w:val="single"/>
        </w:rPr>
      </w:pPr>
      <w:r>
        <w:rPr>
          <w:rFonts w:hint="eastAsia" w:hAnsi="Times New Roman"/>
          <w:color w:val="auto"/>
          <w:kern w:val="2"/>
          <w:sz w:val="28"/>
          <w:highlight w:val="none"/>
          <w:u w:val="single"/>
        </w:rPr>
        <w:t xml:space="preserve">                          </w:t>
      </w:r>
      <w:r>
        <w:rPr>
          <w:rFonts w:hint="eastAsia" w:ascii="黑体" w:hAnsi="黑体" w:eastAsia="黑体"/>
          <w:color w:val="auto"/>
          <w:kern w:val="2"/>
          <w:sz w:val="28"/>
          <w:highlight w:val="none"/>
        </w:rPr>
        <w:t>（项目名称）</w:t>
      </w:r>
      <w:r>
        <w:rPr>
          <w:rFonts w:hint="eastAsia" w:ascii="黑体" w:hAnsi="黑体" w:eastAsia="黑体"/>
          <w:color w:val="auto"/>
          <w:kern w:val="2"/>
          <w:sz w:val="28"/>
          <w:highlight w:val="none"/>
          <w:u w:val="single"/>
        </w:rPr>
        <w:t xml:space="preserve">    </w:t>
      </w:r>
      <w:r>
        <w:rPr>
          <w:rFonts w:hint="eastAsia" w:ascii="黑体" w:hAnsi="黑体" w:eastAsia="黑体"/>
          <w:color w:val="auto"/>
          <w:kern w:val="2"/>
          <w:sz w:val="28"/>
          <w:highlight w:val="none"/>
        </w:rPr>
        <w:t>标段施工招标</w:t>
      </w:r>
    </w:p>
    <w:p>
      <w:pPr>
        <w:adjustRightInd w:val="0"/>
        <w:spacing w:afterLines="100" w:line="420" w:lineRule="exact"/>
        <w:ind w:firstLine="2525" w:firstLineChars="902"/>
        <w:jc w:val="left"/>
        <w:textAlignment w:val="baseline"/>
        <w:rPr>
          <w:rFonts w:ascii="黑体" w:hAnsi="黑体" w:eastAsia="黑体"/>
          <w:color w:val="auto"/>
          <w:kern w:val="2"/>
          <w:sz w:val="28"/>
          <w:highlight w:val="none"/>
        </w:rPr>
      </w:pPr>
    </w:p>
    <w:p>
      <w:pPr>
        <w:adjustRightInd w:val="0"/>
        <w:spacing w:afterLines="100" w:line="420" w:lineRule="exact"/>
        <w:jc w:val="left"/>
        <w:textAlignment w:val="baseline"/>
        <w:rPr>
          <w:rFonts w:ascii="黑体" w:hAnsi="黑体" w:eastAsia="黑体"/>
          <w:color w:val="auto"/>
          <w:kern w:val="2"/>
          <w:sz w:val="28"/>
          <w:highlight w:val="none"/>
        </w:rPr>
      </w:pPr>
    </w:p>
    <w:p>
      <w:pPr>
        <w:adjustRightInd w:val="0"/>
        <w:spacing w:afterLines="100" w:line="540" w:lineRule="exact"/>
        <w:ind w:firstLine="1570" w:firstLineChars="302"/>
        <w:jc w:val="left"/>
        <w:textAlignment w:val="baseline"/>
        <w:rPr>
          <w:rFonts w:ascii="黑体" w:hAnsi="黑体" w:eastAsia="黑体"/>
          <w:color w:val="auto"/>
          <w:kern w:val="2"/>
          <w:sz w:val="52"/>
          <w:szCs w:val="52"/>
          <w:highlight w:val="none"/>
        </w:rPr>
      </w:pPr>
    </w:p>
    <w:p>
      <w:pPr>
        <w:adjustRightInd w:val="0"/>
        <w:spacing w:beforeLines="100" w:line="540" w:lineRule="exact"/>
        <w:jc w:val="center"/>
        <w:textAlignment w:val="baseline"/>
        <w:rPr>
          <w:rFonts w:ascii="黑体" w:hAnsi="黑体" w:eastAsia="黑体"/>
          <w:color w:val="auto"/>
          <w:kern w:val="2"/>
          <w:sz w:val="52"/>
          <w:szCs w:val="52"/>
          <w:highlight w:val="none"/>
        </w:rPr>
      </w:pPr>
      <w:r>
        <w:rPr>
          <w:rFonts w:hint="eastAsia" w:ascii="黑体" w:hAnsi="黑体" w:eastAsia="黑体"/>
          <w:color w:val="auto"/>
          <w:kern w:val="2"/>
          <w:sz w:val="52"/>
          <w:szCs w:val="52"/>
          <w:highlight w:val="none"/>
        </w:rPr>
        <w:t>投标文件</w:t>
      </w:r>
    </w:p>
    <w:p>
      <w:pPr>
        <w:adjustRightInd w:val="0"/>
        <w:spacing w:beforeLines="100" w:line="420" w:lineRule="exact"/>
        <w:jc w:val="center"/>
        <w:textAlignment w:val="baseline"/>
        <w:rPr>
          <w:rFonts w:ascii="黑体" w:hAnsi="黑体" w:eastAsia="黑体"/>
          <w:color w:val="auto"/>
          <w:kern w:val="2"/>
          <w:sz w:val="28"/>
          <w:szCs w:val="28"/>
          <w:highlight w:val="none"/>
        </w:rPr>
      </w:pPr>
      <w:r>
        <w:rPr>
          <w:rFonts w:hint="eastAsia" w:ascii="黑体" w:hAnsi="黑体" w:eastAsia="黑体"/>
          <w:color w:val="auto"/>
          <w:kern w:val="2"/>
          <w:sz w:val="28"/>
          <w:szCs w:val="28"/>
          <w:highlight w:val="none"/>
        </w:rPr>
        <w:t>（商务文件）</w:t>
      </w:r>
    </w:p>
    <w:p>
      <w:pPr>
        <w:adjustRightInd w:val="0"/>
        <w:spacing w:beforeLines="100" w:line="420" w:lineRule="exact"/>
        <w:jc w:val="center"/>
        <w:textAlignment w:val="baseline"/>
        <w:rPr>
          <w:rFonts w:ascii="黑体" w:hAnsi="黑体" w:eastAsia="黑体"/>
          <w:color w:val="auto"/>
          <w:kern w:val="2"/>
          <w:sz w:val="44"/>
          <w:szCs w:val="44"/>
          <w:highlight w:val="none"/>
        </w:rPr>
      </w:pPr>
    </w:p>
    <w:p>
      <w:pPr>
        <w:adjustRightInd w:val="0"/>
        <w:spacing w:beforeLines="100" w:line="420" w:lineRule="exact"/>
        <w:jc w:val="center"/>
        <w:textAlignment w:val="baseline"/>
        <w:rPr>
          <w:rFonts w:ascii="黑体" w:hAnsi="黑体" w:eastAsia="黑体"/>
          <w:color w:val="auto"/>
          <w:kern w:val="2"/>
          <w:sz w:val="44"/>
          <w:szCs w:val="44"/>
          <w:highlight w:val="none"/>
        </w:rPr>
      </w:pPr>
    </w:p>
    <w:p>
      <w:pPr>
        <w:adjustRightInd w:val="0"/>
        <w:spacing w:beforeLines="100" w:line="420" w:lineRule="exact"/>
        <w:jc w:val="center"/>
        <w:textAlignment w:val="baseline"/>
        <w:rPr>
          <w:rFonts w:ascii="黑体" w:hAnsi="黑体" w:eastAsia="黑体"/>
          <w:color w:val="auto"/>
          <w:kern w:val="2"/>
          <w:sz w:val="44"/>
          <w:szCs w:val="44"/>
          <w:highlight w:val="none"/>
        </w:rPr>
      </w:pPr>
    </w:p>
    <w:p>
      <w:pPr>
        <w:pStyle w:val="59"/>
        <w:rPr>
          <w:color w:val="auto"/>
          <w:highlight w:val="none"/>
        </w:rPr>
      </w:pPr>
    </w:p>
    <w:p>
      <w:pPr>
        <w:pStyle w:val="59"/>
        <w:rPr>
          <w:color w:val="auto"/>
          <w:highlight w:val="none"/>
        </w:rPr>
      </w:pPr>
    </w:p>
    <w:p>
      <w:pPr>
        <w:adjustRightInd w:val="0"/>
        <w:spacing w:beforeLines="100" w:line="420" w:lineRule="exact"/>
        <w:jc w:val="center"/>
        <w:textAlignment w:val="baseline"/>
        <w:rPr>
          <w:rFonts w:ascii="黑体" w:hAnsi="黑体" w:eastAsia="黑体"/>
          <w:color w:val="auto"/>
          <w:kern w:val="2"/>
          <w:sz w:val="44"/>
          <w:szCs w:val="44"/>
          <w:highlight w:val="none"/>
        </w:rPr>
      </w:pPr>
    </w:p>
    <w:p>
      <w:pPr>
        <w:adjustRightInd w:val="0"/>
        <w:spacing w:line="360" w:lineRule="auto"/>
        <w:ind w:firstLine="1260" w:firstLineChars="450"/>
        <w:jc w:val="left"/>
        <w:textAlignment w:val="baseline"/>
        <w:rPr>
          <w:rFonts w:ascii="黑体" w:hAnsi="黑体" w:eastAsia="黑体"/>
          <w:color w:val="auto"/>
          <w:kern w:val="2"/>
          <w:sz w:val="24"/>
          <w:highlight w:val="none"/>
        </w:rPr>
      </w:pPr>
      <w:r>
        <w:rPr>
          <w:rFonts w:hint="eastAsia" w:ascii="黑体" w:hAnsi="黑体" w:eastAsia="黑体"/>
          <w:color w:val="auto"/>
          <w:kern w:val="2"/>
          <w:sz w:val="28"/>
          <w:highlight w:val="none"/>
        </w:rPr>
        <w:t>招标项目编号：</w:t>
      </w:r>
      <w:r>
        <w:rPr>
          <w:rFonts w:hint="eastAsia" w:ascii="黑体" w:hAnsi="黑体" w:eastAsia="黑体"/>
          <w:color w:val="auto"/>
          <w:kern w:val="2"/>
          <w:sz w:val="28"/>
          <w:highlight w:val="none"/>
          <w:u w:val="single"/>
        </w:rPr>
        <w:t xml:space="preserve">                                       </w:t>
      </w:r>
    </w:p>
    <w:p>
      <w:pPr>
        <w:adjustRightInd w:val="0"/>
        <w:spacing w:line="360" w:lineRule="auto"/>
        <w:ind w:firstLine="1260" w:firstLineChars="450"/>
        <w:textAlignment w:val="baseline"/>
        <w:rPr>
          <w:rFonts w:ascii="黑体" w:hAnsi="黑体" w:eastAsia="黑体"/>
          <w:color w:val="auto"/>
          <w:kern w:val="2"/>
          <w:sz w:val="28"/>
          <w:highlight w:val="none"/>
        </w:rPr>
      </w:pPr>
      <w:r>
        <w:rPr>
          <w:rFonts w:hint="eastAsia" w:ascii="黑体" w:hAnsi="黑体" w:eastAsia="黑体"/>
          <w:color w:val="auto"/>
          <w:kern w:val="2"/>
          <w:sz w:val="28"/>
          <w:highlight w:val="none"/>
        </w:rPr>
        <w:t>投标人：</w:t>
      </w:r>
      <w:r>
        <w:rPr>
          <w:rFonts w:hint="eastAsia" w:ascii="黑体" w:hAnsi="黑体" w:eastAsia="黑体"/>
          <w:color w:val="auto"/>
          <w:kern w:val="2"/>
          <w:sz w:val="28"/>
          <w:highlight w:val="none"/>
          <w:u w:val="single"/>
        </w:rPr>
        <w:t xml:space="preserve">                               </w:t>
      </w:r>
      <w:r>
        <w:rPr>
          <w:rFonts w:hint="eastAsia" w:ascii="黑体" w:hAnsi="黑体" w:eastAsia="黑体"/>
          <w:color w:val="auto"/>
          <w:kern w:val="2"/>
          <w:sz w:val="28"/>
          <w:highlight w:val="none"/>
        </w:rPr>
        <w:t>（盖单位公章）</w:t>
      </w:r>
      <w:r>
        <w:rPr>
          <w:rFonts w:ascii="黑体" w:hAnsi="黑体" w:eastAsia="黑体"/>
          <w:color w:val="auto"/>
          <w:kern w:val="2"/>
          <w:position w:val="-2"/>
          <w:sz w:val="28"/>
          <w:highlight w:val="none"/>
          <w:vertAlign w:val="superscript"/>
        </w:rPr>
        <w:footnoteReference w:id="64"/>
      </w:r>
    </w:p>
    <w:p>
      <w:pPr>
        <w:adjustRightInd w:val="0"/>
        <w:spacing w:line="360" w:lineRule="auto"/>
        <w:ind w:firstLine="1260" w:firstLineChars="450"/>
        <w:textAlignment w:val="baseline"/>
        <w:rPr>
          <w:rFonts w:ascii="黑体" w:hAnsi="黑体" w:eastAsia="黑体"/>
          <w:color w:val="auto"/>
          <w:kern w:val="2"/>
          <w:sz w:val="28"/>
          <w:highlight w:val="none"/>
          <w:u w:val="single"/>
        </w:rPr>
      </w:pPr>
      <w:r>
        <w:rPr>
          <w:rFonts w:hint="eastAsia" w:ascii="黑体" w:hAnsi="黑体" w:eastAsia="黑体"/>
          <w:color w:val="auto"/>
          <w:kern w:val="2"/>
          <w:sz w:val="28"/>
          <w:highlight w:val="none"/>
        </w:rPr>
        <w:t>法定代表人或其委托代理人：</w:t>
      </w:r>
      <w:r>
        <w:rPr>
          <w:rFonts w:hint="eastAsia" w:ascii="黑体" w:hAnsi="黑体" w:eastAsia="黑体"/>
          <w:color w:val="auto"/>
          <w:kern w:val="2"/>
          <w:sz w:val="28"/>
          <w:highlight w:val="none"/>
          <w:u w:val="single"/>
        </w:rPr>
        <w:t xml:space="preserve">                   </w:t>
      </w:r>
      <w:r>
        <w:rPr>
          <w:rFonts w:hint="eastAsia" w:ascii="黑体" w:hAnsi="黑体" w:eastAsia="黑体"/>
          <w:color w:val="auto"/>
          <w:kern w:val="2"/>
          <w:sz w:val="28"/>
          <w:highlight w:val="none"/>
        </w:rPr>
        <w:t>（盖章）</w:t>
      </w:r>
      <w:r>
        <w:rPr>
          <w:rFonts w:ascii="黑体" w:hAnsi="黑体" w:eastAsia="黑体"/>
          <w:color w:val="auto"/>
          <w:kern w:val="2"/>
          <w:position w:val="-2"/>
          <w:sz w:val="28"/>
          <w:highlight w:val="none"/>
          <w:vertAlign w:val="superscript"/>
        </w:rPr>
        <w:footnoteReference w:id="65"/>
      </w:r>
    </w:p>
    <w:p>
      <w:pPr>
        <w:adjustRightInd w:val="0"/>
        <w:spacing w:line="360" w:lineRule="auto"/>
        <w:ind w:firstLine="1260" w:firstLineChars="450"/>
        <w:textAlignment w:val="baseline"/>
        <w:rPr>
          <w:rFonts w:ascii="黑体" w:hAnsi="黑体" w:eastAsia="黑体"/>
          <w:color w:val="auto"/>
          <w:kern w:val="2"/>
          <w:sz w:val="28"/>
          <w:highlight w:val="none"/>
          <w:u w:val="single"/>
        </w:rPr>
      </w:pPr>
      <w:r>
        <w:rPr>
          <w:rFonts w:hint="eastAsia" w:ascii="黑体" w:hAnsi="黑体" w:eastAsia="黑体"/>
          <w:color w:val="auto"/>
          <w:sz w:val="28"/>
          <w:highlight w:val="none"/>
        </w:rPr>
        <w:t>编制日期：</w:t>
      </w:r>
      <w:r>
        <w:rPr>
          <w:rFonts w:hint="eastAsia" w:ascii="黑体" w:hAnsi="黑体" w:eastAsia="黑体"/>
          <w:color w:val="auto"/>
          <w:sz w:val="28"/>
          <w:highlight w:val="none"/>
          <w:u w:val="single"/>
        </w:rPr>
        <w:t xml:space="preserve">　 　  </w:t>
      </w:r>
      <w:r>
        <w:rPr>
          <w:rFonts w:hint="eastAsia" w:ascii="黑体" w:hAnsi="黑体" w:eastAsia="黑体"/>
          <w:color w:val="auto"/>
          <w:sz w:val="28"/>
          <w:highlight w:val="none"/>
        </w:rPr>
        <w:t>年</w:t>
      </w:r>
      <w:r>
        <w:rPr>
          <w:rFonts w:hint="eastAsia" w:ascii="黑体" w:hAnsi="黑体" w:eastAsia="黑体"/>
          <w:color w:val="auto"/>
          <w:sz w:val="28"/>
          <w:highlight w:val="none"/>
          <w:u w:val="single"/>
        </w:rPr>
        <w:t xml:space="preserve">   　</w:t>
      </w:r>
      <w:r>
        <w:rPr>
          <w:rFonts w:hint="eastAsia" w:ascii="黑体" w:hAnsi="黑体" w:eastAsia="黑体"/>
          <w:color w:val="auto"/>
          <w:sz w:val="28"/>
          <w:highlight w:val="none"/>
        </w:rPr>
        <w:t>月</w:t>
      </w:r>
      <w:r>
        <w:rPr>
          <w:rFonts w:hint="eastAsia" w:ascii="黑体" w:hAnsi="黑体" w:eastAsia="黑体"/>
          <w:color w:val="auto"/>
          <w:sz w:val="28"/>
          <w:highlight w:val="none"/>
          <w:u w:val="single"/>
        </w:rPr>
        <w:t xml:space="preserve">   　</w:t>
      </w:r>
      <w:r>
        <w:rPr>
          <w:rFonts w:hint="eastAsia" w:ascii="黑体" w:hAnsi="黑体" w:eastAsia="黑体"/>
          <w:color w:val="auto"/>
          <w:sz w:val="28"/>
          <w:highlight w:val="none"/>
        </w:rPr>
        <w:t>日</w:t>
      </w:r>
    </w:p>
    <w:p>
      <w:pPr>
        <w:adjustRightInd w:val="0"/>
        <w:spacing w:line="360" w:lineRule="auto"/>
        <w:ind w:firstLine="750" w:firstLineChars="250"/>
        <w:jc w:val="center"/>
        <w:textAlignment w:val="baseline"/>
        <w:rPr>
          <w:rFonts w:hAnsi="Times New Roman"/>
          <w:color w:val="auto"/>
          <w:sz w:val="30"/>
          <w:highlight w:val="none"/>
        </w:rPr>
      </w:pPr>
      <w:r>
        <w:rPr>
          <w:rFonts w:hint="eastAsia" w:hAnsi="Times New Roman"/>
          <w:color w:val="auto"/>
          <w:sz w:val="30"/>
          <w:highlight w:val="none"/>
        </w:rPr>
        <w:br w:type="page"/>
      </w:r>
    </w:p>
    <w:p>
      <w:pPr>
        <w:adjustRightInd w:val="0"/>
        <w:spacing w:line="360" w:lineRule="auto"/>
        <w:jc w:val="center"/>
        <w:textAlignment w:val="baseline"/>
        <w:rPr>
          <w:rFonts w:ascii="黑体" w:hAnsi="黑体" w:eastAsia="黑体"/>
          <w:color w:val="auto"/>
          <w:sz w:val="32"/>
          <w:szCs w:val="32"/>
          <w:highlight w:val="none"/>
        </w:rPr>
      </w:pPr>
      <w:r>
        <w:rPr>
          <w:rFonts w:hint="eastAsia" w:ascii="黑体" w:hAnsi="黑体" w:eastAsia="黑体"/>
          <w:color w:val="auto"/>
          <w:sz w:val="32"/>
          <w:szCs w:val="32"/>
          <w:highlight w:val="none"/>
        </w:rPr>
        <w:t>目   录</w:t>
      </w:r>
    </w:p>
    <w:p>
      <w:pPr>
        <w:tabs>
          <w:tab w:val="left" w:pos="840"/>
          <w:tab w:val="left" w:pos="1600"/>
        </w:tabs>
        <w:adjustRightInd w:val="0"/>
        <w:snapToGrid w:val="0"/>
        <w:spacing w:line="560" w:lineRule="exact"/>
        <w:textAlignment w:val="baseline"/>
        <w:rPr>
          <w:rFonts w:hAnsi="Times New Roman"/>
          <w:b/>
          <w:color w:val="auto"/>
          <w:sz w:val="28"/>
          <w:highlight w:val="none"/>
        </w:rPr>
      </w:pPr>
    </w:p>
    <w:p>
      <w:pPr>
        <w:numPr>
          <w:ilvl w:val="3"/>
          <w:numId w:val="36"/>
        </w:numPr>
        <w:tabs>
          <w:tab w:val="left" w:pos="840"/>
          <w:tab w:val="left" w:pos="1600"/>
        </w:tabs>
        <w:adjustRightInd w:val="0"/>
        <w:snapToGrid w:val="0"/>
        <w:spacing w:line="360" w:lineRule="auto"/>
        <w:ind w:left="1469" w:firstLine="1083"/>
        <w:jc w:val="left"/>
        <w:textAlignment w:val="baseline"/>
        <w:rPr>
          <w:rFonts w:hAnsi="Times New Roman"/>
          <w:color w:val="auto"/>
          <w:sz w:val="21"/>
          <w:szCs w:val="21"/>
          <w:highlight w:val="none"/>
        </w:rPr>
      </w:pPr>
      <w:r>
        <w:rPr>
          <w:rFonts w:hint="eastAsia" w:hAnsi="Times New Roman"/>
          <w:color w:val="auto"/>
          <w:sz w:val="21"/>
          <w:szCs w:val="21"/>
          <w:highlight w:val="none"/>
        </w:rPr>
        <w:t>投标函</w:t>
      </w:r>
    </w:p>
    <w:p>
      <w:pPr>
        <w:numPr>
          <w:ilvl w:val="3"/>
          <w:numId w:val="36"/>
        </w:numPr>
        <w:spacing w:line="360" w:lineRule="auto"/>
        <w:ind w:left="1469" w:firstLine="1083"/>
        <w:jc w:val="left"/>
        <w:rPr>
          <w:rFonts w:hAnsi="Times New Roman"/>
          <w:color w:val="auto"/>
          <w:sz w:val="21"/>
          <w:szCs w:val="21"/>
          <w:highlight w:val="none"/>
        </w:rPr>
      </w:pPr>
      <w:r>
        <w:rPr>
          <w:rFonts w:hint="eastAsia" w:hAnsi="Times New Roman"/>
          <w:color w:val="auto"/>
          <w:sz w:val="21"/>
          <w:szCs w:val="21"/>
          <w:highlight w:val="none"/>
        </w:rPr>
        <w:t>投标函附录</w:t>
      </w:r>
    </w:p>
    <w:p>
      <w:pPr>
        <w:pStyle w:val="59"/>
        <w:numPr>
          <w:ilvl w:val="3"/>
          <w:numId w:val="36"/>
        </w:numPr>
        <w:spacing w:after="0" w:line="360" w:lineRule="auto"/>
        <w:ind w:left="1469" w:firstLine="1083"/>
        <w:rPr>
          <w:rFonts w:ascii="宋体"/>
          <w:color w:val="auto"/>
          <w:kern w:val="0"/>
          <w:szCs w:val="21"/>
          <w:highlight w:val="none"/>
        </w:rPr>
      </w:pPr>
      <w:r>
        <w:rPr>
          <w:rFonts w:hint="eastAsia" w:ascii="宋体"/>
          <w:color w:val="auto"/>
          <w:kern w:val="0"/>
          <w:szCs w:val="21"/>
          <w:highlight w:val="none"/>
        </w:rPr>
        <w:t>已标价工程量清单有关编制人员情况表</w:t>
      </w:r>
    </w:p>
    <w:p>
      <w:pPr>
        <w:numPr>
          <w:ilvl w:val="3"/>
          <w:numId w:val="36"/>
        </w:numPr>
        <w:spacing w:line="360" w:lineRule="auto"/>
        <w:ind w:left="1469" w:firstLine="1083"/>
        <w:jc w:val="left"/>
        <w:rPr>
          <w:rFonts w:hAnsi="Times New Roman"/>
          <w:color w:val="auto"/>
          <w:sz w:val="21"/>
          <w:szCs w:val="21"/>
          <w:highlight w:val="none"/>
        </w:rPr>
      </w:pPr>
      <w:r>
        <w:rPr>
          <w:rFonts w:hint="eastAsia" w:hAnsi="Times New Roman"/>
          <w:color w:val="auto"/>
          <w:sz w:val="21"/>
          <w:szCs w:val="21"/>
          <w:highlight w:val="none"/>
        </w:rPr>
        <w:t>已标价工程量清单</w:t>
      </w:r>
    </w:p>
    <w:p>
      <w:pPr>
        <w:numPr>
          <w:ilvl w:val="3"/>
          <w:numId w:val="36"/>
        </w:numPr>
        <w:spacing w:line="360" w:lineRule="auto"/>
        <w:ind w:left="1469" w:firstLine="1083"/>
        <w:jc w:val="left"/>
        <w:rPr>
          <w:rFonts w:hAnsi="Times New Roman"/>
          <w:color w:val="auto"/>
          <w:sz w:val="21"/>
          <w:szCs w:val="21"/>
          <w:highlight w:val="none"/>
        </w:rPr>
      </w:pPr>
      <w:r>
        <w:rPr>
          <w:rFonts w:hint="eastAsia" w:hAnsi="Times New Roman"/>
          <w:color w:val="auto"/>
          <w:sz w:val="21"/>
          <w:szCs w:val="21"/>
          <w:highlight w:val="none"/>
        </w:rPr>
        <w:t>其他资料</w:t>
      </w:r>
    </w:p>
    <w:p>
      <w:pPr>
        <w:adjustRightInd w:val="0"/>
        <w:spacing w:line="360" w:lineRule="auto"/>
        <w:textAlignment w:val="baseline"/>
        <w:rPr>
          <w:rFonts w:hAnsi="Times New Roman"/>
          <w:color w:val="auto"/>
          <w:sz w:val="24"/>
          <w:highlight w:val="none"/>
        </w:rPr>
      </w:pPr>
    </w:p>
    <w:p>
      <w:pPr>
        <w:spacing w:beforeLines="100" w:afterLines="100" w:line="360" w:lineRule="auto"/>
        <w:jc w:val="center"/>
        <w:rPr>
          <w:rFonts w:ascii="黑体" w:hAnsi="黑体" w:eastAsia="黑体"/>
          <w:color w:val="auto"/>
          <w:sz w:val="32"/>
          <w:szCs w:val="32"/>
          <w:highlight w:val="none"/>
        </w:rPr>
      </w:pPr>
      <w:r>
        <w:rPr>
          <w:rFonts w:ascii="Times New Roman" w:hAnsi="Times New Roman"/>
          <w:color w:val="auto"/>
          <w:sz w:val="20"/>
          <w:highlight w:val="none"/>
        </w:rPr>
        <w:br w:type="page"/>
      </w:r>
      <w:r>
        <w:rPr>
          <w:rFonts w:hint="eastAsia" w:ascii="黑体" w:hAnsi="黑体" w:eastAsia="黑体"/>
          <w:color w:val="auto"/>
          <w:sz w:val="32"/>
          <w:szCs w:val="32"/>
          <w:highlight w:val="none"/>
        </w:rPr>
        <w:t>一、投标函</w:t>
      </w:r>
    </w:p>
    <w:p>
      <w:pPr>
        <w:autoSpaceDE w:val="0"/>
        <w:autoSpaceDN w:val="0"/>
        <w:adjustRightInd w:val="0"/>
        <w:spacing w:line="360" w:lineRule="auto"/>
        <w:jc w:val="left"/>
        <w:rPr>
          <w:rFonts w:hAnsi="Times New Roman" w:cs="宋体"/>
          <w:color w:val="auto"/>
          <w:sz w:val="21"/>
          <w:szCs w:val="21"/>
          <w:highlight w:val="none"/>
        </w:rPr>
      </w:pPr>
      <w:r>
        <w:rPr>
          <w:rFonts w:hint="eastAsia" w:hAnsi="Times New Roman" w:cs="宋体"/>
          <w:color w:val="auto"/>
          <w:sz w:val="21"/>
          <w:szCs w:val="21"/>
          <w:highlight w:val="none"/>
          <w:u w:val="single"/>
        </w:rPr>
        <w:t xml:space="preserve">                             </w:t>
      </w:r>
      <w:r>
        <w:rPr>
          <w:rFonts w:hint="eastAsia" w:hAnsi="Times New Roman" w:cs="宋体"/>
          <w:i/>
          <w:iCs/>
          <w:color w:val="auto"/>
          <w:sz w:val="21"/>
          <w:szCs w:val="21"/>
          <w:highlight w:val="none"/>
          <w:u w:val="single"/>
        </w:rPr>
        <w:t>（招标人名称）</w:t>
      </w:r>
      <w:r>
        <w:rPr>
          <w:rFonts w:hint="eastAsia" w:hAnsi="Times New Roman" w:cs="宋体"/>
          <w:color w:val="auto"/>
          <w:sz w:val="21"/>
          <w:szCs w:val="21"/>
          <w:highlight w:val="none"/>
        </w:rPr>
        <w:t>：</w:t>
      </w:r>
      <w:r>
        <w:rPr>
          <w:rFonts w:hAnsi="Times New Roman" w:cs="宋体"/>
          <w:color w:val="auto"/>
          <w:sz w:val="21"/>
          <w:szCs w:val="21"/>
          <w:highlight w:val="none"/>
        </w:rPr>
        <w:t xml:space="preserve"> </w:t>
      </w:r>
    </w:p>
    <w:p>
      <w:pPr>
        <w:autoSpaceDE w:val="0"/>
        <w:autoSpaceDN w:val="0"/>
        <w:adjustRightInd w:val="0"/>
        <w:spacing w:line="360" w:lineRule="auto"/>
        <w:jc w:val="left"/>
        <w:rPr>
          <w:rFonts w:hAnsi="Times New Roman"/>
          <w:color w:val="auto"/>
          <w:sz w:val="21"/>
          <w:szCs w:val="21"/>
          <w:highlight w:val="none"/>
        </w:rPr>
      </w:pPr>
      <w:r>
        <w:rPr>
          <w:rFonts w:hint="eastAsia" w:hAnsi="Times New Roman"/>
          <w:color w:val="auto"/>
          <w:sz w:val="21"/>
          <w:szCs w:val="21"/>
          <w:highlight w:val="none"/>
        </w:rPr>
        <w:t xml:space="preserve">    </w:t>
      </w:r>
      <w:r>
        <w:rPr>
          <w:rFonts w:hAnsi="Times New Roman"/>
          <w:color w:val="auto"/>
          <w:sz w:val="21"/>
          <w:szCs w:val="21"/>
          <w:highlight w:val="none"/>
        </w:rPr>
        <w:t>1</w:t>
      </w:r>
      <w:r>
        <w:rPr>
          <w:rFonts w:hint="eastAsia" w:hAnsi="Times New Roman"/>
          <w:color w:val="auto"/>
          <w:sz w:val="21"/>
          <w:szCs w:val="21"/>
          <w:highlight w:val="none"/>
        </w:rPr>
        <w:t>．我方已仔细研究了</w:t>
      </w:r>
      <w:r>
        <w:rPr>
          <w:rFonts w:hint="eastAsia" w:hAnsi="Times New Roman"/>
          <w:color w:val="auto"/>
          <w:sz w:val="21"/>
          <w:szCs w:val="21"/>
          <w:highlight w:val="none"/>
          <w:u w:val="single"/>
        </w:rPr>
        <w:t xml:space="preserve">                   </w:t>
      </w:r>
      <w:r>
        <w:rPr>
          <w:rFonts w:hint="eastAsia" w:hAnsi="Times New Roman"/>
          <w:color w:val="auto"/>
          <w:sz w:val="21"/>
          <w:szCs w:val="21"/>
          <w:highlight w:val="none"/>
        </w:rPr>
        <w:t>（项目名称）</w:t>
      </w:r>
      <w:r>
        <w:rPr>
          <w:rFonts w:hint="eastAsia" w:hAnsi="Times New Roman"/>
          <w:color w:val="auto"/>
          <w:sz w:val="21"/>
          <w:szCs w:val="21"/>
          <w:highlight w:val="none"/>
          <w:u w:val="single"/>
        </w:rPr>
        <w:t xml:space="preserve">         </w:t>
      </w:r>
      <w:r>
        <w:rPr>
          <w:rFonts w:hint="eastAsia" w:hAnsi="Times New Roman"/>
          <w:color w:val="auto"/>
          <w:sz w:val="21"/>
          <w:szCs w:val="21"/>
          <w:highlight w:val="none"/>
        </w:rPr>
        <w:t>标段施工招标文件的全部内容，愿意以人民币（大写）</w:t>
      </w:r>
      <w:r>
        <w:rPr>
          <w:rFonts w:hint="eastAsia" w:hAnsi="Times New Roman"/>
          <w:color w:val="auto"/>
          <w:sz w:val="21"/>
          <w:szCs w:val="21"/>
          <w:highlight w:val="none"/>
          <w:u w:val="single"/>
        </w:rPr>
        <w:t xml:space="preserve">           </w:t>
      </w:r>
      <w:r>
        <w:rPr>
          <w:rFonts w:hint="eastAsia" w:hAnsi="Times New Roman"/>
          <w:color w:val="auto"/>
          <w:sz w:val="21"/>
          <w:szCs w:val="21"/>
          <w:highlight w:val="none"/>
        </w:rPr>
        <w:t>元（</w:t>
      </w:r>
      <w:r>
        <w:rPr>
          <w:rFonts w:hAnsi="Times New Roman"/>
          <w:color w:val="auto"/>
          <w:sz w:val="21"/>
          <w:szCs w:val="21"/>
          <w:highlight w:val="none"/>
        </w:rPr>
        <w:t>¥</w:t>
      </w:r>
      <w:r>
        <w:rPr>
          <w:rFonts w:hint="eastAsia" w:hAnsi="Times New Roman"/>
          <w:color w:val="auto"/>
          <w:sz w:val="21"/>
          <w:szCs w:val="21"/>
          <w:highlight w:val="none"/>
          <w:u w:val="single"/>
        </w:rPr>
        <w:t xml:space="preserve">            </w:t>
      </w:r>
      <w:r>
        <w:rPr>
          <w:rFonts w:hint="eastAsia" w:hAnsi="Times New Roman"/>
          <w:color w:val="auto"/>
          <w:sz w:val="21"/>
          <w:szCs w:val="21"/>
          <w:highlight w:val="none"/>
        </w:rPr>
        <w:t>元）的投标总报价，工期</w:t>
      </w:r>
      <w:r>
        <w:rPr>
          <w:rFonts w:hint="eastAsia" w:hAnsi="Times New Roman"/>
          <w:color w:val="auto"/>
          <w:sz w:val="21"/>
          <w:szCs w:val="21"/>
          <w:highlight w:val="none"/>
          <w:u w:val="single"/>
        </w:rPr>
        <w:t xml:space="preserve">       </w:t>
      </w:r>
      <w:r>
        <w:rPr>
          <w:rFonts w:hint="eastAsia" w:hAnsi="Times New Roman"/>
          <w:color w:val="auto"/>
          <w:sz w:val="21"/>
          <w:szCs w:val="21"/>
          <w:highlight w:val="none"/>
        </w:rPr>
        <w:t>日历天（其中各关键节点的工期要求为</w:t>
      </w:r>
      <w:r>
        <w:rPr>
          <w:rFonts w:hint="eastAsia" w:hAnsi="Times New Roman"/>
          <w:color w:val="auto"/>
          <w:sz w:val="21"/>
          <w:szCs w:val="21"/>
          <w:highlight w:val="none"/>
          <w:u w:val="single"/>
        </w:rPr>
        <w:t xml:space="preserve">            </w:t>
      </w:r>
      <w:r>
        <w:rPr>
          <w:rFonts w:hint="eastAsia" w:hAnsi="Times New Roman"/>
          <w:color w:val="auto"/>
          <w:sz w:val="21"/>
          <w:szCs w:val="21"/>
          <w:highlight w:val="none"/>
        </w:rPr>
        <w:t>），按合同约定实施和完成承包工程，修补工程中的任何缺陷，工程质量达到</w:t>
      </w:r>
      <w:r>
        <w:rPr>
          <w:rFonts w:hint="eastAsia" w:hAnsi="Times New Roman"/>
          <w:color w:val="auto"/>
          <w:sz w:val="21"/>
          <w:szCs w:val="21"/>
          <w:highlight w:val="none"/>
          <w:u w:val="single"/>
        </w:rPr>
        <w:t xml:space="preserve">            </w:t>
      </w:r>
      <w:r>
        <w:rPr>
          <w:rFonts w:hint="eastAsia" w:hAnsi="Times New Roman"/>
          <w:color w:val="auto"/>
          <w:sz w:val="21"/>
          <w:szCs w:val="21"/>
          <w:highlight w:val="none"/>
        </w:rPr>
        <w:t>标准。</w:t>
      </w:r>
    </w:p>
    <w:p>
      <w:pPr>
        <w:autoSpaceDE w:val="0"/>
        <w:autoSpaceDN w:val="0"/>
        <w:adjustRightInd w:val="0"/>
        <w:spacing w:line="360" w:lineRule="auto"/>
        <w:jc w:val="left"/>
        <w:rPr>
          <w:rFonts w:hAnsi="Times New Roman"/>
          <w:color w:val="auto"/>
          <w:sz w:val="21"/>
          <w:szCs w:val="21"/>
          <w:highlight w:val="none"/>
        </w:rPr>
      </w:pPr>
      <w:r>
        <w:rPr>
          <w:rFonts w:hint="eastAsia" w:hAnsi="Times New Roman"/>
          <w:color w:val="auto"/>
          <w:sz w:val="21"/>
          <w:szCs w:val="21"/>
          <w:highlight w:val="none"/>
        </w:rPr>
        <w:t xml:space="preserve">    </w:t>
      </w:r>
      <w:r>
        <w:rPr>
          <w:rFonts w:hAnsi="Times New Roman"/>
          <w:color w:val="auto"/>
          <w:sz w:val="21"/>
          <w:szCs w:val="21"/>
          <w:highlight w:val="none"/>
        </w:rPr>
        <w:t>2</w:t>
      </w:r>
      <w:r>
        <w:rPr>
          <w:rFonts w:hint="eastAsia" w:hAnsi="Times New Roman"/>
          <w:color w:val="auto"/>
          <w:sz w:val="21"/>
          <w:szCs w:val="21"/>
          <w:highlight w:val="none"/>
        </w:rPr>
        <w:t>．我方承诺在投标有效期内不修改、撤销投标文件。</w:t>
      </w:r>
    </w:p>
    <w:p>
      <w:pPr>
        <w:autoSpaceDE w:val="0"/>
        <w:autoSpaceDN w:val="0"/>
        <w:adjustRightInd w:val="0"/>
        <w:spacing w:line="360" w:lineRule="auto"/>
        <w:jc w:val="left"/>
        <w:rPr>
          <w:rFonts w:hAnsi="Times New Roman"/>
          <w:color w:val="auto"/>
          <w:sz w:val="21"/>
          <w:szCs w:val="21"/>
          <w:highlight w:val="none"/>
        </w:rPr>
      </w:pPr>
      <w:r>
        <w:rPr>
          <w:rFonts w:hint="eastAsia" w:hAnsi="Times New Roman"/>
          <w:color w:val="auto"/>
          <w:sz w:val="21"/>
          <w:szCs w:val="21"/>
          <w:highlight w:val="none"/>
        </w:rPr>
        <w:t xml:space="preserve">    3. 随同本投标函提交投标保证金一份，金额为人民币（大写）</w:t>
      </w:r>
      <w:r>
        <w:rPr>
          <w:rFonts w:hint="eastAsia" w:hAnsi="Times New Roman"/>
          <w:color w:val="auto"/>
          <w:sz w:val="21"/>
          <w:szCs w:val="21"/>
          <w:highlight w:val="none"/>
          <w:u w:val="single"/>
        </w:rPr>
        <w:t xml:space="preserve">          </w:t>
      </w:r>
      <w:r>
        <w:rPr>
          <w:rFonts w:hint="eastAsia" w:hAnsi="Times New Roman"/>
          <w:color w:val="auto"/>
          <w:sz w:val="21"/>
          <w:szCs w:val="21"/>
          <w:highlight w:val="none"/>
        </w:rPr>
        <w:t>元（</w:t>
      </w:r>
      <w:r>
        <w:rPr>
          <w:rFonts w:hAnsi="Times New Roman"/>
          <w:color w:val="auto"/>
          <w:sz w:val="21"/>
          <w:szCs w:val="21"/>
          <w:highlight w:val="none"/>
        </w:rPr>
        <w:t>¥</w:t>
      </w:r>
      <w:r>
        <w:rPr>
          <w:rFonts w:hint="eastAsia" w:hAnsi="Times New Roman"/>
          <w:color w:val="auto"/>
          <w:sz w:val="21"/>
          <w:szCs w:val="21"/>
          <w:highlight w:val="none"/>
          <w:u w:val="single"/>
        </w:rPr>
        <w:t xml:space="preserve">            </w:t>
      </w:r>
      <w:r>
        <w:rPr>
          <w:rFonts w:hint="eastAsia" w:hAnsi="Times New Roman"/>
          <w:color w:val="auto"/>
          <w:sz w:val="21"/>
          <w:szCs w:val="21"/>
          <w:highlight w:val="none"/>
        </w:rPr>
        <w:t>元）。</w:t>
      </w:r>
    </w:p>
    <w:p>
      <w:pPr>
        <w:autoSpaceDE w:val="0"/>
        <w:autoSpaceDN w:val="0"/>
        <w:adjustRightInd w:val="0"/>
        <w:spacing w:line="360" w:lineRule="auto"/>
        <w:jc w:val="left"/>
        <w:rPr>
          <w:rFonts w:hAnsi="Times New Roman"/>
          <w:color w:val="auto"/>
          <w:sz w:val="21"/>
          <w:szCs w:val="21"/>
          <w:highlight w:val="none"/>
        </w:rPr>
      </w:pPr>
      <w:r>
        <w:rPr>
          <w:rFonts w:hint="eastAsia" w:hAnsi="Times New Roman"/>
          <w:color w:val="auto"/>
          <w:sz w:val="21"/>
          <w:szCs w:val="21"/>
          <w:highlight w:val="none"/>
        </w:rPr>
        <w:t xml:space="preserve">    </w:t>
      </w:r>
      <w:r>
        <w:rPr>
          <w:rFonts w:hAnsi="Times New Roman"/>
          <w:color w:val="auto"/>
          <w:sz w:val="21"/>
          <w:szCs w:val="21"/>
          <w:highlight w:val="none"/>
        </w:rPr>
        <w:t>4</w:t>
      </w:r>
      <w:r>
        <w:rPr>
          <w:rFonts w:hint="eastAsia" w:hAnsi="Times New Roman"/>
          <w:color w:val="auto"/>
          <w:sz w:val="21"/>
          <w:szCs w:val="21"/>
          <w:highlight w:val="none"/>
        </w:rPr>
        <w:t>．如中标</w:t>
      </w:r>
      <w:r>
        <w:rPr>
          <w:rFonts w:hAnsi="Times New Roman"/>
          <w:color w:val="auto"/>
          <w:sz w:val="21"/>
          <w:szCs w:val="21"/>
          <w:highlight w:val="none"/>
        </w:rPr>
        <w:t>，我方承诺</w:t>
      </w:r>
      <w:r>
        <w:rPr>
          <w:rFonts w:hint="eastAsia" w:hAnsi="Times New Roman"/>
          <w:color w:val="auto"/>
          <w:sz w:val="21"/>
          <w:szCs w:val="21"/>
          <w:highlight w:val="none"/>
        </w:rPr>
        <w:t>：</w:t>
      </w:r>
    </w:p>
    <w:p>
      <w:pPr>
        <w:autoSpaceDE w:val="0"/>
        <w:autoSpaceDN w:val="0"/>
        <w:adjustRightInd w:val="0"/>
        <w:spacing w:line="360" w:lineRule="auto"/>
        <w:jc w:val="left"/>
        <w:rPr>
          <w:rFonts w:hAnsi="Times New Roman"/>
          <w:color w:val="auto"/>
          <w:sz w:val="21"/>
          <w:szCs w:val="21"/>
          <w:highlight w:val="none"/>
        </w:rPr>
      </w:pPr>
      <w:r>
        <w:rPr>
          <w:rFonts w:hint="eastAsia" w:hAnsi="Times New Roman"/>
          <w:color w:val="auto"/>
          <w:sz w:val="21"/>
          <w:szCs w:val="21"/>
          <w:highlight w:val="none"/>
        </w:rPr>
        <w:t xml:space="preserve">    （</w:t>
      </w:r>
      <w:r>
        <w:rPr>
          <w:rFonts w:hAnsi="Times New Roman"/>
          <w:color w:val="auto"/>
          <w:sz w:val="21"/>
          <w:szCs w:val="21"/>
          <w:highlight w:val="none"/>
        </w:rPr>
        <w:t>1</w:t>
      </w:r>
      <w:r>
        <w:rPr>
          <w:rFonts w:hint="eastAsia" w:hAnsi="Times New Roman"/>
          <w:color w:val="auto"/>
          <w:sz w:val="21"/>
          <w:szCs w:val="21"/>
          <w:highlight w:val="none"/>
        </w:rPr>
        <w:t>）</w:t>
      </w:r>
      <w:r>
        <w:rPr>
          <w:rFonts w:hint="eastAsia" w:hAnsi="Times New Roman"/>
          <w:color w:val="auto"/>
          <w:kern w:val="2"/>
          <w:sz w:val="21"/>
          <w:szCs w:val="21"/>
          <w:highlight w:val="none"/>
        </w:rPr>
        <w:t>将派出</w:t>
      </w:r>
      <w:r>
        <w:rPr>
          <w:rFonts w:hint="eastAsia" w:hAnsi="Times New Roman"/>
          <w:color w:val="auto"/>
          <w:kern w:val="2"/>
          <w:sz w:val="21"/>
          <w:szCs w:val="21"/>
          <w:highlight w:val="none"/>
          <w:u w:val="single"/>
        </w:rPr>
        <w:t xml:space="preserve">                     </w:t>
      </w:r>
      <w:r>
        <w:rPr>
          <w:rFonts w:hint="eastAsia" w:hAnsi="Times New Roman"/>
          <w:i/>
          <w:iCs/>
          <w:color w:val="auto"/>
          <w:kern w:val="2"/>
          <w:sz w:val="21"/>
          <w:szCs w:val="21"/>
          <w:highlight w:val="none"/>
          <w:u w:val="single"/>
        </w:rPr>
        <w:t>（项目负责人姓名及其建造师执业证书注册编号）</w:t>
      </w:r>
      <w:r>
        <w:rPr>
          <w:rFonts w:hAnsi="Times New Roman"/>
          <w:i/>
          <w:iCs/>
          <w:color w:val="auto"/>
          <w:kern w:val="2"/>
          <w:sz w:val="21"/>
          <w:szCs w:val="21"/>
          <w:highlight w:val="none"/>
          <w:u w:val="single"/>
        </w:rPr>
        <w:t xml:space="preserve">  </w:t>
      </w:r>
      <w:r>
        <w:rPr>
          <w:rFonts w:hint="eastAsia" w:hAnsi="Times New Roman"/>
          <w:color w:val="auto"/>
          <w:kern w:val="2"/>
          <w:sz w:val="21"/>
          <w:szCs w:val="21"/>
          <w:highlight w:val="none"/>
        </w:rPr>
        <w:t>为本项目的项目负责人。</w:t>
      </w:r>
    </w:p>
    <w:p>
      <w:pPr>
        <w:autoSpaceDE w:val="0"/>
        <w:autoSpaceDN w:val="0"/>
        <w:adjustRightInd w:val="0"/>
        <w:spacing w:line="360" w:lineRule="auto"/>
        <w:jc w:val="left"/>
        <w:rPr>
          <w:rFonts w:hAnsi="Times New Roman"/>
          <w:color w:val="auto"/>
          <w:sz w:val="21"/>
          <w:szCs w:val="21"/>
          <w:highlight w:val="none"/>
        </w:rPr>
      </w:pPr>
      <w:r>
        <w:rPr>
          <w:rFonts w:hint="eastAsia" w:hAnsi="Times New Roman"/>
          <w:color w:val="auto"/>
          <w:sz w:val="21"/>
          <w:szCs w:val="21"/>
          <w:highlight w:val="none"/>
        </w:rPr>
        <w:t xml:space="preserve">    （2）在收到中标通知书后，在中标通知书规定的期限内与你方签订合同。</w:t>
      </w:r>
    </w:p>
    <w:p>
      <w:pPr>
        <w:autoSpaceDE w:val="0"/>
        <w:autoSpaceDN w:val="0"/>
        <w:adjustRightInd w:val="0"/>
        <w:spacing w:line="360" w:lineRule="auto"/>
        <w:jc w:val="left"/>
        <w:rPr>
          <w:rFonts w:hAnsi="Times New Roman"/>
          <w:color w:val="auto"/>
          <w:sz w:val="21"/>
          <w:szCs w:val="21"/>
          <w:highlight w:val="none"/>
        </w:rPr>
      </w:pPr>
      <w:r>
        <w:rPr>
          <w:rFonts w:hint="eastAsia" w:hAnsi="Times New Roman"/>
          <w:color w:val="auto"/>
          <w:sz w:val="21"/>
          <w:szCs w:val="21"/>
          <w:highlight w:val="none"/>
        </w:rPr>
        <w:t xml:space="preserve">    （3）随同本投标函递交的投标函附录属于合同文件的组成部分。</w:t>
      </w:r>
    </w:p>
    <w:p>
      <w:pPr>
        <w:autoSpaceDE w:val="0"/>
        <w:autoSpaceDN w:val="0"/>
        <w:adjustRightInd w:val="0"/>
        <w:spacing w:line="360" w:lineRule="auto"/>
        <w:jc w:val="left"/>
        <w:rPr>
          <w:rFonts w:hAnsi="Times New Roman"/>
          <w:color w:val="auto"/>
          <w:sz w:val="21"/>
          <w:szCs w:val="21"/>
          <w:highlight w:val="none"/>
        </w:rPr>
      </w:pPr>
      <w:r>
        <w:rPr>
          <w:rFonts w:hint="eastAsia" w:hAnsi="Times New Roman"/>
          <w:color w:val="auto"/>
          <w:sz w:val="21"/>
          <w:szCs w:val="21"/>
          <w:highlight w:val="none"/>
        </w:rPr>
        <w:t xml:space="preserve">    （4）按照招标文件规定向你方递交履约担保。</w:t>
      </w:r>
    </w:p>
    <w:p>
      <w:pPr>
        <w:autoSpaceDE w:val="0"/>
        <w:autoSpaceDN w:val="0"/>
        <w:adjustRightInd w:val="0"/>
        <w:spacing w:line="360" w:lineRule="auto"/>
        <w:ind w:firstLine="479"/>
        <w:jc w:val="left"/>
        <w:rPr>
          <w:rFonts w:hAnsi="Times New Roman"/>
          <w:color w:val="auto"/>
          <w:sz w:val="21"/>
          <w:szCs w:val="21"/>
          <w:highlight w:val="none"/>
        </w:rPr>
      </w:pPr>
      <w:r>
        <w:rPr>
          <w:rFonts w:hint="eastAsia" w:hAnsi="Times New Roman"/>
          <w:color w:val="auto"/>
          <w:sz w:val="21"/>
          <w:szCs w:val="21"/>
          <w:highlight w:val="none"/>
        </w:rPr>
        <w:t>（5）在合同约定的期限内完成并移交全部合同工程。</w:t>
      </w:r>
    </w:p>
    <w:p>
      <w:pPr>
        <w:adjustRightInd w:val="0"/>
        <w:spacing w:line="360" w:lineRule="auto"/>
        <w:ind w:left="2518" w:hanging="2020"/>
        <w:jc w:val="left"/>
        <w:textAlignment w:val="baseline"/>
        <w:rPr>
          <w:rFonts w:hAnsi="Times New Roman"/>
          <w:color w:val="auto"/>
          <w:sz w:val="21"/>
          <w:szCs w:val="21"/>
          <w:highlight w:val="none"/>
        </w:rPr>
      </w:pPr>
      <w:r>
        <w:rPr>
          <w:rFonts w:hint="eastAsia" w:hAnsi="Times New Roman"/>
          <w:color w:val="auto"/>
          <w:sz w:val="21"/>
          <w:szCs w:val="21"/>
          <w:highlight w:val="none"/>
        </w:rPr>
        <w:t>（6）按月足额支付工人工资。</w:t>
      </w:r>
    </w:p>
    <w:p>
      <w:pPr>
        <w:autoSpaceDE w:val="0"/>
        <w:autoSpaceDN w:val="0"/>
        <w:adjustRightInd w:val="0"/>
        <w:spacing w:line="360" w:lineRule="auto"/>
        <w:ind w:firstLine="479"/>
        <w:jc w:val="left"/>
        <w:rPr>
          <w:rFonts w:hAnsi="Times New Roman"/>
          <w:color w:val="auto"/>
          <w:sz w:val="21"/>
          <w:szCs w:val="21"/>
          <w:highlight w:val="none"/>
        </w:rPr>
      </w:pPr>
      <w:r>
        <w:rPr>
          <w:rFonts w:hint="eastAsia" w:hAnsi="Times New Roman"/>
          <w:color w:val="auto"/>
          <w:sz w:val="21"/>
          <w:szCs w:val="21"/>
          <w:highlight w:val="none"/>
        </w:rPr>
        <w:t>（7）政府审计部门要求对</w:t>
      </w:r>
      <w:r>
        <w:rPr>
          <w:rFonts w:hAnsi="Times New Roman"/>
          <w:color w:val="auto"/>
          <w:sz w:val="21"/>
          <w:szCs w:val="21"/>
          <w:highlight w:val="none"/>
        </w:rPr>
        <w:t>我方</w:t>
      </w:r>
      <w:r>
        <w:rPr>
          <w:rFonts w:hint="eastAsia" w:hAnsi="Times New Roman"/>
          <w:color w:val="auto"/>
          <w:sz w:val="21"/>
          <w:szCs w:val="21"/>
          <w:highlight w:val="none"/>
        </w:rPr>
        <w:t>收取的工程款资金流向进行延伸审计的，</w:t>
      </w:r>
      <w:r>
        <w:rPr>
          <w:rFonts w:hAnsi="Times New Roman"/>
          <w:color w:val="auto"/>
          <w:sz w:val="21"/>
          <w:szCs w:val="21"/>
          <w:highlight w:val="none"/>
        </w:rPr>
        <w:t>我方</w:t>
      </w:r>
      <w:r>
        <w:rPr>
          <w:rFonts w:hint="eastAsia" w:hAnsi="Times New Roman"/>
          <w:color w:val="auto"/>
          <w:sz w:val="21"/>
          <w:szCs w:val="21"/>
          <w:highlight w:val="none"/>
        </w:rPr>
        <w:t>无条件接受延伸审计</w:t>
      </w:r>
      <w:r>
        <w:rPr>
          <w:rFonts w:hAnsi="Times New Roman"/>
          <w:color w:val="auto"/>
          <w:sz w:val="21"/>
          <w:szCs w:val="21"/>
          <w:highlight w:val="none"/>
        </w:rPr>
        <w:t>并主动配合</w:t>
      </w:r>
      <w:r>
        <w:rPr>
          <w:rFonts w:hint="eastAsia" w:hAnsi="Times New Roman"/>
          <w:color w:val="auto"/>
          <w:sz w:val="21"/>
          <w:szCs w:val="21"/>
          <w:highlight w:val="none"/>
        </w:rPr>
        <w:t>。</w:t>
      </w:r>
    </w:p>
    <w:p>
      <w:pPr>
        <w:autoSpaceDE w:val="0"/>
        <w:autoSpaceDN w:val="0"/>
        <w:adjustRightInd w:val="0"/>
        <w:spacing w:line="360" w:lineRule="auto"/>
        <w:ind w:firstLine="479"/>
        <w:jc w:val="left"/>
        <w:rPr>
          <w:rFonts w:hAnsi="Times New Roman"/>
          <w:color w:val="auto"/>
          <w:sz w:val="21"/>
          <w:szCs w:val="21"/>
          <w:highlight w:val="none"/>
        </w:rPr>
      </w:pPr>
      <w:r>
        <w:rPr>
          <w:rFonts w:hAnsi="Times New Roman"/>
          <w:color w:val="auto"/>
          <w:sz w:val="21"/>
          <w:szCs w:val="21"/>
          <w:highlight w:val="none"/>
        </w:rPr>
        <w:t>5</w:t>
      </w:r>
      <w:r>
        <w:rPr>
          <w:rFonts w:hint="eastAsia" w:hAnsi="Times New Roman"/>
          <w:color w:val="auto"/>
          <w:sz w:val="21"/>
          <w:szCs w:val="21"/>
          <w:highlight w:val="none"/>
        </w:rPr>
        <w:t>．</w:t>
      </w:r>
      <w:r>
        <w:rPr>
          <w:rFonts w:hAnsi="Times New Roman"/>
          <w:color w:val="auto"/>
          <w:sz w:val="21"/>
          <w:szCs w:val="21"/>
          <w:highlight w:val="none"/>
        </w:rPr>
        <w:t>我方承诺在本项目招投标过程中没有参与围标串标等违法行为。否则，我方愿意接受招投标监管部门作出的行政处罚以及列入招投标</w:t>
      </w:r>
      <w:r>
        <w:rPr>
          <w:rFonts w:hint="eastAsia" w:hAnsi="Times New Roman"/>
          <w:color w:val="auto"/>
          <w:sz w:val="21"/>
          <w:szCs w:val="21"/>
          <w:highlight w:val="none"/>
        </w:rPr>
        <w:t>“</w:t>
      </w:r>
      <w:r>
        <w:rPr>
          <w:rFonts w:hAnsi="Times New Roman"/>
          <w:color w:val="auto"/>
          <w:sz w:val="21"/>
          <w:szCs w:val="21"/>
          <w:highlight w:val="none"/>
        </w:rPr>
        <w:t>黑名单</w:t>
      </w:r>
      <w:r>
        <w:rPr>
          <w:rFonts w:hint="eastAsia" w:hAnsi="Times New Roman"/>
          <w:color w:val="auto"/>
          <w:sz w:val="21"/>
          <w:szCs w:val="21"/>
          <w:highlight w:val="none"/>
        </w:rPr>
        <w:t>”</w:t>
      </w:r>
      <w:r>
        <w:rPr>
          <w:rFonts w:hAnsi="Times New Roman"/>
          <w:color w:val="auto"/>
          <w:sz w:val="21"/>
          <w:szCs w:val="21"/>
          <w:highlight w:val="none"/>
        </w:rPr>
        <w:t>的处理</w:t>
      </w:r>
      <w:r>
        <w:rPr>
          <w:rFonts w:hint="eastAsia" w:hAnsi="Times New Roman"/>
          <w:color w:val="auto"/>
          <w:sz w:val="21"/>
          <w:szCs w:val="21"/>
          <w:highlight w:val="none"/>
        </w:rPr>
        <w:t>决定</w:t>
      </w:r>
      <w:r>
        <w:rPr>
          <w:rFonts w:hAnsi="Times New Roman"/>
          <w:color w:val="auto"/>
          <w:sz w:val="21"/>
          <w:szCs w:val="21"/>
          <w:highlight w:val="none"/>
        </w:rPr>
        <w:t>。</w:t>
      </w:r>
    </w:p>
    <w:p>
      <w:pPr>
        <w:autoSpaceDE w:val="0"/>
        <w:autoSpaceDN w:val="0"/>
        <w:adjustRightInd w:val="0"/>
        <w:spacing w:line="360" w:lineRule="auto"/>
        <w:ind w:firstLine="479"/>
        <w:jc w:val="left"/>
        <w:rPr>
          <w:rFonts w:hAnsi="Times New Roman"/>
          <w:color w:val="auto"/>
          <w:sz w:val="21"/>
          <w:szCs w:val="21"/>
          <w:highlight w:val="none"/>
        </w:rPr>
      </w:pPr>
      <w:r>
        <w:rPr>
          <w:rFonts w:hAnsi="Times New Roman"/>
          <w:color w:val="auto"/>
          <w:sz w:val="21"/>
          <w:szCs w:val="21"/>
          <w:highlight w:val="none"/>
        </w:rPr>
        <w:t>6</w:t>
      </w:r>
      <w:r>
        <w:rPr>
          <w:rFonts w:hint="eastAsia" w:hAnsi="Times New Roman"/>
          <w:color w:val="auto"/>
          <w:sz w:val="21"/>
          <w:szCs w:val="21"/>
          <w:highlight w:val="none"/>
        </w:rPr>
        <w:t>．</w:t>
      </w:r>
      <w:r>
        <w:rPr>
          <w:rFonts w:hint="eastAsia" w:hAnsi="Times New Roman"/>
          <w:bCs/>
          <w:color w:val="auto"/>
          <w:sz w:val="21"/>
          <w:szCs w:val="21"/>
          <w:highlight w:val="none"/>
        </w:rPr>
        <w:t>我方已对所递交的投标文件及其有关资料</w:t>
      </w:r>
      <w:r>
        <w:rPr>
          <w:rFonts w:hAnsi="Times New Roman"/>
          <w:bCs/>
          <w:color w:val="auto"/>
          <w:sz w:val="21"/>
          <w:szCs w:val="21"/>
          <w:highlight w:val="none"/>
        </w:rPr>
        <w:t>（包括第三方提供的资料）</w:t>
      </w:r>
      <w:r>
        <w:rPr>
          <w:rFonts w:hint="eastAsia" w:hAnsi="Times New Roman"/>
          <w:bCs/>
          <w:color w:val="auto"/>
          <w:sz w:val="21"/>
          <w:szCs w:val="21"/>
          <w:highlight w:val="none"/>
        </w:rPr>
        <w:t>的真实性进行了审查，保证其内容完整、真实和准确，若存在虚假，同意招标人或行政主管部门按照弄虚作假进行处理。</w:t>
      </w:r>
      <w:r>
        <w:rPr>
          <w:rFonts w:hint="eastAsia" w:hAnsi="Times New Roman"/>
          <w:color w:val="auto"/>
          <w:sz w:val="21"/>
          <w:szCs w:val="21"/>
          <w:highlight w:val="none"/>
        </w:rPr>
        <w:t>同时，声明不存在招</w:t>
      </w:r>
      <w:r>
        <w:rPr>
          <w:rFonts w:hint="eastAsia" w:hAnsi="Times New Roman"/>
          <w:color w:val="auto"/>
          <w:kern w:val="2"/>
          <w:sz w:val="21"/>
          <w:szCs w:val="21"/>
          <w:highlight w:val="none"/>
        </w:rPr>
        <w:t>标文件第2章投标须知第1.4.3款</w:t>
      </w:r>
      <w:r>
        <w:rPr>
          <w:rFonts w:hint="eastAsia" w:hAnsi="Times New Roman"/>
          <w:bCs/>
          <w:color w:val="auto"/>
          <w:kern w:val="2"/>
          <w:sz w:val="21"/>
          <w:szCs w:val="21"/>
          <w:highlight w:val="none"/>
        </w:rPr>
        <w:t>（第12目除外）</w:t>
      </w:r>
      <w:r>
        <w:rPr>
          <w:rFonts w:hint="eastAsia" w:hAnsi="Times New Roman"/>
          <w:color w:val="auto"/>
          <w:kern w:val="2"/>
          <w:sz w:val="21"/>
          <w:szCs w:val="21"/>
          <w:highlight w:val="none"/>
        </w:rPr>
        <w:t>规</w:t>
      </w:r>
      <w:r>
        <w:rPr>
          <w:rFonts w:hint="eastAsia" w:hAnsi="Times New Roman"/>
          <w:color w:val="auto"/>
          <w:sz w:val="21"/>
          <w:szCs w:val="21"/>
          <w:highlight w:val="none"/>
        </w:rPr>
        <w:t>定的任何一种情形。</w:t>
      </w:r>
    </w:p>
    <w:p>
      <w:pPr>
        <w:autoSpaceDE w:val="0"/>
        <w:autoSpaceDN w:val="0"/>
        <w:adjustRightInd w:val="0"/>
        <w:spacing w:line="360" w:lineRule="auto"/>
        <w:ind w:firstLine="420" w:firstLineChars="200"/>
        <w:jc w:val="left"/>
        <w:rPr>
          <w:rFonts w:hAnsi="Times New Roman" w:cs="宋体"/>
          <w:color w:val="auto"/>
          <w:sz w:val="21"/>
          <w:szCs w:val="21"/>
          <w:highlight w:val="none"/>
        </w:rPr>
      </w:pPr>
      <w:r>
        <w:rPr>
          <w:rFonts w:hAnsi="Times New Roman"/>
          <w:color w:val="auto"/>
          <w:sz w:val="21"/>
          <w:szCs w:val="21"/>
          <w:highlight w:val="none"/>
        </w:rPr>
        <w:t>7</w:t>
      </w:r>
      <w:r>
        <w:rPr>
          <w:rFonts w:hint="eastAsia" w:hAnsi="Times New Roman" w:cs="宋体"/>
          <w:color w:val="auto"/>
          <w:sz w:val="21"/>
          <w:szCs w:val="21"/>
          <w:highlight w:val="none"/>
        </w:rPr>
        <w:t>．</w:t>
      </w:r>
      <w:r>
        <w:rPr>
          <w:rFonts w:hint="eastAsia" w:hAnsi="Times New Roman" w:cs="宋体"/>
          <w:color w:val="auto"/>
          <w:sz w:val="21"/>
          <w:szCs w:val="21"/>
          <w:highlight w:val="none"/>
          <w:u w:val="single"/>
        </w:rPr>
        <w:t xml:space="preserve">                                           </w:t>
      </w:r>
      <w:r>
        <w:rPr>
          <w:rFonts w:hAnsi="Times New Roman" w:cs="宋体"/>
          <w:color w:val="auto"/>
          <w:sz w:val="21"/>
          <w:szCs w:val="21"/>
          <w:highlight w:val="none"/>
        </w:rPr>
        <w:t xml:space="preserve"> </w:t>
      </w:r>
      <w:r>
        <w:rPr>
          <w:rFonts w:hint="eastAsia" w:hAnsi="Times New Roman" w:cs="宋体"/>
          <w:color w:val="auto"/>
          <w:sz w:val="21"/>
          <w:szCs w:val="21"/>
          <w:highlight w:val="none"/>
        </w:rPr>
        <w:t>（其他补充说明）。</w:t>
      </w:r>
    </w:p>
    <w:p>
      <w:pPr>
        <w:autoSpaceDE w:val="0"/>
        <w:autoSpaceDN w:val="0"/>
        <w:adjustRightInd w:val="0"/>
        <w:spacing w:line="300" w:lineRule="auto"/>
        <w:ind w:firstLine="2100" w:firstLineChars="1000"/>
        <w:jc w:val="left"/>
        <w:rPr>
          <w:rFonts w:hAnsi="Times New Roman"/>
          <w:color w:val="auto"/>
          <w:sz w:val="21"/>
          <w:szCs w:val="21"/>
          <w:highlight w:val="none"/>
        </w:rPr>
      </w:pPr>
      <w:r>
        <w:rPr>
          <w:rFonts w:hint="eastAsia" w:hAnsi="Times New Roman"/>
          <w:color w:val="auto"/>
          <w:sz w:val="21"/>
          <w:szCs w:val="21"/>
          <w:highlight w:val="none"/>
        </w:rPr>
        <w:t>投标人：</w:t>
      </w:r>
      <w:r>
        <w:rPr>
          <w:rFonts w:hint="eastAsia" w:hAnsi="Times New Roman"/>
          <w:color w:val="auto"/>
          <w:sz w:val="21"/>
          <w:szCs w:val="21"/>
          <w:highlight w:val="none"/>
          <w:u w:val="single"/>
        </w:rPr>
        <w:t xml:space="preserve">                </w:t>
      </w:r>
      <w:r>
        <w:rPr>
          <w:rFonts w:hAnsi="Times New Roman"/>
          <w:color w:val="auto"/>
          <w:sz w:val="21"/>
          <w:szCs w:val="21"/>
          <w:highlight w:val="none"/>
          <w:u w:val="single"/>
        </w:rPr>
        <w:t xml:space="preserve">          </w:t>
      </w:r>
      <w:r>
        <w:rPr>
          <w:rFonts w:hint="eastAsia" w:hAnsi="Times New Roman"/>
          <w:color w:val="auto"/>
          <w:sz w:val="21"/>
          <w:szCs w:val="21"/>
          <w:highlight w:val="none"/>
          <w:u w:val="single"/>
        </w:rPr>
        <w:t xml:space="preserve"> </w:t>
      </w:r>
      <w:r>
        <w:rPr>
          <w:rFonts w:hint="eastAsia" w:hAnsi="Times New Roman"/>
          <w:color w:val="auto"/>
          <w:sz w:val="21"/>
          <w:szCs w:val="21"/>
          <w:highlight w:val="none"/>
        </w:rPr>
        <w:t>（盖单位公章）</w:t>
      </w:r>
      <w:r>
        <w:rPr>
          <w:rFonts w:hAnsi="Times New Roman"/>
          <w:color w:val="auto"/>
          <w:position w:val="-2"/>
          <w:sz w:val="21"/>
          <w:szCs w:val="21"/>
          <w:highlight w:val="none"/>
          <w:vertAlign w:val="superscript"/>
        </w:rPr>
        <w:footnoteReference w:id="66"/>
      </w:r>
    </w:p>
    <w:p>
      <w:pPr>
        <w:autoSpaceDE w:val="0"/>
        <w:autoSpaceDN w:val="0"/>
        <w:adjustRightInd w:val="0"/>
        <w:spacing w:line="300" w:lineRule="auto"/>
        <w:ind w:firstLine="2100" w:firstLineChars="1000"/>
        <w:jc w:val="left"/>
        <w:rPr>
          <w:rFonts w:hAnsi="Times New Roman"/>
          <w:color w:val="auto"/>
          <w:sz w:val="21"/>
          <w:szCs w:val="21"/>
          <w:highlight w:val="none"/>
        </w:rPr>
      </w:pPr>
      <w:r>
        <w:rPr>
          <w:rFonts w:hint="eastAsia" w:hAnsi="Times New Roman"/>
          <w:color w:val="auto"/>
          <w:sz w:val="21"/>
          <w:szCs w:val="21"/>
          <w:highlight w:val="none"/>
        </w:rPr>
        <w:t>法定代表人或其委托代理人：</w:t>
      </w:r>
      <w:r>
        <w:rPr>
          <w:rFonts w:hint="eastAsia" w:hAnsi="Times New Roman"/>
          <w:color w:val="auto"/>
          <w:sz w:val="21"/>
          <w:szCs w:val="21"/>
          <w:highlight w:val="none"/>
          <w:u w:val="single"/>
        </w:rPr>
        <w:t xml:space="preserve">        </w:t>
      </w:r>
      <w:r>
        <w:rPr>
          <w:rFonts w:hAnsi="Times New Roman"/>
          <w:color w:val="auto"/>
          <w:sz w:val="21"/>
          <w:szCs w:val="21"/>
          <w:highlight w:val="none"/>
          <w:u w:val="single"/>
        </w:rPr>
        <w:t xml:space="preserve">      </w:t>
      </w:r>
      <w:r>
        <w:rPr>
          <w:rFonts w:hint="eastAsia" w:hAnsi="Times New Roman"/>
          <w:color w:val="auto"/>
          <w:sz w:val="21"/>
          <w:szCs w:val="21"/>
          <w:highlight w:val="none"/>
          <w:u w:val="single"/>
        </w:rPr>
        <w:t xml:space="preserve"> </w:t>
      </w:r>
      <w:r>
        <w:rPr>
          <w:rFonts w:hint="eastAsia" w:hAnsi="Times New Roman"/>
          <w:color w:val="auto"/>
          <w:sz w:val="21"/>
          <w:szCs w:val="21"/>
          <w:highlight w:val="none"/>
        </w:rPr>
        <w:t>（</w:t>
      </w:r>
      <w:r>
        <w:rPr>
          <w:rFonts w:hAnsi="Times New Roman"/>
          <w:color w:val="auto"/>
          <w:sz w:val="21"/>
          <w:szCs w:val="21"/>
          <w:highlight w:val="none"/>
        </w:rPr>
        <w:t>盖章</w:t>
      </w:r>
      <w:r>
        <w:rPr>
          <w:rFonts w:hint="eastAsia" w:hAnsi="Times New Roman"/>
          <w:color w:val="auto"/>
          <w:sz w:val="21"/>
          <w:szCs w:val="21"/>
          <w:highlight w:val="none"/>
        </w:rPr>
        <w:t>）</w:t>
      </w:r>
      <w:r>
        <w:rPr>
          <w:rFonts w:hAnsi="Times New Roman"/>
          <w:color w:val="auto"/>
          <w:position w:val="-2"/>
          <w:sz w:val="21"/>
          <w:szCs w:val="21"/>
          <w:highlight w:val="none"/>
          <w:vertAlign w:val="superscript"/>
        </w:rPr>
        <w:footnoteReference w:id="67"/>
      </w:r>
    </w:p>
    <w:p>
      <w:pPr>
        <w:autoSpaceDE w:val="0"/>
        <w:autoSpaceDN w:val="0"/>
        <w:adjustRightInd w:val="0"/>
        <w:spacing w:line="300" w:lineRule="auto"/>
        <w:ind w:firstLine="2100" w:firstLineChars="1000"/>
        <w:jc w:val="left"/>
        <w:rPr>
          <w:rFonts w:hAnsi="Times New Roman"/>
          <w:color w:val="auto"/>
          <w:sz w:val="21"/>
          <w:szCs w:val="21"/>
          <w:highlight w:val="none"/>
        </w:rPr>
      </w:pPr>
      <w:r>
        <w:rPr>
          <w:rFonts w:hint="eastAsia" w:hAnsi="Times New Roman"/>
          <w:color w:val="auto"/>
          <w:sz w:val="21"/>
          <w:szCs w:val="21"/>
          <w:highlight w:val="none"/>
        </w:rPr>
        <w:t>法定代表人或其委托代理人手机号码：</w:t>
      </w:r>
      <w:r>
        <w:rPr>
          <w:rFonts w:hint="eastAsia" w:hAnsi="Times New Roman"/>
          <w:color w:val="auto"/>
          <w:sz w:val="21"/>
          <w:szCs w:val="21"/>
          <w:highlight w:val="none"/>
          <w:u w:val="single"/>
        </w:rPr>
        <w:t xml:space="preserve">               </w:t>
      </w:r>
    </w:p>
    <w:p>
      <w:pPr>
        <w:autoSpaceDE w:val="0"/>
        <w:autoSpaceDN w:val="0"/>
        <w:adjustRightInd w:val="0"/>
        <w:spacing w:line="300" w:lineRule="auto"/>
        <w:ind w:firstLine="2100" w:firstLineChars="1000"/>
        <w:jc w:val="left"/>
        <w:rPr>
          <w:rFonts w:hAnsi="Times New Roman"/>
          <w:color w:val="auto"/>
          <w:sz w:val="21"/>
          <w:szCs w:val="21"/>
          <w:highlight w:val="none"/>
          <w:u w:val="single"/>
        </w:rPr>
      </w:pPr>
      <w:r>
        <w:rPr>
          <w:rFonts w:hint="eastAsia" w:hAnsi="Times New Roman"/>
          <w:color w:val="auto"/>
          <w:sz w:val="21"/>
          <w:szCs w:val="21"/>
          <w:highlight w:val="none"/>
        </w:rPr>
        <w:t>地址：</w:t>
      </w:r>
      <w:r>
        <w:rPr>
          <w:rFonts w:hint="eastAsia" w:hAnsi="Times New Roman"/>
          <w:color w:val="auto"/>
          <w:sz w:val="21"/>
          <w:szCs w:val="21"/>
          <w:highlight w:val="none"/>
          <w:u w:val="single"/>
        </w:rPr>
        <w:t xml:space="preserve">                                  </w:t>
      </w:r>
      <w:r>
        <w:rPr>
          <w:rFonts w:hAnsi="Times New Roman"/>
          <w:color w:val="auto"/>
          <w:sz w:val="21"/>
          <w:szCs w:val="21"/>
          <w:highlight w:val="none"/>
          <w:u w:val="single"/>
        </w:rPr>
        <w:t xml:space="preserve">      </w:t>
      </w:r>
      <w:r>
        <w:rPr>
          <w:rFonts w:hint="eastAsia" w:hAnsi="Times New Roman"/>
          <w:color w:val="auto"/>
          <w:sz w:val="21"/>
          <w:szCs w:val="21"/>
          <w:highlight w:val="none"/>
          <w:u w:val="single"/>
        </w:rPr>
        <w:t xml:space="preserve">   </w:t>
      </w:r>
    </w:p>
    <w:p>
      <w:pPr>
        <w:autoSpaceDE w:val="0"/>
        <w:autoSpaceDN w:val="0"/>
        <w:adjustRightInd w:val="0"/>
        <w:spacing w:line="300" w:lineRule="auto"/>
        <w:ind w:firstLine="2100" w:firstLineChars="1000"/>
        <w:jc w:val="left"/>
        <w:rPr>
          <w:rFonts w:hAnsi="Times New Roman"/>
          <w:color w:val="auto"/>
          <w:sz w:val="21"/>
          <w:szCs w:val="21"/>
          <w:highlight w:val="none"/>
          <w:u w:val="single"/>
        </w:rPr>
      </w:pPr>
      <w:r>
        <w:rPr>
          <w:rFonts w:hint="eastAsia" w:hAnsi="Times New Roman"/>
          <w:color w:val="auto"/>
          <w:sz w:val="21"/>
          <w:szCs w:val="21"/>
          <w:highlight w:val="none"/>
        </w:rPr>
        <w:t>传真：</w:t>
      </w:r>
      <w:r>
        <w:rPr>
          <w:rFonts w:hint="eastAsia" w:hAnsi="Times New Roman"/>
          <w:color w:val="auto"/>
          <w:sz w:val="21"/>
          <w:szCs w:val="21"/>
          <w:highlight w:val="none"/>
          <w:u w:val="single"/>
        </w:rPr>
        <w:t xml:space="preserve">                             </w:t>
      </w:r>
      <w:r>
        <w:rPr>
          <w:rFonts w:hAnsi="Times New Roman"/>
          <w:color w:val="auto"/>
          <w:sz w:val="21"/>
          <w:szCs w:val="21"/>
          <w:highlight w:val="none"/>
          <w:u w:val="single"/>
        </w:rPr>
        <w:t xml:space="preserve">      </w:t>
      </w:r>
      <w:r>
        <w:rPr>
          <w:rFonts w:hint="eastAsia" w:hAnsi="Times New Roman"/>
          <w:color w:val="auto"/>
          <w:sz w:val="21"/>
          <w:szCs w:val="21"/>
          <w:highlight w:val="none"/>
          <w:u w:val="single"/>
        </w:rPr>
        <w:t xml:space="preserve">        </w:t>
      </w:r>
    </w:p>
    <w:p>
      <w:pPr>
        <w:autoSpaceDE w:val="0"/>
        <w:autoSpaceDN w:val="0"/>
        <w:adjustRightInd w:val="0"/>
        <w:spacing w:line="300" w:lineRule="auto"/>
        <w:ind w:firstLine="2100" w:firstLineChars="1000"/>
        <w:jc w:val="left"/>
        <w:rPr>
          <w:rFonts w:hAnsi="Times New Roman"/>
          <w:color w:val="auto"/>
          <w:sz w:val="21"/>
          <w:szCs w:val="21"/>
          <w:highlight w:val="none"/>
        </w:rPr>
      </w:pPr>
      <w:r>
        <w:rPr>
          <w:rFonts w:hint="eastAsia" w:hAnsi="Times New Roman"/>
          <w:color w:val="auto"/>
          <w:sz w:val="21"/>
          <w:szCs w:val="21"/>
          <w:highlight w:val="none"/>
        </w:rPr>
        <w:t>邮政编码：</w:t>
      </w:r>
      <w:r>
        <w:rPr>
          <w:rFonts w:hint="eastAsia" w:hAnsi="Times New Roman"/>
          <w:color w:val="auto"/>
          <w:sz w:val="21"/>
          <w:szCs w:val="21"/>
          <w:highlight w:val="none"/>
          <w:u w:val="single"/>
        </w:rPr>
        <w:t xml:space="preserve">                           </w:t>
      </w:r>
      <w:r>
        <w:rPr>
          <w:rFonts w:hAnsi="Times New Roman"/>
          <w:color w:val="auto"/>
          <w:sz w:val="21"/>
          <w:szCs w:val="21"/>
          <w:highlight w:val="none"/>
          <w:u w:val="single"/>
        </w:rPr>
        <w:t xml:space="preserve">      </w:t>
      </w:r>
      <w:r>
        <w:rPr>
          <w:rFonts w:hint="eastAsia" w:hAnsi="Times New Roman"/>
          <w:color w:val="auto"/>
          <w:sz w:val="21"/>
          <w:szCs w:val="21"/>
          <w:highlight w:val="none"/>
          <w:u w:val="single"/>
        </w:rPr>
        <w:t xml:space="preserve">      </w:t>
      </w:r>
    </w:p>
    <w:p>
      <w:pPr>
        <w:autoSpaceDE w:val="0"/>
        <w:autoSpaceDN w:val="0"/>
        <w:adjustRightInd w:val="0"/>
        <w:spacing w:line="300" w:lineRule="auto"/>
        <w:ind w:firstLine="4410" w:firstLineChars="2100"/>
        <w:jc w:val="left"/>
        <w:rPr>
          <w:rFonts w:hAnsi="Times New Roman"/>
          <w:color w:val="auto"/>
          <w:kern w:val="2"/>
          <w:sz w:val="24"/>
          <w:highlight w:val="none"/>
        </w:rPr>
      </w:pPr>
      <w:r>
        <w:rPr>
          <w:rFonts w:hint="eastAsia" w:hAnsi="Times New Roman"/>
          <w:color w:val="auto"/>
          <w:sz w:val="21"/>
          <w:szCs w:val="21"/>
          <w:highlight w:val="none"/>
          <w:u w:val="single"/>
        </w:rPr>
        <w:t xml:space="preserve">         </w:t>
      </w:r>
      <w:r>
        <w:rPr>
          <w:rFonts w:hint="eastAsia" w:hAnsi="Times New Roman"/>
          <w:color w:val="auto"/>
          <w:sz w:val="21"/>
          <w:szCs w:val="21"/>
          <w:highlight w:val="none"/>
        </w:rPr>
        <w:t>年</w:t>
      </w:r>
      <w:r>
        <w:rPr>
          <w:rFonts w:hint="eastAsia" w:hAnsi="Times New Roman"/>
          <w:color w:val="auto"/>
          <w:sz w:val="21"/>
          <w:szCs w:val="21"/>
          <w:highlight w:val="none"/>
          <w:u w:val="single"/>
        </w:rPr>
        <w:t xml:space="preserve">      </w:t>
      </w:r>
      <w:r>
        <w:rPr>
          <w:rFonts w:hint="eastAsia" w:hAnsi="Times New Roman"/>
          <w:color w:val="auto"/>
          <w:sz w:val="21"/>
          <w:szCs w:val="21"/>
          <w:highlight w:val="none"/>
        </w:rPr>
        <w:t>月</w:t>
      </w:r>
      <w:r>
        <w:rPr>
          <w:rFonts w:hint="eastAsia" w:hAnsi="Times New Roman"/>
          <w:color w:val="auto"/>
          <w:sz w:val="21"/>
          <w:szCs w:val="21"/>
          <w:highlight w:val="none"/>
          <w:u w:val="single"/>
        </w:rPr>
        <w:t xml:space="preserve">      </w:t>
      </w:r>
      <w:r>
        <w:rPr>
          <w:rFonts w:hint="eastAsia" w:hAnsi="Times New Roman"/>
          <w:color w:val="auto"/>
          <w:sz w:val="21"/>
          <w:szCs w:val="21"/>
          <w:highlight w:val="none"/>
        </w:rPr>
        <w:t>日</w:t>
      </w:r>
    </w:p>
    <w:p>
      <w:pPr>
        <w:spacing w:beforeLines="100" w:afterLines="100" w:line="360" w:lineRule="auto"/>
        <w:jc w:val="center"/>
        <w:rPr>
          <w:rFonts w:ascii="黑体" w:hAnsi="黑体" w:eastAsia="黑体"/>
          <w:color w:val="auto"/>
          <w:sz w:val="32"/>
          <w:szCs w:val="32"/>
          <w:highlight w:val="none"/>
        </w:rPr>
      </w:pPr>
      <w:r>
        <w:rPr>
          <w:rFonts w:hint="eastAsia" w:ascii="黑体" w:hAnsi="黑体" w:eastAsia="黑体"/>
          <w:color w:val="auto"/>
          <w:sz w:val="32"/>
          <w:szCs w:val="32"/>
          <w:highlight w:val="none"/>
        </w:rPr>
        <w:t>二、投标函附录</w:t>
      </w:r>
    </w:p>
    <w:tbl>
      <w:tblPr>
        <w:tblStyle w:val="6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5"/>
        <w:gridCol w:w="2286"/>
        <w:gridCol w:w="1014"/>
        <w:gridCol w:w="4100"/>
        <w:gridCol w:w="15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trPr>
        <w:tc>
          <w:tcPr>
            <w:tcW w:w="805" w:type="dxa"/>
            <w:vAlign w:val="center"/>
          </w:tcPr>
          <w:p>
            <w:pPr>
              <w:adjustRightInd w:val="0"/>
              <w:spacing w:line="320" w:lineRule="exact"/>
              <w:jc w:val="center"/>
              <w:textAlignment w:val="baseline"/>
              <w:rPr>
                <w:rFonts w:hAnsi="Times New Roman"/>
                <w:color w:val="auto"/>
                <w:sz w:val="21"/>
                <w:szCs w:val="21"/>
                <w:highlight w:val="none"/>
              </w:rPr>
            </w:pPr>
            <w:r>
              <w:rPr>
                <w:rFonts w:hint="eastAsia" w:hAnsi="Times New Roman"/>
                <w:color w:val="auto"/>
                <w:sz w:val="21"/>
                <w:szCs w:val="21"/>
                <w:highlight w:val="none"/>
              </w:rPr>
              <w:t>序号</w:t>
            </w:r>
          </w:p>
        </w:tc>
        <w:tc>
          <w:tcPr>
            <w:tcW w:w="2286" w:type="dxa"/>
            <w:vAlign w:val="center"/>
          </w:tcPr>
          <w:p>
            <w:pPr>
              <w:adjustRightInd w:val="0"/>
              <w:spacing w:line="320" w:lineRule="exact"/>
              <w:jc w:val="center"/>
              <w:textAlignment w:val="baseline"/>
              <w:rPr>
                <w:rFonts w:hAnsi="Times New Roman"/>
                <w:color w:val="auto"/>
                <w:sz w:val="21"/>
                <w:szCs w:val="21"/>
                <w:highlight w:val="none"/>
              </w:rPr>
            </w:pPr>
            <w:r>
              <w:rPr>
                <w:rFonts w:hint="eastAsia" w:hAnsi="Times New Roman"/>
                <w:color w:val="auto"/>
                <w:sz w:val="21"/>
                <w:szCs w:val="21"/>
                <w:highlight w:val="none"/>
              </w:rPr>
              <w:t>项目内容</w:t>
            </w:r>
          </w:p>
        </w:tc>
        <w:tc>
          <w:tcPr>
            <w:tcW w:w="1014" w:type="dxa"/>
            <w:vAlign w:val="center"/>
          </w:tcPr>
          <w:p>
            <w:pPr>
              <w:adjustRightInd w:val="0"/>
              <w:spacing w:line="320" w:lineRule="exact"/>
              <w:jc w:val="center"/>
              <w:textAlignment w:val="baseline"/>
              <w:rPr>
                <w:rFonts w:hAnsi="Times New Roman"/>
                <w:color w:val="auto"/>
                <w:sz w:val="21"/>
                <w:szCs w:val="21"/>
                <w:highlight w:val="none"/>
              </w:rPr>
            </w:pPr>
            <w:r>
              <w:rPr>
                <w:rFonts w:hint="eastAsia" w:hAnsi="Times New Roman"/>
                <w:color w:val="auto"/>
                <w:sz w:val="21"/>
                <w:szCs w:val="21"/>
                <w:highlight w:val="none"/>
              </w:rPr>
              <w:t>合  同</w:t>
            </w:r>
          </w:p>
          <w:p>
            <w:pPr>
              <w:adjustRightInd w:val="0"/>
              <w:spacing w:line="320" w:lineRule="exact"/>
              <w:jc w:val="center"/>
              <w:textAlignment w:val="baseline"/>
              <w:rPr>
                <w:rFonts w:hAnsi="Times New Roman"/>
                <w:color w:val="auto"/>
                <w:sz w:val="21"/>
                <w:szCs w:val="21"/>
                <w:highlight w:val="none"/>
              </w:rPr>
            </w:pPr>
            <w:r>
              <w:rPr>
                <w:rFonts w:hint="eastAsia" w:hAnsi="Times New Roman"/>
                <w:color w:val="auto"/>
                <w:sz w:val="21"/>
                <w:szCs w:val="21"/>
                <w:highlight w:val="none"/>
              </w:rPr>
              <w:t>条款号</w:t>
            </w:r>
          </w:p>
        </w:tc>
        <w:tc>
          <w:tcPr>
            <w:tcW w:w="4100" w:type="dxa"/>
            <w:vAlign w:val="center"/>
          </w:tcPr>
          <w:p>
            <w:pPr>
              <w:adjustRightInd w:val="0"/>
              <w:spacing w:line="320" w:lineRule="exact"/>
              <w:jc w:val="center"/>
              <w:textAlignment w:val="baseline"/>
              <w:rPr>
                <w:rFonts w:hAnsi="Times New Roman"/>
                <w:color w:val="auto"/>
                <w:sz w:val="21"/>
                <w:szCs w:val="21"/>
                <w:highlight w:val="none"/>
              </w:rPr>
            </w:pPr>
            <w:r>
              <w:rPr>
                <w:rFonts w:hint="eastAsia" w:hAnsi="Times New Roman"/>
                <w:color w:val="auto"/>
                <w:sz w:val="21"/>
                <w:szCs w:val="21"/>
                <w:highlight w:val="none"/>
              </w:rPr>
              <w:t>约定内容</w:t>
            </w:r>
          </w:p>
        </w:tc>
        <w:tc>
          <w:tcPr>
            <w:tcW w:w="1507" w:type="dxa"/>
            <w:tcBorders>
              <w:right w:val="single" w:color="auto" w:sz="4" w:space="0"/>
            </w:tcBorders>
            <w:vAlign w:val="center"/>
          </w:tcPr>
          <w:p>
            <w:pPr>
              <w:adjustRightInd w:val="0"/>
              <w:spacing w:line="320" w:lineRule="exact"/>
              <w:jc w:val="center"/>
              <w:textAlignment w:val="baseline"/>
              <w:rPr>
                <w:rFonts w:hAnsi="Times New Roman"/>
                <w:color w:val="auto"/>
                <w:sz w:val="21"/>
                <w:szCs w:val="21"/>
                <w:highlight w:val="none"/>
              </w:rPr>
            </w:pPr>
            <w:r>
              <w:rPr>
                <w:rFonts w:hint="eastAsia" w:hAnsi="Times New Roman"/>
                <w:color w:val="auto"/>
                <w:sz w:val="21"/>
                <w:szCs w:val="21"/>
                <w:highlight w:val="none"/>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trPr>
        <w:tc>
          <w:tcPr>
            <w:tcW w:w="805" w:type="dxa"/>
            <w:vAlign w:val="center"/>
          </w:tcPr>
          <w:p>
            <w:pPr>
              <w:adjustRightInd w:val="0"/>
              <w:spacing w:line="320" w:lineRule="exact"/>
              <w:jc w:val="center"/>
              <w:textAlignment w:val="baseline"/>
              <w:rPr>
                <w:rFonts w:hAnsi="Times New Roman"/>
                <w:color w:val="auto"/>
                <w:sz w:val="21"/>
                <w:szCs w:val="21"/>
                <w:highlight w:val="none"/>
              </w:rPr>
            </w:pPr>
            <w:r>
              <w:rPr>
                <w:rFonts w:hint="eastAsia" w:hAnsi="Times New Roman"/>
                <w:color w:val="auto"/>
                <w:sz w:val="21"/>
                <w:szCs w:val="21"/>
                <w:highlight w:val="none"/>
              </w:rPr>
              <w:t>1</w:t>
            </w:r>
          </w:p>
        </w:tc>
        <w:tc>
          <w:tcPr>
            <w:tcW w:w="2286" w:type="dxa"/>
            <w:vAlign w:val="center"/>
          </w:tcPr>
          <w:p>
            <w:pPr>
              <w:adjustRightInd w:val="0"/>
              <w:spacing w:line="320" w:lineRule="exact"/>
              <w:textAlignment w:val="baseline"/>
              <w:rPr>
                <w:rFonts w:hAnsi="Times New Roman"/>
                <w:color w:val="auto"/>
                <w:sz w:val="21"/>
                <w:szCs w:val="21"/>
                <w:highlight w:val="none"/>
              </w:rPr>
            </w:pPr>
            <w:r>
              <w:rPr>
                <w:rFonts w:hint="eastAsia" w:hAnsi="Times New Roman"/>
                <w:color w:val="auto"/>
                <w:sz w:val="21"/>
                <w:szCs w:val="21"/>
                <w:highlight w:val="none"/>
              </w:rPr>
              <w:t>缺陷责任期</w:t>
            </w:r>
          </w:p>
        </w:tc>
        <w:tc>
          <w:tcPr>
            <w:tcW w:w="1014" w:type="dxa"/>
            <w:vAlign w:val="center"/>
          </w:tcPr>
          <w:p>
            <w:pPr>
              <w:adjustRightInd w:val="0"/>
              <w:spacing w:line="320" w:lineRule="exact"/>
              <w:jc w:val="center"/>
              <w:textAlignment w:val="baseline"/>
              <w:rPr>
                <w:rFonts w:hAnsi="Times New Roman"/>
                <w:color w:val="auto"/>
                <w:sz w:val="21"/>
                <w:szCs w:val="21"/>
                <w:highlight w:val="none"/>
              </w:rPr>
            </w:pPr>
          </w:p>
        </w:tc>
        <w:tc>
          <w:tcPr>
            <w:tcW w:w="4100" w:type="dxa"/>
            <w:vAlign w:val="center"/>
          </w:tcPr>
          <w:p>
            <w:pPr>
              <w:adjustRightInd w:val="0"/>
              <w:spacing w:line="320" w:lineRule="exact"/>
              <w:textAlignment w:val="baseline"/>
              <w:rPr>
                <w:rFonts w:hAnsi="Times New Roman"/>
                <w:color w:val="auto"/>
                <w:sz w:val="21"/>
                <w:szCs w:val="21"/>
                <w:highlight w:val="none"/>
              </w:rPr>
            </w:pPr>
          </w:p>
        </w:tc>
        <w:tc>
          <w:tcPr>
            <w:tcW w:w="1507" w:type="dxa"/>
            <w:tcBorders>
              <w:right w:val="single" w:color="auto" w:sz="4" w:space="0"/>
            </w:tcBorders>
          </w:tcPr>
          <w:p>
            <w:pPr>
              <w:adjustRightInd w:val="0"/>
              <w:spacing w:line="320" w:lineRule="exact"/>
              <w:textAlignment w:val="baseline"/>
              <w:rPr>
                <w:rFonts w:hAnsi="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trPr>
        <w:tc>
          <w:tcPr>
            <w:tcW w:w="805" w:type="dxa"/>
            <w:vAlign w:val="center"/>
          </w:tcPr>
          <w:p>
            <w:pPr>
              <w:adjustRightInd w:val="0"/>
              <w:spacing w:line="320" w:lineRule="exact"/>
              <w:jc w:val="center"/>
              <w:textAlignment w:val="baseline"/>
              <w:rPr>
                <w:rFonts w:hAnsi="Times New Roman"/>
                <w:color w:val="auto"/>
                <w:sz w:val="21"/>
                <w:szCs w:val="21"/>
                <w:highlight w:val="none"/>
              </w:rPr>
            </w:pPr>
            <w:r>
              <w:rPr>
                <w:rFonts w:hint="eastAsia" w:hAnsi="Times New Roman"/>
                <w:color w:val="auto"/>
                <w:sz w:val="21"/>
                <w:szCs w:val="21"/>
                <w:highlight w:val="none"/>
              </w:rPr>
              <w:t>2</w:t>
            </w:r>
          </w:p>
        </w:tc>
        <w:tc>
          <w:tcPr>
            <w:tcW w:w="2286" w:type="dxa"/>
            <w:vAlign w:val="center"/>
          </w:tcPr>
          <w:p>
            <w:pPr>
              <w:adjustRightInd w:val="0"/>
              <w:spacing w:line="320" w:lineRule="exact"/>
              <w:textAlignment w:val="baseline"/>
              <w:rPr>
                <w:rFonts w:hAnsi="Times New Roman"/>
                <w:color w:val="auto"/>
                <w:sz w:val="21"/>
                <w:szCs w:val="21"/>
                <w:highlight w:val="none"/>
              </w:rPr>
            </w:pPr>
            <w:r>
              <w:rPr>
                <w:rFonts w:hint="eastAsia" w:hAnsi="Times New Roman"/>
                <w:color w:val="auto"/>
                <w:sz w:val="21"/>
                <w:szCs w:val="21"/>
                <w:highlight w:val="none"/>
              </w:rPr>
              <w:t>承包人履约担保金额</w:t>
            </w:r>
          </w:p>
        </w:tc>
        <w:tc>
          <w:tcPr>
            <w:tcW w:w="1014" w:type="dxa"/>
            <w:vAlign w:val="center"/>
          </w:tcPr>
          <w:p>
            <w:pPr>
              <w:adjustRightInd w:val="0"/>
              <w:spacing w:line="320" w:lineRule="exact"/>
              <w:jc w:val="center"/>
              <w:textAlignment w:val="baseline"/>
              <w:rPr>
                <w:rFonts w:hAnsi="Times New Roman"/>
                <w:color w:val="auto"/>
                <w:sz w:val="21"/>
                <w:szCs w:val="21"/>
                <w:highlight w:val="none"/>
              </w:rPr>
            </w:pPr>
          </w:p>
        </w:tc>
        <w:tc>
          <w:tcPr>
            <w:tcW w:w="4100" w:type="dxa"/>
            <w:vAlign w:val="center"/>
          </w:tcPr>
          <w:p>
            <w:pPr>
              <w:adjustRightInd w:val="0"/>
              <w:spacing w:line="320" w:lineRule="exact"/>
              <w:textAlignment w:val="baseline"/>
              <w:rPr>
                <w:rFonts w:hAnsi="Times New Roman"/>
                <w:color w:val="auto"/>
                <w:sz w:val="21"/>
                <w:szCs w:val="21"/>
                <w:highlight w:val="none"/>
              </w:rPr>
            </w:pPr>
          </w:p>
        </w:tc>
        <w:tc>
          <w:tcPr>
            <w:tcW w:w="1507" w:type="dxa"/>
            <w:tcBorders>
              <w:right w:val="single" w:color="auto" w:sz="4" w:space="0"/>
            </w:tcBorders>
          </w:tcPr>
          <w:p>
            <w:pPr>
              <w:adjustRightInd w:val="0"/>
              <w:spacing w:line="320" w:lineRule="exact"/>
              <w:textAlignment w:val="baseline"/>
              <w:rPr>
                <w:rFonts w:hAnsi="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trPr>
        <w:tc>
          <w:tcPr>
            <w:tcW w:w="805" w:type="dxa"/>
            <w:vAlign w:val="center"/>
          </w:tcPr>
          <w:p>
            <w:pPr>
              <w:adjustRightInd w:val="0"/>
              <w:spacing w:line="320" w:lineRule="exact"/>
              <w:jc w:val="center"/>
              <w:textAlignment w:val="baseline"/>
              <w:rPr>
                <w:rFonts w:hAnsi="Times New Roman"/>
                <w:color w:val="auto"/>
                <w:sz w:val="21"/>
                <w:szCs w:val="21"/>
                <w:highlight w:val="none"/>
              </w:rPr>
            </w:pPr>
            <w:r>
              <w:rPr>
                <w:rFonts w:hint="eastAsia" w:hAnsi="Times New Roman"/>
                <w:color w:val="auto"/>
                <w:sz w:val="21"/>
                <w:szCs w:val="21"/>
                <w:highlight w:val="none"/>
              </w:rPr>
              <w:t>3</w:t>
            </w:r>
          </w:p>
        </w:tc>
        <w:tc>
          <w:tcPr>
            <w:tcW w:w="2286" w:type="dxa"/>
            <w:vAlign w:val="center"/>
          </w:tcPr>
          <w:p>
            <w:pPr>
              <w:adjustRightInd w:val="0"/>
              <w:spacing w:line="320" w:lineRule="exact"/>
              <w:textAlignment w:val="baseline"/>
              <w:rPr>
                <w:rFonts w:hAnsi="Times New Roman"/>
                <w:color w:val="auto"/>
                <w:sz w:val="21"/>
                <w:szCs w:val="21"/>
                <w:highlight w:val="none"/>
              </w:rPr>
            </w:pPr>
            <w:r>
              <w:rPr>
                <w:rFonts w:hint="eastAsia" w:hAnsi="Times New Roman"/>
                <w:color w:val="auto"/>
                <w:sz w:val="21"/>
                <w:szCs w:val="21"/>
                <w:highlight w:val="none"/>
              </w:rPr>
              <w:t>分包</w:t>
            </w:r>
          </w:p>
        </w:tc>
        <w:tc>
          <w:tcPr>
            <w:tcW w:w="1014" w:type="dxa"/>
            <w:vAlign w:val="center"/>
          </w:tcPr>
          <w:p>
            <w:pPr>
              <w:adjustRightInd w:val="0"/>
              <w:spacing w:line="320" w:lineRule="exact"/>
              <w:jc w:val="center"/>
              <w:textAlignment w:val="baseline"/>
              <w:rPr>
                <w:rFonts w:hAnsi="Times New Roman"/>
                <w:color w:val="auto"/>
                <w:sz w:val="21"/>
                <w:szCs w:val="21"/>
                <w:highlight w:val="none"/>
              </w:rPr>
            </w:pPr>
          </w:p>
        </w:tc>
        <w:tc>
          <w:tcPr>
            <w:tcW w:w="4100" w:type="dxa"/>
            <w:vAlign w:val="center"/>
          </w:tcPr>
          <w:p>
            <w:pPr>
              <w:adjustRightInd w:val="0"/>
              <w:spacing w:line="320" w:lineRule="exact"/>
              <w:textAlignment w:val="baseline"/>
              <w:rPr>
                <w:rFonts w:hAnsi="Times New Roman"/>
                <w:color w:val="auto"/>
                <w:sz w:val="21"/>
                <w:szCs w:val="21"/>
                <w:highlight w:val="none"/>
              </w:rPr>
            </w:pPr>
          </w:p>
        </w:tc>
        <w:tc>
          <w:tcPr>
            <w:tcW w:w="1507" w:type="dxa"/>
            <w:tcBorders>
              <w:right w:val="single" w:color="auto" w:sz="4" w:space="0"/>
            </w:tcBorders>
          </w:tcPr>
          <w:p>
            <w:pPr>
              <w:adjustRightInd w:val="0"/>
              <w:spacing w:line="320" w:lineRule="exact"/>
              <w:textAlignment w:val="baseline"/>
              <w:rPr>
                <w:rFonts w:hAnsi="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805" w:type="dxa"/>
            <w:vAlign w:val="center"/>
          </w:tcPr>
          <w:p>
            <w:pPr>
              <w:adjustRightInd w:val="0"/>
              <w:spacing w:line="320" w:lineRule="exact"/>
              <w:jc w:val="center"/>
              <w:textAlignment w:val="baseline"/>
              <w:rPr>
                <w:rFonts w:hAnsi="Times New Roman"/>
                <w:color w:val="auto"/>
                <w:sz w:val="21"/>
                <w:szCs w:val="21"/>
                <w:highlight w:val="none"/>
              </w:rPr>
            </w:pPr>
            <w:r>
              <w:rPr>
                <w:rFonts w:hint="eastAsia" w:hAnsi="Times New Roman"/>
                <w:color w:val="auto"/>
                <w:sz w:val="21"/>
                <w:szCs w:val="21"/>
                <w:highlight w:val="none"/>
              </w:rPr>
              <w:t>4</w:t>
            </w:r>
          </w:p>
        </w:tc>
        <w:tc>
          <w:tcPr>
            <w:tcW w:w="2286" w:type="dxa"/>
            <w:vAlign w:val="center"/>
          </w:tcPr>
          <w:p>
            <w:pPr>
              <w:adjustRightInd w:val="0"/>
              <w:spacing w:line="320" w:lineRule="exact"/>
              <w:textAlignment w:val="baseline"/>
              <w:rPr>
                <w:rFonts w:hAnsi="Times New Roman"/>
                <w:color w:val="auto"/>
                <w:sz w:val="21"/>
                <w:szCs w:val="21"/>
                <w:highlight w:val="none"/>
              </w:rPr>
            </w:pPr>
            <w:r>
              <w:rPr>
                <w:rFonts w:hint="eastAsia" w:hAnsi="Times New Roman"/>
                <w:color w:val="auto"/>
                <w:sz w:val="21"/>
                <w:szCs w:val="21"/>
                <w:highlight w:val="none"/>
              </w:rPr>
              <w:t>逾期竣工违约金</w:t>
            </w:r>
          </w:p>
        </w:tc>
        <w:tc>
          <w:tcPr>
            <w:tcW w:w="1014" w:type="dxa"/>
            <w:vAlign w:val="center"/>
          </w:tcPr>
          <w:p>
            <w:pPr>
              <w:adjustRightInd w:val="0"/>
              <w:spacing w:line="320" w:lineRule="exact"/>
              <w:jc w:val="center"/>
              <w:textAlignment w:val="baseline"/>
              <w:rPr>
                <w:rFonts w:hAnsi="Times New Roman"/>
                <w:color w:val="auto"/>
                <w:sz w:val="21"/>
                <w:szCs w:val="21"/>
                <w:highlight w:val="none"/>
              </w:rPr>
            </w:pPr>
          </w:p>
        </w:tc>
        <w:tc>
          <w:tcPr>
            <w:tcW w:w="4100" w:type="dxa"/>
            <w:vAlign w:val="center"/>
          </w:tcPr>
          <w:p>
            <w:pPr>
              <w:adjustRightInd w:val="0"/>
              <w:spacing w:line="320" w:lineRule="exact"/>
              <w:textAlignment w:val="baseline"/>
              <w:rPr>
                <w:rFonts w:hAnsi="Times New Roman"/>
                <w:color w:val="auto"/>
                <w:sz w:val="21"/>
                <w:szCs w:val="21"/>
                <w:highlight w:val="none"/>
              </w:rPr>
            </w:pPr>
            <w:r>
              <w:rPr>
                <w:rFonts w:hint="eastAsia" w:hAnsi="Times New Roman"/>
                <w:color w:val="auto"/>
                <w:sz w:val="21"/>
                <w:szCs w:val="21"/>
                <w:highlight w:val="none"/>
              </w:rPr>
              <w:t>逾期竣工违约金的计算方法：</w:t>
            </w:r>
            <w:r>
              <w:rPr>
                <w:rFonts w:hint="eastAsia" w:hAnsi="Times New Roman"/>
                <w:color w:val="auto"/>
                <w:sz w:val="21"/>
                <w:szCs w:val="21"/>
                <w:highlight w:val="none"/>
                <w:u w:val="single"/>
              </w:rPr>
              <w:t xml:space="preserve">      </w:t>
            </w:r>
            <w:r>
              <w:rPr>
                <w:rFonts w:hint="eastAsia" w:hAnsi="Times New Roman"/>
                <w:color w:val="auto"/>
                <w:sz w:val="21"/>
                <w:szCs w:val="21"/>
                <w:highlight w:val="none"/>
              </w:rPr>
              <w:t>。</w:t>
            </w:r>
          </w:p>
        </w:tc>
        <w:tc>
          <w:tcPr>
            <w:tcW w:w="1507" w:type="dxa"/>
            <w:tcBorders>
              <w:right w:val="single" w:color="auto" w:sz="4" w:space="0"/>
            </w:tcBorders>
          </w:tcPr>
          <w:p>
            <w:pPr>
              <w:adjustRightInd w:val="0"/>
              <w:spacing w:line="320" w:lineRule="exact"/>
              <w:textAlignment w:val="baseline"/>
              <w:rPr>
                <w:rFonts w:hAnsi="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805" w:type="dxa"/>
            <w:vAlign w:val="center"/>
          </w:tcPr>
          <w:p>
            <w:pPr>
              <w:adjustRightInd w:val="0"/>
              <w:spacing w:line="320" w:lineRule="exact"/>
              <w:jc w:val="center"/>
              <w:textAlignment w:val="baseline"/>
              <w:rPr>
                <w:rFonts w:hAnsi="Times New Roman"/>
                <w:color w:val="auto"/>
                <w:sz w:val="21"/>
                <w:szCs w:val="21"/>
                <w:highlight w:val="none"/>
              </w:rPr>
            </w:pPr>
            <w:r>
              <w:rPr>
                <w:rFonts w:hint="eastAsia" w:hAnsi="Times New Roman"/>
                <w:color w:val="auto"/>
                <w:sz w:val="21"/>
                <w:szCs w:val="21"/>
                <w:highlight w:val="none"/>
              </w:rPr>
              <w:t>5</w:t>
            </w:r>
          </w:p>
        </w:tc>
        <w:tc>
          <w:tcPr>
            <w:tcW w:w="2286" w:type="dxa"/>
            <w:vAlign w:val="center"/>
          </w:tcPr>
          <w:p>
            <w:pPr>
              <w:adjustRightInd w:val="0"/>
              <w:spacing w:line="320" w:lineRule="exact"/>
              <w:textAlignment w:val="baseline"/>
              <w:rPr>
                <w:rFonts w:hAnsi="Times New Roman"/>
                <w:color w:val="auto"/>
                <w:sz w:val="21"/>
                <w:szCs w:val="21"/>
                <w:highlight w:val="none"/>
              </w:rPr>
            </w:pPr>
            <w:r>
              <w:rPr>
                <w:rFonts w:hint="eastAsia" w:hAnsi="Times New Roman"/>
                <w:color w:val="auto"/>
                <w:sz w:val="21"/>
                <w:szCs w:val="21"/>
                <w:highlight w:val="none"/>
              </w:rPr>
              <w:t>逾期竣工违约金最高限额</w:t>
            </w:r>
          </w:p>
        </w:tc>
        <w:tc>
          <w:tcPr>
            <w:tcW w:w="1014" w:type="dxa"/>
            <w:vAlign w:val="center"/>
          </w:tcPr>
          <w:p>
            <w:pPr>
              <w:adjustRightInd w:val="0"/>
              <w:spacing w:line="320" w:lineRule="exact"/>
              <w:jc w:val="center"/>
              <w:textAlignment w:val="baseline"/>
              <w:rPr>
                <w:rFonts w:hAnsi="Times New Roman"/>
                <w:color w:val="auto"/>
                <w:sz w:val="21"/>
                <w:szCs w:val="21"/>
                <w:highlight w:val="none"/>
              </w:rPr>
            </w:pPr>
          </w:p>
        </w:tc>
        <w:tc>
          <w:tcPr>
            <w:tcW w:w="4100" w:type="dxa"/>
            <w:vAlign w:val="center"/>
          </w:tcPr>
          <w:p>
            <w:pPr>
              <w:adjustRightInd w:val="0"/>
              <w:spacing w:line="320" w:lineRule="exact"/>
              <w:textAlignment w:val="baseline"/>
              <w:rPr>
                <w:rFonts w:hAnsi="Times New Roman"/>
                <w:color w:val="auto"/>
                <w:sz w:val="21"/>
                <w:szCs w:val="21"/>
                <w:highlight w:val="none"/>
              </w:rPr>
            </w:pPr>
            <w:r>
              <w:rPr>
                <w:rFonts w:hint="eastAsia" w:hAnsi="Times New Roman"/>
                <w:color w:val="auto"/>
                <w:sz w:val="21"/>
                <w:szCs w:val="21"/>
                <w:highlight w:val="none"/>
              </w:rPr>
              <w:t xml:space="preserve">逾期竣工违约金的最高限额: </w:t>
            </w:r>
            <w:r>
              <w:rPr>
                <w:rFonts w:hint="eastAsia" w:hAnsi="Times New Roman"/>
                <w:color w:val="auto"/>
                <w:sz w:val="21"/>
                <w:szCs w:val="21"/>
                <w:highlight w:val="none"/>
                <w:u w:val="single"/>
              </w:rPr>
              <w:t xml:space="preserve">     </w:t>
            </w:r>
            <w:r>
              <w:rPr>
                <w:rFonts w:hint="eastAsia" w:hAnsi="Times New Roman"/>
                <w:color w:val="auto"/>
                <w:sz w:val="21"/>
                <w:szCs w:val="21"/>
                <w:highlight w:val="none"/>
              </w:rPr>
              <w:t>。</w:t>
            </w:r>
          </w:p>
        </w:tc>
        <w:tc>
          <w:tcPr>
            <w:tcW w:w="1507" w:type="dxa"/>
            <w:tcBorders>
              <w:right w:val="single" w:color="auto" w:sz="4" w:space="0"/>
            </w:tcBorders>
          </w:tcPr>
          <w:p>
            <w:pPr>
              <w:adjustRightInd w:val="0"/>
              <w:spacing w:line="320" w:lineRule="exact"/>
              <w:textAlignment w:val="baseline"/>
              <w:rPr>
                <w:rFonts w:hAnsi="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805" w:type="dxa"/>
            <w:vAlign w:val="center"/>
          </w:tcPr>
          <w:p>
            <w:pPr>
              <w:adjustRightInd w:val="0"/>
              <w:spacing w:line="320" w:lineRule="exact"/>
              <w:jc w:val="center"/>
              <w:textAlignment w:val="baseline"/>
              <w:rPr>
                <w:rFonts w:hAnsi="Times New Roman"/>
                <w:color w:val="auto"/>
                <w:sz w:val="21"/>
                <w:szCs w:val="21"/>
                <w:highlight w:val="none"/>
              </w:rPr>
            </w:pPr>
            <w:r>
              <w:rPr>
                <w:rFonts w:hint="eastAsia" w:hAnsi="Times New Roman"/>
                <w:color w:val="auto"/>
                <w:sz w:val="21"/>
                <w:szCs w:val="21"/>
                <w:highlight w:val="none"/>
              </w:rPr>
              <w:t>6</w:t>
            </w:r>
          </w:p>
        </w:tc>
        <w:tc>
          <w:tcPr>
            <w:tcW w:w="2286" w:type="dxa"/>
            <w:vAlign w:val="center"/>
          </w:tcPr>
          <w:p>
            <w:pPr>
              <w:adjustRightInd w:val="0"/>
              <w:spacing w:line="320" w:lineRule="exact"/>
              <w:textAlignment w:val="baseline"/>
              <w:rPr>
                <w:rFonts w:hAnsi="Times New Roman"/>
                <w:color w:val="auto"/>
                <w:sz w:val="21"/>
                <w:szCs w:val="21"/>
                <w:highlight w:val="none"/>
              </w:rPr>
            </w:pPr>
            <w:r>
              <w:rPr>
                <w:rFonts w:hint="eastAsia" w:hAnsi="Times New Roman"/>
                <w:color w:val="auto"/>
                <w:sz w:val="21"/>
                <w:szCs w:val="21"/>
                <w:highlight w:val="none"/>
              </w:rPr>
              <w:t>预付款额度</w:t>
            </w:r>
          </w:p>
        </w:tc>
        <w:tc>
          <w:tcPr>
            <w:tcW w:w="1014" w:type="dxa"/>
            <w:vAlign w:val="center"/>
          </w:tcPr>
          <w:p>
            <w:pPr>
              <w:adjustRightInd w:val="0"/>
              <w:spacing w:line="320" w:lineRule="exact"/>
              <w:jc w:val="center"/>
              <w:textAlignment w:val="baseline"/>
              <w:rPr>
                <w:rFonts w:hAnsi="Times New Roman"/>
                <w:color w:val="auto"/>
                <w:sz w:val="21"/>
                <w:szCs w:val="21"/>
                <w:highlight w:val="none"/>
              </w:rPr>
            </w:pPr>
          </w:p>
        </w:tc>
        <w:tc>
          <w:tcPr>
            <w:tcW w:w="4100" w:type="dxa"/>
            <w:vAlign w:val="center"/>
          </w:tcPr>
          <w:p>
            <w:pPr>
              <w:adjustRightInd w:val="0"/>
              <w:spacing w:line="320" w:lineRule="exact"/>
              <w:textAlignment w:val="baseline"/>
              <w:rPr>
                <w:rFonts w:hAnsi="Times New Roman"/>
                <w:color w:val="auto"/>
                <w:sz w:val="21"/>
                <w:szCs w:val="21"/>
                <w:highlight w:val="none"/>
              </w:rPr>
            </w:pPr>
            <w:r>
              <w:rPr>
                <w:rFonts w:hint="eastAsia" w:hAnsi="Times New Roman"/>
                <w:color w:val="auto"/>
                <w:sz w:val="21"/>
                <w:szCs w:val="21"/>
                <w:highlight w:val="none"/>
              </w:rPr>
              <w:t>预付款额度：为签约合同价的</w:t>
            </w:r>
            <w:r>
              <w:rPr>
                <w:rFonts w:hint="eastAsia" w:hAnsi="Times New Roman"/>
                <w:color w:val="auto"/>
                <w:sz w:val="21"/>
                <w:szCs w:val="21"/>
                <w:highlight w:val="none"/>
                <w:u w:val="single"/>
              </w:rPr>
              <w:t xml:space="preserve">     </w:t>
            </w:r>
            <w:r>
              <w:rPr>
                <w:rFonts w:hint="eastAsia" w:ascii="仿宋_GB2312" w:hAnsi="Times New Roman" w:eastAsia="仿宋_GB2312"/>
                <w:color w:val="auto"/>
                <w:sz w:val="21"/>
                <w:szCs w:val="21"/>
                <w:highlight w:val="none"/>
              </w:rPr>
              <w:t>％</w:t>
            </w:r>
          </w:p>
        </w:tc>
        <w:tc>
          <w:tcPr>
            <w:tcW w:w="1507" w:type="dxa"/>
            <w:tcBorders>
              <w:right w:val="single" w:color="auto" w:sz="4" w:space="0"/>
            </w:tcBorders>
          </w:tcPr>
          <w:p>
            <w:pPr>
              <w:adjustRightInd w:val="0"/>
              <w:spacing w:line="320" w:lineRule="exact"/>
              <w:textAlignment w:val="baseline"/>
              <w:rPr>
                <w:rFonts w:hAnsi="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805" w:type="dxa"/>
            <w:vAlign w:val="center"/>
          </w:tcPr>
          <w:p>
            <w:pPr>
              <w:adjustRightInd w:val="0"/>
              <w:spacing w:line="320" w:lineRule="exact"/>
              <w:jc w:val="center"/>
              <w:textAlignment w:val="baseline"/>
              <w:rPr>
                <w:rFonts w:hAnsi="Times New Roman"/>
                <w:color w:val="auto"/>
                <w:sz w:val="21"/>
                <w:szCs w:val="21"/>
                <w:highlight w:val="none"/>
              </w:rPr>
            </w:pPr>
            <w:r>
              <w:rPr>
                <w:rFonts w:hint="eastAsia" w:hAnsi="Times New Roman"/>
                <w:color w:val="auto"/>
                <w:sz w:val="21"/>
                <w:szCs w:val="21"/>
                <w:highlight w:val="none"/>
              </w:rPr>
              <w:t>7</w:t>
            </w:r>
          </w:p>
        </w:tc>
        <w:tc>
          <w:tcPr>
            <w:tcW w:w="2286" w:type="dxa"/>
            <w:vAlign w:val="center"/>
          </w:tcPr>
          <w:p>
            <w:pPr>
              <w:adjustRightInd w:val="0"/>
              <w:spacing w:line="320" w:lineRule="exact"/>
              <w:textAlignment w:val="baseline"/>
              <w:rPr>
                <w:rFonts w:hAnsi="Times New Roman"/>
                <w:color w:val="auto"/>
                <w:sz w:val="21"/>
                <w:szCs w:val="21"/>
                <w:highlight w:val="none"/>
              </w:rPr>
            </w:pPr>
            <w:r>
              <w:rPr>
                <w:rFonts w:hint="eastAsia" w:hAnsi="Times New Roman"/>
                <w:color w:val="auto"/>
                <w:sz w:val="21"/>
                <w:szCs w:val="21"/>
                <w:highlight w:val="none"/>
              </w:rPr>
              <w:t>质量保证金扣留百分比</w:t>
            </w:r>
          </w:p>
        </w:tc>
        <w:tc>
          <w:tcPr>
            <w:tcW w:w="1014" w:type="dxa"/>
            <w:vAlign w:val="center"/>
          </w:tcPr>
          <w:p>
            <w:pPr>
              <w:adjustRightInd w:val="0"/>
              <w:spacing w:line="320" w:lineRule="exact"/>
              <w:jc w:val="center"/>
              <w:textAlignment w:val="baseline"/>
              <w:rPr>
                <w:rFonts w:hAnsi="Times New Roman"/>
                <w:color w:val="auto"/>
                <w:sz w:val="21"/>
                <w:szCs w:val="21"/>
                <w:highlight w:val="none"/>
              </w:rPr>
            </w:pPr>
          </w:p>
        </w:tc>
        <w:tc>
          <w:tcPr>
            <w:tcW w:w="4100" w:type="dxa"/>
            <w:vAlign w:val="center"/>
          </w:tcPr>
          <w:p>
            <w:pPr>
              <w:adjustRightInd w:val="0"/>
              <w:spacing w:line="320" w:lineRule="exact"/>
              <w:textAlignment w:val="baseline"/>
              <w:rPr>
                <w:rFonts w:hAnsi="Times New Roman"/>
                <w:color w:val="auto"/>
                <w:sz w:val="21"/>
                <w:szCs w:val="21"/>
                <w:highlight w:val="none"/>
              </w:rPr>
            </w:pPr>
          </w:p>
        </w:tc>
        <w:tc>
          <w:tcPr>
            <w:tcW w:w="1507" w:type="dxa"/>
            <w:tcBorders>
              <w:right w:val="single" w:color="auto" w:sz="4" w:space="0"/>
            </w:tcBorders>
          </w:tcPr>
          <w:p>
            <w:pPr>
              <w:adjustRightInd w:val="0"/>
              <w:spacing w:line="320" w:lineRule="exact"/>
              <w:textAlignment w:val="baseline"/>
              <w:rPr>
                <w:rFonts w:hAnsi="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805" w:type="dxa"/>
            <w:vAlign w:val="center"/>
          </w:tcPr>
          <w:p>
            <w:pPr>
              <w:adjustRightInd w:val="0"/>
              <w:spacing w:line="320" w:lineRule="exact"/>
              <w:jc w:val="center"/>
              <w:textAlignment w:val="baseline"/>
              <w:rPr>
                <w:rFonts w:hAnsi="Times New Roman"/>
                <w:color w:val="auto"/>
                <w:sz w:val="21"/>
                <w:szCs w:val="21"/>
                <w:highlight w:val="none"/>
              </w:rPr>
            </w:pPr>
            <w:r>
              <w:rPr>
                <w:rFonts w:hint="eastAsia" w:hAnsi="Times New Roman"/>
                <w:color w:val="auto"/>
                <w:sz w:val="21"/>
                <w:szCs w:val="21"/>
                <w:highlight w:val="none"/>
              </w:rPr>
              <w:t>…</w:t>
            </w:r>
          </w:p>
        </w:tc>
        <w:tc>
          <w:tcPr>
            <w:tcW w:w="2286" w:type="dxa"/>
            <w:vAlign w:val="center"/>
          </w:tcPr>
          <w:p>
            <w:pPr>
              <w:adjustRightInd w:val="0"/>
              <w:spacing w:line="320" w:lineRule="exact"/>
              <w:textAlignment w:val="baseline"/>
              <w:rPr>
                <w:rFonts w:hAnsi="Times New Roman"/>
                <w:color w:val="auto"/>
                <w:sz w:val="21"/>
                <w:szCs w:val="21"/>
                <w:highlight w:val="none"/>
              </w:rPr>
            </w:pPr>
            <w:r>
              <w:rPr>
                <w:rFonts w:hint="eastAsia" w:hAnsi="Times New Roman"/>
                <w:color w:val="auto"/>
                <w:sz w:val="21"/>
                <w:szCs w:val="21"/>
                <w:highlight w:val="none"/>
              </w:rPr>
              <w:t>……</w:t>
            </w:r>
          </w:p>
        </w:tc>
        <w:tc>
          <w:tcPr>
            <w:tcW w:w="1014" w:type="dxa"/>
            <w:vAlign w:val="center"/>
          </w:tcPr>
          <w:p>
            <w:pPr>
              <w:adjustRightInd w:val="0"/>
              <w:spacing w:line="320" w:lineRule="exact"/>
              <w:jc w:val="center"/>
              <w:textAlignment w:val="baseline"/>
              <w:rPr>
                <w:rFonts w:hAnsi="Times New Roman"/>
                <w:color w:val="auto"/>
                <w:sz w:val="21"/>
                <w:szCs w:val="21"/>
                <w:highlight w:val="none"/>
              </w:rPr>
            </w:pPr>
            <w:r>
              <w:rPr>
                <w:rFonts w:hint="eastAsia" w:hAnsi="Times New Roman"/>
                <w:color w:val="auto"/>
                <w:sz w:val="21"/>
                <w:szCs w:val="21"/>
                <w:highlight w:val="none"/>
              </w:rPr>
              <w:t>……</w:t>
            </w:r>
          </w:p>
        </w:tc>
        <w:tc>
          <w:tcPr>
            <w:tcW w:w="4100" w:type="dxa"/>
            <w:vAlign w:val="center"/>
          </w:tcPr>
          <w:p>
            <w:pPr>
              <w:adjustRightInd w:val="0"/>
              <w:spacing w:line="320" w:lineRule="exact"/>
              <w:textAlignment w:val="baseline"/>
              <w:rPr>
                <w:rFonts w:hAnsi="Times New Roman"/>
                <w:color w:val="auto"/>
                <w:sz w:val="21"/>
                <w:szCs w:val="21"/>
                <w:highlight w:val="none"/>
              </w:rPr>
            </w:pPr>
            <w:r>
              <w:rPr>
                <w:rFonts w:hint="eastAsia" w:hAnsi="Times New Roman"/>
                <w:color w:val="auto"/>
                <w:sz w:val="21"/>
                <w:szCs w:val="21"/>
                <w:highlight w:val="none"/>
              </w:rPr>
              <w:t>……</w:t>
            </w:r>
          </w:p>
        </w:tc>
        <w:tc>
          <w:tcPr>
            <w:tcW w:w="1507" w:type="dxa"/>
          </w:tcPr>
          <w:p>
            <w:pPr>
              <w:adjustRightInd w:val="0"/>
              <w:spacing w:line="320" w:lineRule="exact"/>
              <w:textAlignment w:val="baseline"/>
              <w:rPr>
                <w:rFonts w:hAnsi="Times New Roman"/>
                <w:color w:val="auto"/>
                <w:sz w:val="21"/>
                <w:szCs w:val="21"/>
                <w:highlight w:val="none"/>
              </w:rPr>
            </w:pPr>
          </w:p>
        </w:tc>
      </w:tr>
    </w:tbl>
    <w:p>
      <w:pPr>
        <w:autoSpaceDE w:val="0"/>
        <w:autoSpaceDN w:val="0"/>
        <w:adjustRightInd w:val="0"/>
        <w:spacing w:line="360" w:lineRule="auto"/>
        <w:ind w:firstLine="3600" w:firstLineChars="1500"/>
        <w:jc w:val="left"/>
        <w:rPr>
          <w:rFonts w:hAnsi="Times New Roman"/>
          <w:color w:val="auto"/>
          <w:sz w:val="24"/>
          <w:highlight w:val="none"/>
        </w:rPr>
      </w:pPr>
    </w:p>
    <w:p>
      <w:pPr>
        <w:spacing w:beforeLines="100" w:afterLines="100" w:line="360" w:lineRule="auto"/>
        <w:jc w:val="center"/>
        <w:rPr>
          <w:rFonts w:cs="宋体"/>
          <w:b/>
          <w:color w:val="auto"/>
          <w:sz w:val="30"/>
          <w:szCs w:val="30"/>
          <w:highlight w:val="none"/>
        </w:rPr>
      </w:pPr>
      <w:r>
        <w:rPr>
          <w:rFonts w:hAnsi="Times New Roman"/>
          <w:b/>
          <w:color w:val="auto"/>
          <w:sz w:val="21"/>
          <w:highlight w:val="none"/>
        </w:rPr>
        <w:br w:type="page"/>
      </w:r>
      <w:r>
        <w:rPr>
          <w:rFonts w:hint="eastAsia" w:ascii="黑体" w:hAnsi="黑体" w:eastAsia="黑体"/>
          <w:color w:val="auto"/>
          <w:sz w:val="32"/>
          <w:szCs w:val="32"/>
          <w:highlight w:val="none"/>
        </w:rPr>
        <w:t>三、已标价工程量清单有关编制人员情况表</w:t>
      </w:r>
      <w:r>
        <w:rPr>
          <w:rStyle w:val="74"/>
          <w:rFonts w:ascii="黑体" w:hAnsi="黑体" w:eastAsia="黑体"/>
          <w:color w:val="auto"/>
          <w:sz w:val="32"/>
          <w:szCs w:val="32"/>
          <w:highlight w:val="none"/>
        </w:rPr>
        <w:footnoteReference w:id="68"/>
      </w:r>
    </w:p>
    <w:p>
      <w:pPr>
        <w:adjustRightInd w:val="0"/>
        <w:spacing w:line="360" w:lineRule="atLeast"/>
        <w:jc w:val="center"/>
        <w:textAlignment w:val="baseline"/>
        <w:rPr>
          <w:rFonts w:ascii="Times New Roman" w:hAnsi="Times New Roman"/>
          <w:b/>
          <w:color w:val="auto"/>
          <w:sz w:val="44"/>
          <w:szCs w:val="44"/>
          <w:highlight w:val="none"/>
        </w:rPr>
      </w:pPr>
    </w:p>
    <w:p>
      <w:pPr>
        <w:adjustRightInd w:val="0"/>
        <w:spacing w:line="360" w:lineRule="atLeast"/>
        <w:jc w:val="center"/>
        <w:textAlignment w:val="baseline"/>
        <w:rPr>
          <w:rFonts w:ascii="Times New Roman" w:hAnsi="Times New Roman"/>
          <w:b/>
          <w:color w:val="auto"/>
          <w:sz w:val="44"/>
          <w:szCs w:val="44"/>
          <w:highlight w:val="none"/>
        </w:rPr>
      </w:pPr>
    </w:p>
    <w:p>
      <w:pPr>
        <w:adjustRightInd w:val="0"/>
        <w:spacing w:line="620" w:lineRule="exact"/>
        <w:ind w:firstLine="600" w:firstLineChars="200"/>
        <w:textAlignment w:val="baseline"/>
        <w:rPr>
          <w:rFonts w:ascii="Times New Roman" w:hAnsi="Times New Roman"/>
          <w:color w:val="auto"/>
          <w:sz w:val="30"/>
          <w:szCs w:val="30"/>
          <w:highlight w:val="none"/>
        </w:rPr>
      </w:pPr>
    </w:p>
    <w:p>
      <w:pPr>
        <w:adjustRightInd w:val="0"/>
        <w:spacing w:line="360" w:lineRule="auto"/>
        <w:ind w:firstLine="1274" w:firstLineChars="607"/>
        <w:textAlignment w:val="baseline"/>
        <w:rPr>
          <w:rFonts w:ascii="Times New Roman" w:hAnsi="Times New Roman"/>
          <w:color w:val="auto"/>
          <w:sz w:val="21"/>
          <w:szCs w:val="21"/>
          <w:highlight w:val="none"/>
        </w:rPr>
      </w:pPr>
      <w:r>
        <w:rPr>
          <w:rFonts w:hint="eastAsia" w:ascii="Times New Roman" w:hAnsi="Times New Roman"/>
          <w:color w:val="auto"/>
          <w:sz w:val="21"/>
          <w:szCs w:val="21"/>
          <w:highlight w:val="none"/>
        </w:rPr>
        <w:t>项目名称：</w:t>
      </w:r>
      <w:r>
        <w:rPr>
          <w:rFonts w:hint="eastAsia" w:ascii="Times New Roman" w:hAnsi="Times New Roman"/>
          <w:color w:val="auto"/>
          <w:sz w:val="21"/>
          <w:szCs w:val="21"/>
          <w:highlight w:val="none"/>
          <w:u w:val="single"/>
        </w:rPr>
        <w:t xml:space="preserve">                              </w:t>
      </w:r>
    </w:p>
    <w:p>
      <w:pPr>
        <w:adjustRightInd w:val="0"/>
        <w:spacing w:line="360" w:lineRule="auto"/>
        <w:ind w:firstLine="1274" w:firstLineChars="607"/>
        <w:textAlignment w:val="baseline"/>
        <w:rPr>
          <w:rFonts w:ascii="Times New Roman" w:hAnsi="Times New Roman"/>
          <w:color w:val="auto"/>
          <w:sz w:val="21"/>
          <w:szCs w:val="21"/>
          <w:highlight w:val="none"/>
        </w:rPr>
      </w:pPr>
      <w:r>
        <w:rPr>
          <w:rFonts w:hint="eastAsia" w:ascii="Times New Roman" w:hAnsi="Times New Roman"/>
          <w:color w:val="auto"/>
          <w:sz w:val="21"/>
          <w:szCs w:val="21"/>
          <w:highlight w:val="none"/>
        </w:rPr>
        <w:t>标段名称：</w:t>
      </w:r>
      <w:r>
        <w:rPr>
          <w:rFonts w:hint="eastAsia" w:ascii="Times New Roman" w:hAnsi="Times New Roman"/>
          <w:color w:val="auto"/>
          <w:sz w:val="21"/>
          <w:szCs w:val="21"/>
          <w:highlight w:val="none"/>
          <w:u w:val="single"/>
        </w:rPr>
        <w:t xml:space="preserve">                              </w:t>
      </w:r>
    </w:p>
    <w:p>
      <w:pPr>
        <w:adjustRightInd w:val="0"/>
        <w:spacing w:line="360" w:lineRule="auto"/>
        <w:ind w:firstLine="1274" w:firstLineChars="607"/>
        <w:textAlignment w:val="baseline"/>
        <w:rPr>
          <w:rFonts w:ascii="Times New Roman" w:hAnsi="Times New Roman"/>
          <w:color w:val="auto"/>
          <w:sz w:val="21"/>
          <w:szCs w:val="21"/>
          <w:highlight w:val="none"/>
        </w:rPr>
      </w:pPr>
      <w:r>
        <w:rPr>
          <w:rFonts w:hint="eastAsia" w:ascii="Times New Roman" w:hAnsi="Times New Roman"/>
          <w:color w:val="auto"/>
          <w:sz w:val="21"/>
          <w:szCs w:val="21"/>
          <w:highlight w:val="none"/>
        </w:rPr>
        <w:t>投 标 人：</w:t>
      </w:r>
      <w:r>
        <w:rPr>
          <w:rFonts w:hint="eastAsia" w:ascii="Times New Roman" w:hAnsi="Times New Roman"/>
          <w:color w:val="auto"/>
          <w:sz w:val="21"/>
          <w:szCs w:val="21"/>
          <w:highlight w:val="none"/>
          <w:u w:val="single"/>
        </w:rPr>
        <w:t xml:space="preserve">                              </w:t>
      </w:r>
    </w:p>
    <w:p>
      <w:pPr>
        <w:widowControl/>
        <w:tabs>
          <w:tab w:val="left" w:pos="0"/>
          <w:tab w:val="left" w:pos="993"/>
          <w:tab w:val="left" w:pos="1134"/>
        </w:tabs>
        <w:spacing w:line="360" w:lineRule="auto"/>
        <w:ind w:firstLine="1274" w:firstLineChars="607"/>
        <w:rPr>
          <w:rFonts w:hAnsi="Times New Roman"/>
          <w:color w:val="auto"/>
          <w:sz w:val="21"/>
          <w:szCs w:val="21"/>
          <w:highlight w:val="none"/>
        </w:rPr>
      </w:pPr>
    </w:p>
    <w:p>
      <w:pPr>
        <w:widowControl/>
        <w:tabs>
          <w:tab w:val="left" w:pos="0"/>
          <w:tab w:val="left" w:pos="993"/>
          <w:tab w:val="left" w:pos="1134"/>
        </w:tabs>
        <w:spacing w:line="360" w:lineRule="auto"/>
        <w:ind w:firstLine="1274" w:firstLineChars="607"/>
        <w:rPr>
          <w:rFonts w:hAnsi="Times New Roman"/>
          <w:color w:val="auto"/>
          <w:sz w:val="21"/>
          <w:szCs w:val="21"/>
          <w:highlight w:val="none"/>
        </w:rPr>
      </w:pPr>
    </w:p>
    <w:p>
      <w:pPr>
        <w:widowControl/>
        <w:tabs>
          <w:tab w:val="left" w:pos="0"/>
          <w:tab w:val="left" w:pos="993"/>
          <w:tab w:val="left" w:pos="1134"/>
        </w:tabs>
        <w:spacing w:line="360" w:lineRule="auto"/>
        <w:ind w:firstLine="1274" w:firstLineChars="607"/>
        <w:rPr>
          <w:rFonts w:hAnsi="Times New Roman"/>
          <w:color w:val="auto"/>
          <w:sz w:val="21"/>
          <w:szCs w:val="21"/>
          <w:highlight w:val="none"/>
        </w:rPr>
      </w:pPr>
    </w:p>
    <w:p>
      <w:pPr>
        <w:adjustRightInd w:val="0"/>
        <w:spacing w:line="360" w:lineRule="auto"/>
        <w:ind w:firstLine="1274" w:firstLineChars="607"/>
        <w:jc w:val="left"/>
        <w:textAlignment w:val="baseline"/>
        <w:rPr>
          <w:rFonts w:ascii="Times New Roman" w:hAnsi="Times New Roman"/>
          <w:color w:val="auto"/>
          <w:sz w:val="21"/>
          <w:szCs w:val="21"/>
          <w:highlight w:val="none"/>
        </w:rPr>
      </w:pPr>
      <w:r>
        <w:rPr>
          <w:rFonts w:hint="eastAsia" w:ascii="Times New Roman" w:hAnsi="Times New Roman"/>
          <w:color w:val="auto"/>
          <w:sz w:val="21"/>
          <w:szCs w:val="21"/>
          <w:highlight w:val="none"/>
        </w:rPr>
        <w:t>编制单位：</w:t>
      </w:r>
      <w:r>
        <w:rPr>
          <w:rFonts w:hint="eastAsia" w:ascii="Times New Roman" w:hAnsi="Times New Roman"/>
          <w:color w:val="auto"/>
          <w:sz w:val="21"/>
          <w:szCs w:val="21"/>
          <w:highlight w:val="none"/>
          <w:u w:val="single"/>
        </w:rPr>
        <w:t xml:space="preserve">                        </w:t>
      </w:r>
      <w:r>
        <w:rPr>
          <w:rFonts w:hint="eastAsia" w:ascii="Times New Roman" w:hAnsi="Times New Roman"/>
          <w:color w:val="auto"/>
          <w:sz w:val="21"/>
          <w:szCs w:val="21"/>
          <w:highlight w:val="none"/>
        </w:rPr>
        <w:t>（盖单位公章）</w:t>
      </w:r>
    </w:p>
    <w:p>
      <w:pPr>
        <w:adjustRightInd w:val="0"/>
        <w:spacing w:line="360" w:lineRule="auto"/>
        <w:ind w:firstLine="1274" w:firstLineChars="607"/>
        <w:jc w:val="left"/>
        <w:textAlignment w:val="baseline"/>
        <w:rPr>
          <w:rFonts w:ascii="Times New Roman" w:hAnsi="Times New Roman"/>
          <w:color w:val="auto"/>
          <w:sz w:val="21"/>
          <w:szCs w:val="21"/>
          <w:highlight w:val="none"/>
        </w:rPr>
      </w:pPr>
    </w:p>
    <w:p>
      <w:pPr>
        <w:adjustRightInd w:val="0"/>
        <w:spacing w:line="360" w:lineRule="auto"/>
        <w:ind w:firstLine="1274" w:firstLineChars="607"/>
        <w:jc w:val="left"/>
        <w:textAlignment w:val="baseline"/>
        <w:rPr>
          <w:rFonts w:ascii="Times New Roman" w:hAnsi="Times New Roman" w:eastAsia="黑体"/>
          <w:color w:val="auto"/>
          <w:sz w:val="30"/>
          <w:szCs w:val="30"/>
          <w:highlight w:val="none"/>
        </w:rPr>
      </w:pPr>
      <w:r>
        <w:rPr>
          <w:rFonts w:hint="eastAsia" w:ascii="Times New Roman" w:hAnsi="Times New Roman"/>
          <w:color w:val="auto"/>
          <w:sz w:val="21"/>
          <w:szCs w:val="21"/>
          <w:highlight w:val="none"/>
        </w:rPr>
        <w:t>编制人：</w:t>
      </w:r>
      <w:r>
        <w:rPr>
          <w:rFonts w:hint="eastAsia" w:ascii="Times New Roman" w:hAnsi="Times New Roman"/>
          <w:color w:val="auto"/>
          <w:sz w:val="21"/>
          <w:szCs w:val="21"/>
          <w:highlight w:val="none"/>
          <w:u w:val="single"/>
        </w:rPr>
        <w:t xml:space="preserve">                          </w:t>
      </w:r>
      <w:r>
        <w:rPr>
          <w:rFonts w:hint="eastAsia" w:ascii="Times New Roman" w:hAnsi="Times New Roman"/>
          <w:color w:val="auto"/>
          <w:sz w:val="21"/>
          <w:szCs w:val="21"/>
          <w:highlight w:val="none"/>
        </w:rPr>
        <w:t>（编制人签字、盖章）</w:t>
      </w:r>
      <w:r>
        <w:rPr>
          <w:rFonts w:hint="eastAsia" w:ascii="Times New Roman" w:hAnsi="Times New Roman" w:eastAsia="黑体"/>
          <w:color w:val="auto"/>
          <w:sz w:val="30"/>
          <w:szCs w:val="30"/>
          <w:highlight w:val="none"/>
        </w:rPr>
        <w:t xml:space="preserve">   </w:t>
      </w:r>
    </w:p>
    <w:p>
      <w:pPr>
        <w:adjustRightInd w:val="0"/>
        <w:spacing w:line="400" w:lineRule="exact"/>
        <w:textAlignment w:val="baseline"/>
        <w:rPr>
          <w:rFonts w:cs="宋体"/>
          <w:b/>
          <w:color w:val="auto"/>
          <w:sz w:val="24"/>
          <w:szCs w:val="24"/>
          <w:highlight w:val="none"/>
        </w:rPr>
      </w:pPr>
    </w:p>
    <w:p>
      <w:pPr>
        <w:adjustRightInd w:val="0"/>
        <w:spacing w:line="400" w:lineRule="exact"/>
        <w:textAlignment w:val="baseline"/>
        <w:rPr>
          <w:rFonts w:cs="宋体"/>
          <w:b/>
          <w:color w:val="auto"/>
          <w:sz w:val="24"/>
          <w:szCs w:val="24"/>
          <w:highlight w:val="none"/>
        </w:rPr>
      </w:pPr>
    </w:p>
    <w:p>
      <w:pPr>
        <w:autoSpaceDE w:val="0"/>
        <w:autoSpaceDN w:val="0"/>
        <w:adjustRightInd w:val="0"/>
        <w:jc w:val="left"/>
        <w:rPr>
          <w:rFonts w:hAnsi="Times New Roman"/>
          <w:color w:val="auto"/>
          <w:sz w:val="24"/>
          <w:highlight w:val="none"/>
        </w:rPr>
      </w:pPr>
    </w:p>
    <w:p>
      <w:pPr>
        <w:autoSpaceDE w:val="0"/>
        <w:autoSpaceDN w:val="0"/>
        <w:adjustRightInd w:val="0"/>
        <w:jc w:val="left"/>
        <w:rPr>
          <w:rFonts w:hAnsi="Times New Roman"/>
          <w:color w:val="auto"/>
          <w:sz w:val="24"/>
          <w:highlight w:val="none"/>
        </w:rPr>
      </w:pPr>
    </w:p>
    <w:p>
      <w:pPr>
        <w:autoSpaceDE w:val="0"/>
        <w:autoSpaceDN w:val="0"/>
        <w:adjustRightInd w:val="0"/>
        <w:jc w:val="left"/>
        <w:rPr>
          <w:rFonts w:hAnsi="Times New Roman"/>
          <w:color w:val="auto"/>
          <w:sz w:val="24"/>
          <w:highlight w:val="none"/>
        </w:rPr>
      </w:pPr>
    </w:p>
    <w:p>
      <w:pPr>
        <w:adjustRightInd w:val="0"/>
        <w:spacing w:beforeLines="100" w:afterLines="100" w:line="400" w:lineRule="exact"/>
        <w:jc w:val="center"/>
        <w:textAlignment w:val="baseline"/>
        <w:rPr>
          <w:rFonts w:hAnsi="Times New Roman"/>
          <w:b/>
          <w:color w:val="auto"/>
          <w:sz w:val="32"/>
          <w:szCs w:val="32"/>
          <w:highlight w:val="none"/>
        </w:rPr>
      </w:pPr>
      <w:r>
        <w:rPr>
          <w:rFonts w:hint="eastAsia" w:hAnsi="Times New Roman"/>
          <w:b/>
          <w:color w:val="auto"/>
          <w:sz w:val="32"/>
          <w:szCs w:val="32"/>
          <w:highlight w:val="none"/>
        </w:rPr>
        <w:br w:type="page"/>
      </w:r>
      <w:r>
        <w:rPr>
          <w:rFonts w:hint="eastAsia" w:ascii="黑体" w:hAnsi="黑体" w:eastAsia="黑体"/>
          <w:color w:val="auto"/>
          <w:sz w:val="32"/>
          <w:szCs w:val="32"/>
          <w:highlight w:val="none"/>
        </w:rPr>
        <w:t>四、已标价工程量清单</w:t>
      </w:r>
      <w:r>
        <w:rPr>
          <w:rStyle w:val="74"/>
          <w:rFonts w:ascii="黑体" w:hAnsi="黑体" w:eastAsia="黑体"/>
          <w:color w:val="auto"/>
          <w:sz w:val="32"/>
          <w:szCs w:val="32"/>
          <w:highlight w:val="none"/>
        </w:rPr>
        <w:footnoteReference w:id="69"/>
      </w:r>
    </w:p>
    <w:p>
      <w:pPr>
        <w:adjustRightInd w:val="0"/>
        <w:spacing w:line="360" w:lineRule="atLeast"/>
        <w:ind w:firstLine="1"/>
        <w:textAlignment w:val="baseline"/>
        <w:rPr>
          <w:rFonts w:ascii="黑体" w:hAnsi="黑体" w:eastAsia="黑体"/>
          <w:color w:val="auto"/>
          <w:sz w:val="32"/>
          <w:szCs w:val="32"/>
          <w:highlight w:val="none"/>
        </w:rPr>
      </w:pPr>
    </w:p>
    <w:p>
      <w:pPr>
        <w:adjustRightInd w:val="0"/>
        <w:spacing w:line="360" w:lineRule="atLeast"/>
        <w:ind w:firstLine="1"/>
        <w:textAlignment w:val="baseline"/>
        <w:rPr>
          <w:rFonts w:ascii="黑体" w:hAnsi="黑体" w:eastAsia="黑体"/>
          <w:color w:val="auto"/>
          <w:sz w:val="32"/>
          <w:szCs w:val="32"/>
          <w:highlight w:val="none"/>
        </w:rPr>
      </w:pPr>
    </w:p>
    <w:p>
      <w:pPr>
        <w:adjustRightInd w:val="0"/>
        <w:spacing w:line="360" w:lineRule="auto"/>
        <w:ind w:firstLine="480" w:firstLineChars="200"/>
        <w:jc w:val="center"/>
        <w:textAlignment w:val="baseline"/>
        <w:rPr>
          <w:rFonts w:hAnsi="Times New Roman"/>
          <w:color w:val="auto"/>
          <w:sz w:val="24"/>
          <w:highlight w:val="none"/>
        </w:rPr>
      </w:pPr>
    </w:p>
    <w:p>
      <w:pPr>
        <w:adjustRightInd w:val="0"/>
        <w:spacing w:line="360" w:lineRule="auto"/>
        <w:jc w:val="center"/>
        <w:textAlignment w:val="baseline"/>
        <w:rPr>
          <w:rFonts w:hAnsi="Times New Roman"/>
          <w:b/>
          <w:color w:val="auto"/>
          <w:sz w:val="36"/>
          <w:szCs w:val="36"/>
          <w:highlight w:val="none"/>
        </w:rPr>
      </w:pPr>
    </w:p>
    <w:p>
      <w:pPr>
        <w:adjustRightInd w:val="0"/>
        <w:spacing w:line="400" w:lineRule="exact"/>
        <w:jc w:val="center"/>
        <w:textAlignment w:val="baseline"/>
        <w:rPr>
          <w:rFonts w:hAnsi="Times New Roman"/>
          <w:b/>
          <w:color w:val="auto"/>
          <w:sz w:val="36"/>
          <w:szCs w:val="36"/>
          <w:highlight w:val="none"/>
        </w:rPr>
      </w:pPr>
    </w:p>
    <w:p>
      <w:pPr>
        <w:adjustRightInd w:val="0"/>
        <w:spacing w:beforeLines="20" w:afterLines="100" w:line="400" w:lineRule="exact"/>
        <w:jc w:val="center"/>
        <w:textAlignment w:val="baseline"/>
        <w:rPr>
          <w:rFonts w:hAnsi="Times New Roman"/>
          <w:b/>
          <w:color w:val="auto"/>
          <w:sz w:val="30"/>
          <w:szCs w:val="30"/>
          <w:highlight w:val="none"/>
        </w:rPr>
      </w:pPr>
      <w:r>
        <w:rPr>
          <w:rFonts w:hAnsi="Times New Roman"/>
          <w:b/>
          <w:color w:val="auto"/>
          <w:sz w:val="30"/>
          <w:szCs w:val="30"/>
          <w:highlight w:val="none"/>
        </w:rPr>
        <w:br w:type="page"/>
      </w:r>
      <w:r>
        <w:rPr>
          <w:rFonts w:hint="eastAsia" w:ascii="黑体" w:hAnsi="黑体" w:eastAsia="黑体"/>
          <w:color w:val="auto"/>
          <w:sz w:val="32"/>
          <w:szCs w:val="32"/>
          <w:highlight w:val="none"/>
        </w:rPr>
        <w:t>五、其他材料</w:t>
      </w:r>
      <w:r>
        <w:rPr>
          <w:rStyle w:val="74"/>
          <w:rFonts w:ascii="黑体" w:hAnsi="黑体" w:eastAsia="黑体"/>
          <w:color w:val="auto"/>
          <w:sz w:val="32"/>
          <w:szCs w:val="32"/>
          <w:highlight w:val="none"/>
        </w:rPr>
        <w:footnoteReference w:id="70"/>
      </w:r>
      <w:r>
        <w:rPr>
          <w:rFonts w:hint="eastAsia" w:hAnsi="Times New Roman"/>
          <w:b/>
          <w:color w:val="auto"/>
          <w:sz w:val="30"/>
          <w:szCs w:val="30"/>
          <w:highlight w:val="none"/>
        </w:rPr>
        <w:br w:type="page"/>
      </w:r>
      <w:bookmarkStart w:id="1974" w:name="_Toc63471535"/>
      <w:bookmarkStart w:id="1975" w:name="_Toc1638"/>
      <w:bookmarkStart w:id="1976" w:name="_Toc300039000"/>
      <w:bookmarkStart w:id="1977" w:name="_Toc84419886"/>
      <w:bookmarkStart w:id="1978" w:name="_Toc20477"/>
      <w:bookmarkStart w:id="1979" w:name="_Toc374616492"/>
      <w:bookmarkStart w:id="1980" w:name="_Toc23206"/>
      <w:bookmarkStart w:id="1981" w:name="_Toc26280"/>
      <w:bookmarkStart w:id="1982" w:name="_Toc1510"/>
      <w:bookmarkStart w:id="1983" w:name="_Toc95912270"/>
    </w:p>
    <w:p>
      <w:pPr>
        <w:adjustRightInd w:val="0"/>
        <w:spacing w:before="4000" w:line="400" w:lineRule="exact"/>
        <w:jc w:val="center"/>
        <w:textAlignment w:val="baseline"/>
        <w:rPr>
          <w:rFonts w:hAnsi="Times New Roman"/>
          <w:color w:val="auto"/>
          <w:sz w:val="24"/>
          <w:highlight w:val="none"/>
        </w:rPr>
      </w:pPr>
      <w:r>
        <w:rPr>
          <w:rFonts w:hint="eastAsia" w:ascii="黑体" w:hAnsi="Arial" w:eastAsia="黑体"/>
          <w:bCs/>
          <w:color w:val="auto"/>
          <w:sz w:val="32"/>
          <w:szCs w:val="32"/>
          <w:highlight w:val="none"/>
        </w:rPr>
        <w:t>第3节 技术文件</w:t>
      </w:r>
      <w:bookmarkEnd w:id="1974"/>
      <w:bookmarkEnd w:id="1975"/>
      <w:bookmarkEnd w:id="1976"/>
      <w:bookmarkEnd w:id="1977"/>
      <w:bookmarkEnd w:id="1978"/>
      <w:bookmarkEnd w:id="1979"/>
      <w:bookmarkEnd w:id="1980"/>
      <w:bookmarkEnd w:id="1981"/>
      <w:bookmarkEnd w:id="1982"/>
      <w:bookmarkEnd w:id="1983"/>
      <w:r>
        <w:rPr>
          <w:rFonts w:ascii="黑体" w:hAnsi="Arial" w:eastAsia="黑体"/>
          <w:bCs/>
          <w:color w:val="auto"/>
          <w:position w:val="-2"/>
          <w:sz w:val="32"/>
          <w:szCs w:val="32"/>
          <w:highlight w:val="none"/>
          <w:vertAlign w:val="superscript"/>
        </w:rPr>
        <w:footnoteReference w:id="71"/>
      </w:r>
    </w:p>
    <w:p>
      <w:pPr>
        <w:adjustRightInd w:val="0"/>
        <w:snapToGrid w:val="0"/>
        <w:spacing w:line="360" w:lineRule="auto"/>
        <w:jc w:val="center"/>
        <w:textAlignment w:val="baseline"/>
        <w:rPr>
          <w:rFonts w:hAnsi="Times New Roman"/>
          <w:b/>
          <w:color w:val="auto"/>
          <w:kern w:val="2"/>
          <w:sz w:val="32"/>
          <w:szCs w:val="32"/>
          <w:highlight w:val="none"/>
        </w:rPr>
      </w:pPr>
    </w:p>
    <w:p>
      <w:pPr>
        <w:adjustRightInd w:val="0"/>
        <w:spacing w:line="360" w:lineRule="atLeast"/>
        <w:textAlignment w:val="baseline"/>
        <w:rPr>
          <w:rFonts w:ascii="Times New Roman" w:hAnsi="Times New Roman"/>
          <w:color w:val="auto"/>
          <w:sz w:val="20"/>
          <w:highlight w:val="none"/>
        </w:rPr>
      </w:pPr>
    </w:p>
    <w:p>
      <w:pPr>
        <w:spacing w:line="360" w:lineRule="auto"/>
        <w:rPr>
          <w:rFonts w:cs="宋体"/>
          <w:color w:val="auto"/>
          <w:kern w:val="1"/>
          <w:sz w:val="21"/>
          <w:szCs w:val="24"/>
          <w:highlight w:val="none"/>
        </w:rPr>
      </w:pPr>
    </w:p>
    <w:p>
      <w:pPr>
        <w:spacing w:line="360" w:lineRule="auto"/>
        <w:rPr>
          <w:rFonts w:cs="宋体"/>
          <w:color w:val="auto"/>
          <w:kern w:val="1"/>
          <w:sz w:val="21"/>
          <w:szCs w:val="21"/>
          <w:highlight w:val="none"/>
        </w:rPr>
      </w:pPr>
    </w:p>
    <w:sectPr>
      <w:footerReference r:id="rId11" w:type="default"/>
      <w:footnotePr>
        <w:numFmt w:val="decimalEnclosedCircleChinese"/>
        <w:numRestart w:val="eachPage"/>
      </w:footnotePr>
      <w:pgSz w:w="11906" w:h="16838"/>
      <w:pgMar w:top="1440" w:right="992" w:bottom="1440" w:left="1134" w:header="0" w:footer="595" w:gutter="0"/>
      <w:pgNumType w:fmt="decimal"/>
      <w:cols w:space="0"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couriernew">
    <w:altName w:val="Segoe Print"/>
    <w:panose1 w:val="00000000000000000000"/>
    <w:charset w:val="00"/>
    <w:family w:val="auto"/>
    <w:pitch w:val="default"/>
    <w:sig w:usb0="00000000" w:usb1="00000000" w:usb2="00000000" w:usb3="00000000" w:csb0="00000001" w:csb1="00000000"/>
  </w:font>
  <w:font w:name="MingLiU">
    <w:altName w:val="PMingLiU-ExtB"/>
    <w:panose1 w:val="02020509000000000000"/>
    <w:charset w:val="88"/>
    <w:family w:val="modern"/>
    <w:pitch w:val="default"/>
    <w:sig w:usb0="00000000" w:usb1="00000000" w:usb2="00000016" w:usb3="00000000" w:csb0="00100001" w:csb1="00000000"/>
  </w:font>
  <w:font w:name="TimesNewRomanPSMT">
    <w:altName w:val="Times New Roman"/>
    <w:panose1 w:val="00000000000000000000"/>
    <w:charset w:val="00"/>
    <w:family w:val="roman"/>
    <w:pitch w:val="default"/>
    <w:sig w:usb0="00000000" w:usb1="00000000" w:usb2="00000000" w:usb3="00000000" w:csb0="00040001" w:csb1="00000000"/>
  </w:font>
  <w:font w:name="PMingLiU">
    <w:altName w:val="PMingLiU-ExtB"/>
    <w:panose1 w:val="02020500000000000000"/>
    <w:charset w:val="88"/>
    <w:family w:val="auto"/>
    <w:pitch w:val="default"/>
    <w:sig w:usb0="00000000" w:usb1="00000000" w:usb2="00000016" w:usb3="00000000" w:csb0="0010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全真中明體">
    <w:altName w:val="Microsoft JhengHei"/>
    <w:panose1 w:val="00000000000000000000"/>
    <w:charset w:val="88"/>
    <w:family w:val="modern"/>
    <w:pitch w:val="default"/>
    <w:sig w:usb0="00000000" w:usb1="00000000" w:usb2="00000010" w:usb3="00000000" w:csb0="00100000" w:csb1="00000000"/>
  </w:font>
  <w:font w:name="Verdana">
    <w:panose1 w:val="020B0604030504040204"/>
    <w:charset w:val="00"/>
    <w:family w:val="swiss"/>
    <w:pitch w:val="default"/>
    <w:sig w:usb0="A00006FF" w:usb1="4000205B" w:usb2="00000010" w:usb3="00000000" w:csb0="2000019F" w:csb1="00000000"/>
  </w:font>
  <w:font w:name="Bookshelf Symbol 7">
    <w:panose1 w:val="05010101010101010101"/>
    <w:charset w:val="02"/>
    <w:family w:val="auto"/>
    <w:pitch w:val="default"/>
    <w:sig w:usb0="00000000" w:usb1="00000000" w:usb2="00000000" w:usb3="00000000" w:csb0="80000000" w:csb1="00000000"/>
  </w:font>
  <w:font w:name="楷体">
    <w:panose1 w:val="02010609060101010101"/>
    <w:charset w:val="86"/>
    <w:family w:val="modern"/>
    <w:pitch w:val="default"/>
    <w:sig w:usb0="800002BF" w:usb1="38CF7CFA" w:usb2="00000016" w:usb3="00000000" w:csb0="00040001" w:csb1="00000000"/>
  </w:font>
  <w:font w:name="华文细黑">
    <w:panose1 w:val="02010600040101010101"/>
    <w:charset w:val="86"/>
    <w:family w:val="auto"/>
    <w:pitch w:val="default"/>
    <w:sig w:usb0="00000287" w:usb1="080F0000" w:usb2="00000000" w:usb3="00000000" w:csb0="0004009F" w:csb1="DFD70000"/>
  </w:font>
  <w:font w:name="ˎ̥">
    <w:altName w:val="Times New Roman"/>
    <w:panose1 w:val="00000000000000000000"/>
    <w:charset w:val="00"/>
    <w:family w:val="roman"/>
    <w:pitch w:val="default"/>
    <w:sig w:usb0="00000000" w:usb1="00000000" w:usb2="00000000"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方正姚体">
    <w:panose1 w:val="02010601030101010101"/>
    <w:charset w:val="86"/>
    <w:family w:val="auto"/>
    <w:pitch w:val="default"/>
    <w:sig w:usb0="00000003" w:usb1="080E0000" w:usb2="00000000" w:usb3="00000000" w:csb0="00040000" w:csb1="00000000"/>
  </w:font>
  <w:font w:name="_x000B__x000C_">
    <w:altName w:val="Times New Roman"/>
    <w:panose1 w:val="00000000000000000000"/>
    <w:charset w:val="00"/>
    <w:family w:val="roman"/>
    <w:pitch w:val="default"/>
    <w:sig w:usb0="00000000" w:usb1="00000000" w:usb2="00000000"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五">
    <w:altName w:val="黑体"/>
    <w:panose1 w:val="00000000000000000000"/>
    <w:charset w:val="86"/>
    <w:family w:val="auto"/>
    <w:pitch w:val="default"/>
    <w:sig w:usb0="00000000" w:usb1="00000000" w:usb2="00000010" w:usb3="00000000" w:csb0="00040000" w:csb1="00000000"/>
  </w:font>
  <w:font w:name="System">
    <w:altName w:val="宋体"/>
    <w:panose1 w:val="00000000000000000000"/>
    <w:charset w:val="86"/>
    <w:family w:val="auto"/>
    <w:pitch w:val="default"/>
    <w:sig w:usb0="00000000" w:usb1="00000000" w:usb2="00000010" w:usb3="00000000" w:csb0="00040000" w:csb1="00000000"/>
  </w:font>
  <w:font w:name="瀹嬩綋">
    <w:altName w:val="宋体"/>
    <w:panose1 w:val="00000000000000000000"/>
    <w:charset w:val="86"/>
    <w:family w:val="auto"/>
    <w:pitch w:val="default"/>
    <w:sig w:usb0="00000000" w:usb1="00000000" w:usb2="00000010" w:usb3="00000000" w:csb0="00040000" w:csb1="00000000"/>
  </w:font>
  <w:font w:name="Wingdings 2">
    <w:panose1 w:val="05020102010507070707"/>
    <w:charset w:val="00"/>
    <w:family w:val="auto"/>
    <w:pitch w:val="default"/>
    <w:sig w:usb0="00000000" w:usb1="00000000" w:usb2="00000000" w:usb3="00000000" w:csb0="80000000" w:csb1="00000000"/>
  </w:font>
  <w:font w:name="新宋体">
    <w:panose1 w:val="02010609030101010101"/>
    <w:charset w:val="86"/>
    <w:family w:val="auto"/>
    <w:pitch w:val="default"/>
    <w:sig w:usb0="00000203" w:usb1="288F0000" w:usb2="00000006" w:usb3="00000000" w:csb0="00040001"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txbxContent>
                    </wps:txbx>
                    <wps:bodyPr wrap="none" lIns="0" tIns="0" rIns="0" bIns="0" upright="1">
                      <a:spAutoFit/>
                    </wps:bodyPr>
                  </wps:wsp>
                </a:graphicData>
              </a:graphic>
            </wp:anchor>
          </w:drawing>
        </mc:Choice>
        <mc:Fallback>
          <w:pict>
            <v:shape id="文本框 1030"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q522coBAACcAwAADgAAAGRycy9lMm9Eb2MueG1srVNNrtMwEN4jcQfL&#10;e+q0SKiKmj6BqoeQECA9OIDr2I0l/8njNukF4Aas2LDnXD0HYydp4bF5CzbOeGb8zXzfTDZ3gzXk&#10;JCNo7xq6XFSUSCd8q92hoV8+379YUwKJu5Yb72RDzxLo3fb5s00farnynTetjARBHNR9aGiXUqgZ&#10;A9FJy2Hhg3QYVD5anvAaD6yNvEd0a9iqql6x3sc2RC8kAHp3Y5BOiPEpgF4pLeTOi6OVLo2oURqe&#10;kBJ0OgDdlm6VkiJ9VApkIqahyDSVE4ugvc8n2254fYg8dFpMLfCntPCIk+XaYdEr1I4nTo5R/wNl&#10;tYgevEoL4S0biRRFkMWyeqTNQ8eDLFxQaghX0eH/wYoPp0+R6LahK0octzjwy/dvlx+/Lj+/kmX1&#10;sijUB6gx8SFgahre+AH3JiuX/YDOTHxQ0eYvUiIYR33PV33lkIjIj9ar9brCkMDYfEEcdnseIqS3&#10;0luSjYZGHGDRlZ/eQxpT55Rczfl7bUwZonF/ORAze9itx2ylYT9Mje99e0Y+Pc6+oQ5XnRLzzqG0&#10;eU1mI87GfjaOIepDh60tS18QXh8TNlF6yxVG2KkwDq2wmxYsb8Wf95J1+6m2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fq522coBAACcAwAADgAAAAAAAAABACAAAAAeAQAAZHJzL2Uyb0Rv&#10;Yy54bWxQSwUGAAAAAAYABgBZAQAAWgUAAAAA&#10;">
              <v:fill on="f" focussize="0,0"/>
              <v:stroke on="f"/>
              <v:imagedata o:title=""/>
              <o:lock v:ext="edit" aspectratio="f"/>
              <v:textbox inset="0mm,0mm,0mm,0mm" style="mso-fit-shape-to-text:t;">
                <w:txbxContent>
                  <w:p/>
                </w:txbxContent>
              </v:textbox>
            </v:shape>
          </w:pict>
        </mc:Fallback>
      </mc:AlternateContent>
    </w:r>
  </w:p>
  <w:p>
    <w:pPr>
      <w:pStyle w:val="38"/>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framePr w:wrap="around" w:vAnchor="text" w:hAnchor="margin" w:xAlign="center" w:y="1"/>
      <w:rPr>
        <w:rStyle w:val="65"/>
      </w:rPr>
    </w:pPr>
    <w:r>
      <w:fldChar w:fldCharType="begin"/>
    </w:r>
    <w:r>
      <w:rPr>
        <w:rStyle w:val="65"/>
      </w:rPr>
      <w:instrText xml:space="preserve">Page</w:instrText>
    </w:r>
    <w:r>
      <w:fldChar w:fldCharType="separate"/>
    </w:r>
    <w:r>
      <w:rPr>
        <w:rStyle w:val="65"/>
      </w:rPr>
      <w:t>76</w:t>
    </w:r>
    <w:r>
      <w:fldChar w:fldCharType="end"/>
    </w:r>
  </w:p>
  <w:p>
    <w:pPr>
      <w:pStyle w:val="38"/>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0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txbxContent>
                    </wps:txbx>
                    <wps:bodyPr wrap="none" lIns="0" tIns="0" rIns="0" bIns="0" upright="1">
                      <a:spAutoFit/>
                    </wps:bodyPr>
                  </wps:wsp>
                </a:graphicData>
              </a:graphic>
            </wp:anchor>
          </w:drawing>
        </mc:Choice>
        <mc:Fallback>
          <w:pict>
            <v:shape id="文本框 1031"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KPtb8wBAACcAwAADgAAAGRycy9lMm9Eb2MueG1srVNLbtswEN0XyB0I&#10;7mNKDlAYguWghZEiQNAWSHsAmqIsAvyBQ1vyBdobdNVN9z2Xz9EhJTlpusmiG2o4M3zz3sxofTsY&#10;TY4ygHK2puWioERa4Rpl9zX9+uXuekUJRG4brp2VNT1JoLebqzfr3ldy6TqnGxkIglioel/TLkZf&#10;MQaik4bDwnlpMdi6YHjEa9izJvAe0Y1my6J4y3oXGh+ckADo3Y5BOiGG1wC6tlVCbp04GGnjiBqk&#10;5hElQac80E1m27ZSxE9tCzISXVNUGvOJRdDepZNt1rzaB+47JSYK/DUUXmgyXFkseoHa8sjJIah/&#10;oIwSwYFr40I4w0YhuSOooixe9Oax415mLdhq8Jemw/+DFR+PnwNRTU1vKLHc4MDPP76ff/4+//pG&#10;yuKmTB3qPVSY+OgxNQ7v3YB7M/sBnUn40AaTviiJYBz7e7r0Vw6RiPRotVytCgwJjM0XxGdPz32A&#10;+EE6Q5JR04ADzH3lxweIY+qckqpZd6e0zkPU9i8HYiYPS9xHjsmKw26YBO1cc0I9Pc6+phZXnRJ9&#10;b7G1aU1mI8zGbjYOPqh9h9TKzAv8u0NEEplbqjDCToVxaFndtGBpK57fc9bTT7X5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C0o+1vzAEAAJwDAAAOAAAAAAAAAAEAIAAAAB4BAABkcnMvZTJv&#10;RG9jLnhtbFBLBQYAAAAABgAGAFkBAABcBQAAAAA=&#10;">
              <v:fill on="f" focussize="0,0"/>
              <v:stroke on="f"/>
              <v:imagedata o:title=""/>
              <o:lock v:ext="edit" aspectratio="f"/>
              <v:textbox inset="0mm,0mm,0mm,0mm" style="mso-fit-shape-to-text:t;">
                <w:txbxContent>
                  <w:p/>
                </w:txbxContent>
              </v:textbox>
            </v:shape>
          </w:pict>
        </mc:Fallback>
      </mc:AlternateContent>
    </w:r>
  </w:p>
  <w:p>
    <w:pPr>
      <w:pStyle w:val="3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34925</wp:posOffset>
              </wp:positionV>
              <wp:extent cx="1309370" cy="161290"/>
              <wp:effectExtent l="0" t="0" r="0" b="0"/>
              <wp:wrapNone/>
              <wp:docPr id="1" name="文本框 3"/>
              <wp:cNvGraphicFramePr/>
              <a:graphic xmlns:a="http://schemas.openxmlformats.org/drawingml/2006/main">
                <a:graphicData uri="http://schemas.microsoft.com/office/word/2010/wordprocessingShape">
                  <wps:wsp>
                    <wps:cNvSpPr txBox="1"/>
                    <wps:spPr>
                      <a:xfrm>
                        <a:off x="0" y="0"/>
                        <a:ext cx="1309370" cy="161290"/>
                      </a:xfrm>
                      <a:prstGeom prst="rect">
                        <a:avLst/>
                      </a:prstGeom>
                      <a:noFill/>
                      <a:ln>
                        <a:noFill/>
                      </a:ln>
                    </wps:spPr>
                    <wps:txbx>
                      <w:txbxContent>
                        <w:p>
                          <w:pPr>
                            <w:pStyle w:val="38"/>
                            <w:jc w:val="center"/>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w:t>
                          </w:r>
                          <w:r>
                            <w:rPr>
                              <w:rFonts w:hint="eastAsia"/>
                              <w:lang w:val="en-US" w:eastAsia="zh-CN"/>
                            </w:rPr>
                            <w:t>305</w:t>
                          </w:r>
                          <w:r>
                            <w:rPr>
                              <w:rFonts w:hint="eastAsia"/>
                              <w:lang w:eastAsia="zh-CN"/>
                            </w:rPr>
                            <w:t>页</w:t>
                          </w:r>
                        </w:p>
                      </w:txbxContent>
                    </wps:txbx>
                    <wps:bodyPr lIns="0" tIns="0" rIns="0" bIns="0" upright="1"/>
                  </wps:wsp>
                </a:graphicData>
              </a:graphic>
            </wp:anchor>
          </w:drawing>
        </mc:Choice>
        <mc:Fallback>
          <w:pict>
            <v:shape id="文本框 3" o:spid="_x0000_s1026" o:spt="202" type="#_x0000_t202" style="position:absolute;left:0pt;margin-top:2.75pt;height:12.7pt;width:103.1pt;mso-position-horizontal:center;mso-position-horizontal-relative:margin;z-index:251663360;mso-width-relative:page;mso-height-relative:page;" filled="f" stroked="f" coordsize="21600,21600" o:gfxdata="UEsDBAoAAAAAAIdO4kAAAAAAAAAAAAAAAAAEAAAAZHJzL1BLAwQUAAAACACHTuJAcfMiytUAAAAF&#10;AQAADwAAAGRycy9kb3ducmV2LnhtbE2PzU7DMBCE70i8g7VI3KjdoEY0ZFMhBCckRBoOHJ14m1iN&#10;1yF2f3h7zIkeRzOa+abcnN0ojjQH6xlhuVAgiDtvLPcIn83r3QOIEDUbPXomhB8KsKmur0pdGH/i&#10;mo7b2ItUwqHQCEOMUyFl6AZyOiz8RJy8nZ+djknOvTSzPqVyN8pMqVw6bTktDHqi54G6/fbgEJ6+&#10;uH6x3+/tR72rbdOsFb/le8Tbm6V6BBHpHP/D8Ief0KFKTK0/sAliREhHIsJqBSKZmcozEC3CvVqD&#10;rEp5SV/9AlBLAwQUAAAACACHTuJAcQxSkLoBAAByAwAADgAAAGRycy9lMm9Eb2MueG1srVNLbtsw&#10;EN0XyB0I7mvKNpA2guUAhZGgQJEWSHMAmiItAvyBQ1vyBdIbdNVN9z2Xz9EhLTttsskiG2k4M3rz&#10;3htqcT1YQ3YygvauodNJRYl0wrfabRr68P3m/UdKIHHXcuOdbOheAr1eXrxb9KGWM99508pIEMRB&#10;3YeGdimFmjEQnbQcJj5Ih0Xlo+UJj3HD2sh7RLeGzarqkvU+tiF6IQEwuzoW6YgYXwPoldJCrrzY&#10;WunSETVKwxNKgk4HoMvCVikp0lelQCZiGopKU3niEIzX+cmWC15vIg+dFiMF/hoKzzRZrh0OPUOt&#10;eOJkG/ULKKtF9OBVmghv2VFIcQRVTKtn3tx3PMiiBa2GcDYd3g5W3O2+RaJbvAmUOG5x4YefPw6/&#10;/hx+P5J5tqcPUGPXfcC+NHzyQ24d84DJrHpQ0eY36iFYR3P3Z3PlkIjIH82rq/kHLAmsTS+ns6vi&#10;Pnv6OkRIt9JbkoOGRlxe8ZTvvkDCidh6asnDnL/RxpQFGvdfAhtzhmXqR4o5SsN6GHmvfbtHOeaz&#10;QyvztTgF8RSsT8E2RL3pkE4RXSBxFYXMeG3yrv89l8FPv8ry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HHzIsrVAAAABQEAAA8AAAAAAAAAAQAgAAAAIgAAAGRycy9kb3ducmV2LnhtbFBLAQIUABQA&#10;AAAIAIdO4kBxDFKQugEAAHIDAAAOAAAAAAAAAAEAIAAAACQBAABkcnMvZTJvRG9jLnhtbFBLBQYA&#10;AAAABgAGAFkBAABQBQAAAAA=&#10;">
              <v:fill on="f" focussize="0,0"/>
              <v:stroke on="f"/>
              <v:imagedata o:title=""/>
              <o:lock v:ext="edit" aspectratio="f"/>
              <v:textbox inset="0mm,0mm,0mm,0mm">
                <w:txbxContent>
                  <w:p>
                    <w:pPr>
                      <w:pStyle w:val="38"/>
                      <w:jc w:val="center"/>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w:t>
                    </w:r>
                    <w:r>
                      <w:rPr>
                        <w:rFonts w:hint="eastAsia"/>
                        <w:lang w:val="en-US" w:eastAsia="zh-CN"/>
                      </w:rPr>
                      <w:t>305</w:t>
                    </w:r>
                    <w:r>
                      <w:rPr>
                        <w:rFonts w:hint="eastAsia"/>
                        <w:lang w:eastAsia="zh-CN"/>
                      </w:rPr>
                      <w:t>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tabs>
        <w:tab w:val="right" w:pos="8306"/>
        <w:tab w:val="clear" w:pos="8305"/>
      </w:tabs>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635</wp:posOffset>
              </wp:positionV>
              <wp:extent cx="1057910" cy="147955"/>
              <wp:effectExtent l="0" t="0" r="0" b="0"/>
              <wp:wrapNone/>
              <wp:docPr id="4" name="文本框 1028"/>
              <wp:cNvGraphicFramePr/>
              <a:graphic xmlns:a="http://schemas.openxmlformats.org/drawingml/2006/main">
                <a:graphicData uri="http://schemas.microsoft.com/office/word/2010/wordprocessingShape">
                  <wps:wsp>
                    <wps:cNvSpPr txBox="1"/>
                    <wps:spPr>
                      <a:xfrm>
                        <a:off x="0" y="0"/>
                        <a:ext cx="1057910" cy="147955"/>
                      </a:xfrm>
                      <a:prstGeom prst="rect">
                        <a:avLst/>
                      </a:prstGeom>
                      <a:noFill/>
                      <a:ln>
                        <a:noFill/>
                      </a:ln>
                    </wps:spPr>
                    <wps:txbx>
                      <w:txbxContent>
                        <w:p>
                          <w:pPr>
                            <w:pStyle w:val="38"/>
                            <w:tabs>
                              <w:tab w:val="right" w:pos="8306"/>
                              <w:tab w:val="clear" w:pos="8305"/>
                            </w:tabs>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75</w:t>
                          </w:r>
                          <w:r>
                            <w:rPr>
                              <w:rFonts w:hint="eastAsia"/>
                              <w:lang w:eastAsia="zh-CN"/>
                            </w:rPr>
                            <w:fldChar w:fldCharType="end"/>
                          </w:r>
                          <w:r>
                            <w:rPr>
                              <w:rFonts w:hint="eastAsia"/>
                              <w:lang w:eastAsia="zh-CN"/>
                            </w:rPr>
                            <w:t xml:space="preserve"> 页 共</w:t>
                          </w:r>
                          <w:r>
                            <w:rPr>
                              <w:rFonts w:hint="eastAsia"/>
                              <w:lang w:val="en-US" w:eastAsia="zh-CN"/>
                            </w:rPr>
                            <w:t>305</w:t>
                          </w:r>
                          <w:r>
                            <w:rPr>
                              <w:rFonts w:hint="eastAsia"/>
                              <w:lang w:eastAsia="zh-CN"/>
                            </w:rPr>
                            <w:t xml:space="preserve"> 页</w:t>
                          </w:r>
                        </w:p>
                      </w:txbxContent>
                    </wps:txbx>
                    <wps:bodyPr wrap="none" lIns="0" tIns="0" rIns="0" bIns="0" upright="1">
                      <a:spAutoFit/>
                    </wps:bodyPr>
                  </wps:wsp>
                </a:graphicData>
              </a:graphic>
            </wp:anchor>
          </w:drawing>
        </mc:Choice>
        <mc:Fallback>
          <w:pict>
            <v:shape id="文本框 1028" o:spid="_x0000_s1026" o:spt="202" type="#_x0000_t202" style="position:absolute;left:0pt;margin-top:0.05pt;height:11.65pt;width:83.3pt;mso-position-horizontal:center;mso-position-horizontal-relative:margin;mso-wrap-style:none;z-index:251659264;mso-width-relative:page;mso-height-relative:page;" filled="f" stroked="f" coordsize="21600,21600" o:gfxdata="UEsDBAoAAAAAAIdO4kAAAAAAAAAAAAAAAAAEAAAAZHJzL1BLAwQUAAAACACHTuJAaeZVf9EAAAAE&#10;AQAADwAAAGRycy9kb3ducmV2LnhtbE2PwU7DMBBE70j9B2srcaNOCwpViNNDJS7cKAiJ2zbexhH2&#10;OrLdNPl7nBMcd2Y087Y+TM6KkULsPSvYbgoQxK3XPXcKPj9eH/YgYkLWaD2TgpkiHJrVXY2V9jd+&#10;p/GUOpFLOFaowKQ0VFLG1pDDuPEDcfYuPjhM+Qyd1AFvudxZuSuKUjrsOS8YHOhoqP05XZ2C5+nL&#10;0xDpSN+XsQ2mn/f2bVbqfr0tXkAkmtJfGBb8jA5NZjr7K+sorIL8SFpUsXhlWYI4K9g9PoFsavkf&#10;vvkFUEsDBBQAAAAIAIdO4kCjzPPN0QEAAJsDAAAOAAAAZHJzL2Uyb0RvYy54bWytU0tu2zAQ3Qfo&#10;HQjua0lG3CSC5aCFkaJA0QZwewCaoiwC/IFDW/IF2ht01U33PZfPkSElOZ9usuhGHs2M3rz3Zry8&#10;7bUiB+FBWlPRYpZTIgy3tTS7in7/dvf2mhIIzNRMWSMqehRAb1dvLpadK8XctlbVwhMEMVB2rqJt&#10;CK7MMuCt0Axm1gmDxcZ6zQK++l1We9YhulbZPM/fZZ31tfOWCwDMrociHRH9awBt00gu1pbvtTBh&#10;QPVCsYCSoJUO6CqxbRrBw9emARGIqigqDemJQzDexme2WrJy55lrJR8psNdQeKFJM2lw6BlqzQIj&#10;ey//gdKSewu2CTNudTYISY6giiJ/4c2mZU4kLWg1uLPp8P9g+ZfDvSeyruglJYZpXPjp18/T77+n&#10;Pz9Ikc+vo0OdgxIbNw5bQ//B9ng3Ux4wGYX3jdfxFyURrKO/x7O/og+Ex4/yxdVNgSWOteLy6max&#10;iDDZ49fOQ/gorCYxqKjH/SVb2eEzhKF1aonDjL2TSqUdKvMsgZgxk0XqA8UYhX7bj3q2tj6inA5X&#10;X1GDl06J+mTQ2XglU+CnYDsFe+flrkVqReIF7v0+IInELU4YYMfBuLOkbryveBRP31PX439q9Q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Bp5lV/0QAAAAQBAAAPAAAAAAAAAAEAIAAAACIAAABkcnMv&#10;ZG93bnJldi54bWxQSwECFAAUAAAACACHTuJAo8zzzdEBAACbAwAADgAAAAAAAAABACAAAAAgAQAA&#10;ZHJzL2Uyb0RvYy54bWxQSwUGAAAAAAYABgBZAQAAYwUAAAAA&#10;">
              <v:fill on="f" focussize="0,0"/>
              <v:stroke on="f"/>
              <v:imagedata o:title=""/>
              <o:lock v:ext="edit" aspectratio="f"/>
              <v:textbox inset="0mm,0mm,0mm,0mm" style="mso-fit-shape-to-text:t;">
                <w:txbxContent>
                  <w:p>
                    <w:pPr>
                      <w:pStyle w:val="38"/>
                      <w:tabs>
                        <w:tab w:val="right" w:pos="8306"/>
                        <w:tab w:val="clear" w:pos="8305"/>
                      </w:tabs>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75</w:t>
                    </w:r>
                    <w:r>
                      <w:rPr>
                        <w:rFonts w:hint="eastAsia"/>
                        <w:lang w:eastAsia="zh-CN"/>
                      </w:rPr>
                      <w:fldChar w:fldCharType="end"/>
                    </w:r>
                    <w:r>
                      <w:rPr>
                        <w:rFonts w:hint="eastAsia"/>
                        <w:lang w:eastAsia="zh-CN"/>
                      </w:rPr>
                      <w:t xml:space="preserve"> 页 共</w:t>
                    </w:r>
                    <w:r>
                      <w:rPr>
                        <w:rFonts w:hint="eastAsia"/>
                        <w:lang w:val="en-US" w:eastAsia="zh-CN"/>
                      </w:rPr>
                      <w:t>305</w:t>
                    </w:r>
                    <w:r>
                      <w:rPr>
                        <w:rFonts w:hint="eastAsia"/>
                        <w:lang w:eastAsia="zh-CN"/>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tabs>
        <w:tab w:val="right" w:pos="8306"/>
        <w:tab w:val="clear" w:pos="8305"/>
      </w:tabs>
      <w:jc w:val="right"/>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8"/>
                            <w:tabs>
                              <w:tab w:val="right" w:pos="8306"/>
                              <w:tab w:val="clear" w:pos="8305"/>
                            </w:tabs>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274</w:t>
                          </w:r>
                          <w:r>
                            <w:rPr>
                              <w:rFonts w:hint="eastAsia"/>
                              <w:lang w:eastAsia="zh-CN"/>
                            </w:rPr>
                            <w:fldChar w:fldCharType="end"/>
                          </w:r>
                          <w:r>
                            <w:rPr>
                              <w:rFonts w:hint="eastAsia"/>
                              <w:lang w:eastAsia="zh-CN"/>
                            </w:rPr>
                            <w:t xml:space="preserve"> 页 共</w:t>
                          </w:r>
                          <w:r>
                            <w:rPr>
                              <w:rFonts w:hint="eastAsia"/>
                              <w:lang w:val="en-US" w:eastAsia="zh-CN"/>
                            </w:rPr>
                            <w:t>305</w:t>
                          </w:r>
                          <w:r>
                            <w:rPr>
                              <w:rFonts w:hint="eastAsia"/>
                              <w:lang w:eastAsia="zh-CN"/>
                            </w:rPr>
                            <w:t xml:space="preserve"> 页</w:t>
                          </w:r>
                        </w:p>
                      </w:txbxContent>
                    </wps:txbx>
                    <wps:bodyPr wrap="none" lIns="0" tIns="0" rIns="0" bIns="0" upright="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PF3U8kBAACaAwAADgAAAGRycy9lMm9Eb2MueG1srVPNjtMwEL4j8Q6W&#10;79RpkVAVNV3tqlqEhABp4QFcx24s+U8et0lfAN6AExfuPFefg7GTdGG57IGLM54Zf/N9M5PNzWAN&#10;OckI2ruGLhcVJdIJ32p3aOiXz/ev1pRA4q7lxjvZ0LMEerN9+WLTh1qufOdNKyNBEAd1HxrapRRq&#10;xkB00nJY+CAdBpWPlie8xgNrI+8R3Rq2qqo3rPexDdELCYDe3RikE2J8DqBXSgu58+JopUsjapSG&#10;J5QEnQ5At4WtUlKkj0qBTMQ0FJWmcmIRtPf5ZNsNrw+Rh06LiQJ/DoUnmizXDoteoXY8cXKM+h8o&#10;q0X04FVaCG/ZKKR0BFUsqye9eeh4kEULthrCtenw/2DFh9OnSHSLm/CaEsctTvzy/dvlx6/Lz69k&#10;mfvTB6gx7SFgYhru/IC5sx/QmWUPKtr8RUEE49jd87W7ckhE5Efr1XpdYUhgbL4gPnt8HiKkt9Jb&#10;ko2GRhxf6So/vYc0ps4puZrz99qYMkLj/nIgZvawzH3kmK007IdJ0N63Z9TT4+Qb6nDRKTHvHDY2&#10;L8lsxNnYz8YxRH3okNqy8IJwe0xIonDLFUbYqTCOrKib1ivvxJ/3kvX4S21/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CI8XdTyQEAAJoDAAAOAAAAAAAAAAEAIAAAAB4BAABkcnMvZTJvRG9j&#10;LnhtbFBLBQYAAAAABgAGAFkBAABZBQAAAAA=&#10;">
              <v:fill on="f" focussize="0,0"/>
              <v:stroke on="f"/>
              <v:imagedata o:title=""/>
              <o:lock v:ext="edit" aspectratio="f"/>
              <v:textbox inset="0mm,0mm,0mm,0mm" style="mso-fit-shape-to-text:t;">
                <w:txbxContent>
                  <w:p>
                    <w:pPr>
                      <w:pStyle w:val="38"/>
                      <w:tabs>
                        <w:tab w:val="right" w:pos="8306"/>
                        <w:tab w:val="clear" w:pos="8305"/>
                      </w:tabs>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274</w:t>
                    </w:r>
                    <w:r>
                      <w:rPr>
                        <w:rFonts w:hint="eastAsia"/>
                        <w:lang w:eastAsia="zh-CN"/>
                      </w:rPr>
                      <w:fldChar w:fldCharType="end"/>
                    </w:r>
                    <w:r>
                      <w:rPr>
                        <w:rFonts w:hint="eastAsia"/>
                        <w:lang w:eastAsia="zh-CN"/>
                      </w:rPr>
                      <w:t xml:space="preserve"> 页 共</w:t>
                    </w:r>
                    <w:r>
                      <w:rPr>
                        <w:rFonts w:hint="eastAsia"/>
                        <w:lang w:val="en-US" w:eastAsia="zh-CN"/>
                      </w:rPr>
                      <w:t>305</w:t>
                    </w:r>
                    <w:r>
                      <w:rPr>
                        <w:rFonts w:hint="eastAsia"/>
                        <w:lang w:eastAsia="zh-CN"/>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144">
    <w:p>
      <w:r>
        <w:separator/>
      </w:r>
    </w:p>
  </w:footnote>
  <w:footnote w:type="continuationSeparator" w:id="145">
    <w:p>
      <w:r>
        <w:continuationSeparator/>
      </w:r>
    </w:p>
  </w:footnote>
  <w:footnote w:id="0">
    <w:p>
      <w:pPr>
        <w:pStyle w:val="44"/>
        <w:spacing w:line="200" w:lineRule="exact"/>
        <w:rPr>
          <w:rFonts w:ascii="宋体" w:hAnsi="宋体"/>
          <w:color w:val="auto"/>
          <w:sz w:val="15"/>
          <w:szCs w:val="15"/>
        </w:rPr>
      </w:pPr>
      <w:r>
        <w:rPr>
          <w:rFonts w:ascii="宋体" w:hAnsi="宋体"/>
          <w:color w:val="auto"/>
          <w:sz w:val="15"/>
          <w:szCs w:val="15"/>
        </w:rPr>
        <w:footnoteRef/>
      </w:r>
      <w:r>
        <w:rPr>
          <w:rFonts w:ascii="宋体" w:hAnsi="宋体"/>
          <w:color w:val="auto"/>
          <w:sz w:val="15"/>
          <w:szCs w:val="15"/>
        </w:rPr>
        <w:t>建设规模中至少应写明</w:t>
      </w:r>
      <w:r>
        <w:rPr>
          <w:rFonts w:hint="eastAsia" w:ascii="宋体" w:hAnsi="宋体"/>
          <w:color w:val="auto"/>
          <w:sz w:val="15"/>
          <w:szCs w:val="15"/>
        </w:rPr>
        <w:t>用于确定企业资质及等级的相关数据、用于确定注册建造师等级的相关数据以及与《福建省房屋建筑和市政基础设施工程特殊性划分标准（试行）》中规定的工程特征指标相对应的内容以及合同估算价。</w:t>
      </w:r>
    </w:p>
  </w:footnote>
  <w:footnote w:id="1">
    <w:p>
      <w:pPr>
        <w:pStyle w:val="44"/>
        <w:spacing w:line="200" w:lineRule="exact"/>
        <w:rPr>
          <w:rFonts w:ascii="宋体" w:hAnsi="宋体"/>
          <w:color w:val="auto"/>
          <w:sz w:val="15"/>
          <w:szCs w:val="15"/>
        </w:rPr>
      </w:pPr>
      <w:r>
        <w:rPr>
          <w:rFonts w:ascii="宋体" w:hAnsi="宋体"/>
          <w:color w:val="auto"/>
          <w:sz w:val="15"/>
          <w:szCs w:val="15"/>
        </w:rPr>
        <w:footnoteRef/>
      </w:r>
      <w:r>
        <w:rPr>
          <w:rFonts w:hint="eastAsia" w:ascii="宋体" w:hAnsi="宋体"/>
          <w:color w:val="auto"/>
          <w:sz w:val="15"/>
          <w:szCs w:val="15"/>
        </w:rPr>
        <w:t>工程类别写明房屋建筑工程或市政基础设施工程。</w:t>
      </w:r>
    </w:p>
  </w:footnote>
  <w:footnote w:id="2">
    <w:p>
      <w:pPr>
        <w:pStyle w:val="44"/>
        <w:spacing w:line="200" w:lineRule="exact"/>
        <w:rPr>
          <w:rFonts w:ascii="宋体" w:hAnsi="宋体"/>
          <w:color w:val="auto"/>
          <w:sz w:val="15"/>
          <w:szCs w:val="15"/>
        </w:rPr>
      </w:pPr>
      <w:r>
        <w:rPr>
          <w:rFonts w:ascii="宋体" w:hAnsi="宋体"/>
          <w:color w:val="auto"/>
          <w:sz w:val="15"/>
          <w:szCs w:val="15"/>
        </w:rPr>
        <w:footnoteRef/>
      </w:r>
      <w:r>
        <w:rPr>
          <w:rFonts w:hint="eastAsia" w:ascii="宋体" w:hAnsi="宋体"/>
          <w:color w:val="auto"/>
          <w:sz w:val="15"/>
          <w:szCs w:val="15"/>
        </w:rPr>
        <w:t>招标类型写明施工总承包或专业承包。</w:t>
      </w:r>
    </w:p>
  </w:footnote>
  <w:footnote w:id="3">
    <w:p>
      <w:pPr>
        <w:pStyle w:val="44"/>
        <w:spacing w:line="200" w:lineRule="exact"/>
        <w:rPr>
          <w:rFonts w:ascii="宋体" w:hAnsi="宋体"/>
          <w:color w:val="auto"/>
        </w:rPr>
      </w:pPr>
      <w:r>
        <w:rPr>
          <w:rFonts w:ascii="宋体" w:hAnsi="宋体"/>
          <w:color w:val="auto"/>
          <w:sz w:val="15"/>
          <w:szCs w:val="15"/>
        </w:rPr>
        <w:footnoteRef/>
      </w:r>
      <w:r>
        <w:rPr>
          <w:rFonts w:ascii="宋体" w:hAnsi="宋体"/>
          <w:color w:val="auto"/>
          <w:sz w:val="15"/>
          <w:szCs w:val="15"/>
        </w:rPr>
        <w:t>写明应用或不应用</w:t>
      </w:r>
      <w:r>
        <w:rPr>
          <w:rFonts w:hint="eastAsia" w:ascii="宋体" w:hAnsi="宋体"/>
          <w:color w:val="auto"/>
          <w:sz w:val="15"/>
          <w:szCs w:val="15"/>
        </w:rPr>
        <w:t>。</w:t>
      </w:r>
    </w:p>
  </w:footnote>
  <w:footnote w:id="4">
    <w:p>
      <w:pPr>
        <w:pStyle w:val="44"/>
        <w:spacing w:line="200" w:lineRule="exact"/>
        <w:rPr>
          <w:rFonts w:ascii="宋体" w:hAnsi="宋体"/>
          <w:color w:val="auto"/>
        </w:rPr>
      </w:pPr>
      <w:r>
        <w:rPr>
          <w:rFonts w:ascii="宋体" w:hAnsi="宋体"/>
          <w:color w:val="auto"/>
          <w:sz w:val="15"/>
          <w:szCs w:val="15"/>
        </w:rPr>
        <w:footnoteRef/>
      </w:r>
      <w:r>
        <w:rPr>
          <w:rFonts w:hint="eastAsia" w:ascii="宋体" w:hAnsi="宋体"/>
          <w:color w:val="auto"/>
          <w:sz w:val="15"/>
          <w:szCs w:val="15"/>
        </w:rPr>
        <w:t>财政性投融资招标项目的投资批复或国有自筹资金招标项目的投资计划中应含建筑信息模型（BIM）技术费用方可在脚注④处填写“应用”。</w:t>
      </w:r>
    </w:p>
  </w:footnote>
  <w:footnote w:id="5">
    <w:p>
      <w:pPr>
        <w:pStyle w:val="44"/>
        <w:spacing w:line="200" w:lineRule="exact"/>
        <w:rPr>
          <w:color w:val="auto"/>
          <w:sz w:val="15"/>
          <w:szCs w:val="15"/>
        </w:rPr>
      </w:pPr>
      <w:r>
        <w:rPr>
          <w:color w:val="auto"/>
          <w:sz w:val="15"/>
          <w:szCs w:val="15"/>
        </w:rPr>
        <w:footnoteRef/>
      </w:r>
      <w:r>
        <w:rPr>
          <w:rFonts w:hint="eastAsia"/>
          <w:color w:val="auto"/>
          <w:sz w:val="15"/>
          <w:szCs w:val="15"/>
        </w:rPr>
        <w:t>无需资质的项目，从其规定。</w:t>
      </w:r>
    </w:p>
  </w:footnote>
  <w:footnote w:id="6">
    <w:p>
      <w:pPr>
        <w:pStyle w:val="44"/>
        <w:spacing w:line="200" w:lineRule="exact"/>
        <w:rPr>
          <w:color w:val="auto"/>
          <w:sz w:val="15"/>
          <w:szCs w:val="15"/>
        </w:rPr>
      </w:pPr>
      <w:r>
        <w:rPr>
          <w:color w:val="auto"/>
          <w:sz w:val="15"/>
          <w:szCs w:val="15"/>
        </w:rPr>
        <w:footnoteRef/>
      </w:r>
      <w:r>
        <w:rPr>
          <w:rFonts w:hint="eastAsia"/>
          <w:color w:val="auto"/>
          <w:sz w:val="15"/>
          <w:szCs w:val="15"/>
        </w:rPr>
        <w:t>无需资质的项目，从其规定。</w:t>
      </w:r>
    </w:p>
  </w:footnote>
  <w:footnote w:id="7">
    <w:p>
      <w:pPr>
        <w:spacing w:line="200" w:lineRule="exact"/>
        <w:rPr>
          <w:rFonts w:cs="宋体"/>
          <w:color w:val="auto"/>
          <w:sz w:val="15"/>
          <w:szCs w:val="15"/>
        </w:rPr>
      </w:pPr>
      <w:r>
        <w:rPr>
          <w:color w:val="auto"/>
          <w:sz w:val="15"/>
          <w:szCs w:val="15"/>
        </w:rPr>
        <w:footnoteRef/>
      </w:r>
      <w:r>
        <w:rPr>
          <w:rFonts w:hint="eastAsia"/>
          <w:color w:val="auto"/>
          <w:sz w:val="15"/>
          <w:szCs w:val="15"/>
        </w:rPr>
        <w:t>类似工程业绩的设置，按照《</w:t>
      </w:r>
      <w:r>
        <w:rPr>
          <w:rFonts w:hint="eastAsia" w:cs="宋体"/>
          <w:color w:val="auto"/>
          <w:sz w:val="15"/>
          <w:szCs w:val="15"/>
        </w:rPr>
        <w:t>厦门市建设局关于规范施工招投标“评定分离”有关事项的通知</w:t>
      </w:r>
      <w:r>
        <w:rPr>
          <w:rFonts w:hint="eastAsia"/>
          <w:color w:val="auto"/>
          <w:sz w:val="15"/>
          <w:szCs w:val="15"/>
        </w:rPr>
        <w:t>》（</w:t>
      </w:r>
      <w:r>
        <w:rPr>
          <w:rFonts w:hint="eastAsia" w:ascii="Times New Roman" w:hAnsi="Times New Roman"/>
          <w:color w:val="auto"/>
          <w:kern w:val="1"/>
          <w:sz w:val="15"/>
          <w:szCs w:val="15"/>
        </w:rPr>
        <w:t>厦建筑</w:t>
      </w:r>
      <w:r>
        <w:rPr>
          <w:rFonts w:hint="eastAsia" w:ascii="Times New Roman" w:hAnsi="Times New Roman"/>
          <w:color w:val="auto"/>
          <w:sz w:val="15"/>
          <w:szCs w:val="15"/>
        </w:rPr>
        <w:t>〔2022〕</w:t>
      </w:r>
      <w:r>
        <w:rPr>
          <w:rFonts w:hint="eastAsia" w:ascii="Times New Roman" w:hAnsi="Times New Roman"/>
          <w:color w:val="auto"/>
          <w:kern w:val="1"/>
          <w:sz w:val="15"/>
          <w:szCs w:val="15"/>
        </w:rPr>
        <w:t>112号</w:t>
      </w:r>
      <w:r>
        <w:rPr>
          <w:rFonts w:hint="eastAsia"/>
          <w:color w:val="auto"/>
          <w:sz w:val="15"/>
          <w:szCs w:val="15"/>
        </w:rPr>
        <w:t>）</w:t>
      </w:r>
      <w:r>
        <w:rPr>
          <w:rFonts w:hint="eastAsia" w:cs="宋体"/>
          <w:color w:val="auto"/>
          <w:sz w:val="15"/>
          <w:szCs w:val="15"/>
        </w:rPr>
        <w:t>有关规定执行。</w:t>
      </w:r>
    </w:p>
  </w:footnote>
  <w:footnote w:id="8">
    <w:p>
      <w:pPr>
        <w:pStyle w:val="44"/>
        <w:spacing w:line="200" w:lineRule="exact"/>
        <w:rPr>
          <w:color w:val="auto"/>
        </w:rPr>
      </w:pPr>
      <w:r>
        <w:rPr>
          <w:rFonts w:ascii="宋体" w:hAnsi="宋体" w:cs="宋体"/>
          <w:color w:val="auto"/>
          <w:kern w:val="0"/>
          <w:sz w:val="15"/>
          <w:szCs w:val="15"/>
        </w:rPr>
        <w:footnoteRef/>
      </w:r>
      <w:r>
        <w:rPr>
          <w:rFonts w:hint="eastAsia" w:ascii="宋体" w:hAnsi="宋体" w:cs="宋体"/>
          <w:color w:val="auto"/>
          <w:kern w:val="0"/>
          <w:sz w:val="15"/>
          <w:szCs w:val="15"/>
        </w:rPr>
        <w:t>填写“接受”或“不接受”。</w:t>
      </w:r>
    </w:p>
  </w:footnote>
  <w:footnote w:id="9">
    <w:p>
      <w:pPr>
        <w:pStyle w:val="44"/>
        <w:spacing w:line="200" w:lineRule="exact"/>
        <w:rPr>
          <w:color w:val="auto"/>
          <w:sz w:val="15"/>
          <w:szCs w:val="15"/>
        </w:rPr>
      </w:pPr>
      <w:r>
        <w:rPr>
          <w:color w:val="auto"/>
          <w:sz w:val="15"/>
          <w:szCs w:val="15"/>
        </w:rPr>
        <w:footnoteRef/>
      </w:r>
      <w:r>
        <w:rPr>
          <w:rFonts w:hint="eastAsia"/>
          <w:color w:val="auto"/>
          <w:sz w:val="15"/>
          <w:szCs w:val="15"/>
        </w:rPr>
        <w:t>填写公共资源</w:t>
      </w:r>
      <w:r>
        <w:rPr>
          <w:color w:val="auto"/>
          <w:sz w:val="15"/>
          <w:szCs w:val="15"/>
        </w:rPr>
        <w:t>电子交易平台名称</w:t>
      </w:r>
      <w:r>
        <w:rPr>
          <w:rFonts w:hint="eastAsia"/>
          <w:color w:val="auto"/>
          <w:sz w:val="15"/>
          <w:szCs w:val="15"/>
        </w:rPr>
        <w:t>及网址。</w:t>
      </w:r>
    </w:p>
  </w:footnote>
  <w:footnote w:id="10">
    <w:p>
      <w:pPr>
        <w:pStyle w:val="44"/>
        <w:spacing w:line="200" w:lineRule="exact"/>
        <w:rPr>
          <w:color w:val="auto"/>
        </w:rPr>
      </w:pPr>
      <w:r>
        <w:rPr>
          <w:color w:val="auto"/>
          <w:sz w:val="15"/>
          <w:szCs w:val="15"/>
        </w:rPr>
        <w:footnoteRef/>
      </w:r>
      <w:r>
        <w:rPr>
          <w:rFonts w:hint="eastAsia"/>
          <w:color w:val="auto"/>
          <w:sz w:val="15"/>
          <w:szCs w:val="15"/>
        </w:rPr>
        <w:t>填写电子招标文件编制工具软件名称及版本号。</w:t>
      </w:r>
    </w:p>
  </w:footnote>
  <w:footnote w:id="11">
    <w:p>
      <w:pPr>
        <w:pStyle w:val="44"/>
        <w:spacing w:line="200" w:lineRule="exact"/>
        <w:rPr>
          <w:color w:val="auto"/>
          <w:sz w:val="15"/>
          <w:szCs w:val="15"/>
        </w:rPr>
      </w:pPr>
      <w:r>
        <w:rPr>
          <w:color w:val="auto"/>
          <w:sz w:val="15"/>
          <w:szCs w:val="15"/>
        </w:rPr>
        <w:footnoteRef/>
      </w:r>
      <w:r>
        <w:rPr>
          <w:rFonts w:hint="eastAsia"/>
          <w:color w:val="auto"/>
          <w:sz w:val="15"/>
          <w:szCs w:val="15"/>
        </w:rPr>
        <w:t>填写公共资源</w:t>
      </w:r>
      <w:r>
        <w:rPr>
          <w:color w:val="auto"/>
          <w:sz w:val="15"/>
          <w:szCs w:val="15"/>
        </w:rPr>
        <w:t>电子交易平台名称</w:t>
      </w:r>
      <w:r>
        <w:rPr>
          <w:rFonts w:hint="eastAsia"/>
          <w:color w:val="auto"/>
          <w:sz w:val="15"/>
          <w:szCs w:val="15"/>
        </w:rPr>
        <w:t>。</w:t>
      </w:r>
    </w:p>
  </w:footnote>
  <w:footnote w:id="12">
    <w:p>
      <w:pPr>
        <w:pStyle w:val="44"/>
        <w:spacing w:line="200" w:lineRule="exact"/>
        <w:rPr>
          <w:color w:val="auto"/>
          <w:sz w:val="15"/>
          <w:szCs w:val="15"/>
        </w:rPr>
      </w:pPr>
      <w:r>
        <w:rPr>
          <w:color w:val="auto"/>
          <w:sz w:val="15"/>
          <w:szCs w:val="15"/>
        </w:rPr>
        <w:footnoteRef/>
      </w:r>
      <w:r>
        <w:rPr>
          <w:rFonts w:hint="eastAsia"/>
          <w:color w:val="auto"/>
          <w:sz w:val="15"/>
          <w:szCs w:val="15"/>
        </w:rPr>
        <w:t>填写“适用于同时设置类似工程业绩和信用评价作为投标人资格条件的招标项目”、“适用于其他项目”或“适用于简易程序招标项目”，</w:t>
      </w:r>
      <w:r>
        <w:rPr>
          <w:color w:val="auto"/>
          <w:sz w:val="15"/>
          <w:szCs w:val="15"/>
        </w:rPr>
        <w:t>招标人只能选择其中一类</w:t>
      </w:r>
      <w:r>
        <w:rPr>
          <w:rFonts w:hint="eastAsia"/>
          <w:color w:val="auto"/>
          <w:sz w:val="15"/>
          <w:szCs w:val="15"/>
        </w:rPr>
        <w:t>且所选择的类型应当与招标项目业绩和信用评价的设置情况相适应，</w:t>
      </w:r>
      <w:r>
        <w:rPr>
          <w:color w:val="auto"/>
          <w:sz w:val="15"/>
          <w:szCs w:val="15"/>
        </w:rPr>
        <w:t>其余类型的评标</w:t>
      </w:r>
      <w:r>
        <w:rPr>
          <w:rFonts w:hint="eastAsia"/>
          <w:color w:val="auto"/>
          <w:sz w:val="15"/>
          <w:szCs w:val="15"/>
        </w:rPr>
        <w:t>办</w:t>
      </w:r>
      <w:r>
        <w:rPr>
          <w:color w:val="auto"/>
          <w:sz w:val="15"/>
          <w:szCs w:val="15"/>
        </w:rPr>
        <w:t>法在编制招标文件时应当删除</w:t>
      </w:r>
      <w:r>
        <w:rPr>
          <w:rFonts w:hint="eastAsia"/>
          <w:color w:val="auto"/>
          <w:sz w:val="15"/>
          <w:szCs w:val="15"/>
        </w:rPr>
        <w:t>。信用评价和其他项目的定义见使用说明第5项。</w:t>
      </w:r>
    </w:p>
  </w:footnote>
  <w:footnote w:id="13">
    <w:p>
      <w:pPr>
        <w:autoSpaceDE w:val="0"/>
        <w:autoSpaceDN w:val="0"/>
        <w:spacing w:line="200" w:lineRule="exact"/>
        <w:jc w:val="left"/>
        <w:rPr>
          <w:rFonts w:cs="宋体"/>
          <w:color w:val="auto"/>
          <w:szCs w:val="21"/>
        </w:rPr>
      </w:pPr>
      <w:r>
        <w:rPr>
          <w:color w:val="auto"/>
          <w:kern w:val="1"/>
          <w:sz w:val="15"/>
          <w:szCs w:val="15"/>
        </w:rPr>
        <w:footnoteRef/>
      </w:r>
      <w:r>
        <w:rPr>
          <w:rFonts w:hint="eastAsia"/>
          <w:color w:val="auto"/>
          <w:kern w:val="1"/>
          <w:sz w:val="15"/>
          <w:szCs w:val="15"/>
        </w:rPr>
        <w:t>选择票决定标法中的</w:t>
      </w:r>
      <w:r>
        <w:rPr>
          <w:color w:val="auto"/>
          <w:kern w:val="1"/>
          <w:sz w:val="15"/>
          <w:szCs w:val="15"/>
        </w:rPr>
        <w:t>直接票决定标法或</w:t>
      </w:r>
      <w:r>
        <w:rPr>
          <w:rFonts w:hint="eastAsia"/>
          <w:color w:val="auto"/>
          <w:kern w:val="1"/>
          <w:sz w:val="15"/>
          <w:szCs w:val="15"/>
        </w:rPr>
        <w:t>逐轮票决定标法、票决抽签定标法或票决低价定标法之一进行填写，且应当与招标文件其他章节有关内容一致</w:t>
      </w:r>
    </w:p>
  </w:footnote>
  <w:footnote w:id="14">
    <w:p>
      <w:pPr>
        <w:pStyle w:val="44"/>
        <w:spacing w:line="200" w:lineRule="exact"/>
        <w:rPr>
          <w:color w:val="auto"/>
          <w:sz w:val="15"/>
          <w:szCs w:val="15"/>
        </w:rPr>
      </w:pPr>
      <w:r>
        <w:rPr>
          <w:color w:val="auto"/>
          <w:sz w:val="15"/>
          <w:szCs w:val="15"/>
        </w:rPr>
        <w:footnoteRef/>
      </w:r>
      <w:r>
        <w:rPr>
          <w:rFonts w:hint="eastAsia"/>
          <w:color w:val="auto"/>
          <w:sz w:val="15"/>
          <w:szCs w:val="15"/>
        </w:rPr>
        <w:t>本表相关内容应当与招标公告或投标邀请书有关内容一致。</w:t>
      </w:r>
    </w:p>
  </w:footnote>
  <w:footnote w:id="15">
    <w:p>
      <w:pPr>
        <w:pStyle w:val="44"/>
        <w:spacing w:line="200" w:lineRule="exact"/>
        <w:rPr>
          <w:color w:val="auto"/>
        </w:rPr>
      </w:pPr>
      <w:r>
        <w:rPr>
          <w:color w:val="auto"/>
          <w:sz w:val="15"/>
          <w:szCs w:val="15"/>
        </w:rPr>
        <w:footnoteRef/>
      </w:r>
      <w:r>
        <w:rPr>
          <w:rFonts w:hint="eastAsia"/>
          <w:color w:val="auto"/>
          <w:sz w:val="15"/>
          <w:szCs w:val="15"/>
        </w:rPr>
        <w:t>招标项目划分标段的，按标段分别填写（内容一致的除外）。</w:t>
      </w:r>
    </w:p>
  </w:footnote>
  <w:footnote w:id="16">
    <w:p>
      <w:pPr>
        <w:pStyle w:val="44"/>
        <w:spacing w:line="200" w:lineRule="exact"/>
        <w:rPr>
          <w:color w:val="auto"/>
        </w:rPr>
      </w:pPr>
      <w:r>
        <w:rPr>
          <w:color w:val="auto"/>
          <w:sz w:val="15"/>
          <w:szCs w:val="15"/>
        </w:rPr>
        <w:footnoteRef/>
      </w:r>
      <w:r>
        <w:rPr>
          <w:color w:val="auto"/>
          <w:sz w:val="15"/>
          <w:szCs w:val="15"/>
        </w:rPr>
        <w:t>写明应用或不应用</w:t>
      </w:r>
      <w:r>
        <w:rPr>
          <w:rFonts w:hint="eastAsia"/>
          <w:color w:val="auto"/>
          <w:sz w:val="15"/>
          <w:szCs w:val="15"/>
        </w:rPr>
        <w:t>。</w:t>
      </w:r>
    </w:p>
  </w:footnote>
  <w:footnote w:id="17">
    <w:p>
      <w:pPr>
        <w:pStyle w:val="44"/>
        <w:spacing w:line="200" w:lineRule="exact"/>
        <w:rPr>
          <w:color w:val="auto"/>
        </w:rPr>
      </w:pPr>
      <w:r>
        <w:rPr>
          <w:color w:val="auto"/>
          <w:sz w:val="15"/>
          <w:szCs w:val="15"/>
        </w:rPr>
        <w:footnoteRef/>
      </w:r>
      <w:r>
        <w:rPr>
          <w:rFonts w:hint="eastAsia"/>
          <w:color w:val="auto"/>
          <w:sz w:val="15"/>
          <w:szCs w:val="15"/>
        </w:rPr>
        <w:t>财政性投融资招标项目的投资批复或国有自筹资金招标项目的投资计划中含建筑信息模型（BIM）技术费用的方可在脚注①处填写“应用”。</w:t>
      </w:r>
    </w:p>
  </w:footnote>
  <w:footnote w:id="18">
    <w:p>
      <w:pPr>
        <w:pStyle w:val="44"/>
        <w:spacing w:line="200" w:lineRule="exact"/>
        <w:rPr>
          <w:color w:val="auto"/>
        </w:rPr>
      </w:pPr>
      <w:r>
        <w:rPr>
          <w:color w:val="auto"/>
          <w:sz w:val="15"/>
          <w:szCs w:val="15"/>
        </w:rPr>
        <w:footnoteRef/>
      </w:r>
      <w:r>
        <w:rPr>
          <w:rFonts w:hint="eastAsia"/>
          <w:color w:val="auto"/>
          <w:sz w:val="15"/>
          <w:szCs w:val="15"/>
        </w:rPr>
        <w:t>填写“房屋建筑”或“市政工程”</w:t>
      </w:r>
    </w:p>
  </w:footnote>
  <w:footnote w:id="19">
    <w:p>
      <w:pPr>
        <w:pStyle w:val="44"/>
        <w:spacing w:line="200" w:lineRule="exact"/>
        <w:rPr>
          <w:color w:val="auto"/>
        </w:rPr>
      </w:pPr>
      <w:r>
        <w:rPr>
          <w:color w:val="auto"/>
          <w:sz w:val="15"/>
          <w:szCs w:val="15"/>
        </w:rPr>
        <w:footnoteRef/>
      </w:r>
      <w:r>
        <w:rPr>
          <w:rFonts w:hint="eastAsia"/>
          <w:color w:val="auto"/>
          <w:sz w:val="15"/>
          <w:szCs w:val="15"/>
        </w:rPr>
        <w:t>建议减半收取</w:t>
      </w:r>
    </w:p>
  </w:footnote>
  <w:footnote w:id="20">
    <w:p>
      <w:pPr>
        <w:pStyle w:val="44"/>
        <w:spacing w:line="200" w:lineRule="exact"/>
        <w:rPr>
          <w:color w:val="auto"/>
          <w:sz w:val="15"/>
          <w:szCs w:val="15"/>
        </w:rPr>
      </w:pPr>
      <w:r>
        <w:rPr>
          <w:color w:val="auto"/>
          <w:sz w:val="15"/>
          <w:szCs w:val="15"/>
        </w:rPr>
        <w:footnoteRef/>
      </w:r>
      <w:r>
        <w:rPr>
          <w:color w:val="auto"/>
          <w:sz w:val="15"/>
          <w:szCs w:val="15"/>
        </w:rPr>
        <w:t>补充和修改的其他内容的编制应当用于进一步明确投标人须知的未尽事宜</w:t>
      </w:r>
      <w:r>
        <w:rPr>
          <w:rFonts w:hint="eastAsia"/>
          <w:color w:val="auto"/>
          <w:sz w:val="15"/>
          <w:szCs w:val="15"/>
        </w:rPr>
        <w:t>，</w:t>
      </w:r>
      <w:r>
        <w:rPr>
          <w:color w:val="auto"/>
          <w:sz w:val="15"/>
          <w:szCs w:val="15"/>
        </w:rPr>
        <w:t>且</w:t>
      </w:r>
      <w:r>
        <w:rPr>
          <w:rFonts w:hint="eastAsia"/>
          <w:color w:val="auto"/>
          <w:sz w:val="15"/>
          <w:szCs w:val="15"/>
        </w:rPr>
        <w:t>与</w:t>
      </w:r>
      <w:r>
        <w:rPr>
          <w:color w:val="auto"/>
          <w:sz w:val="15"/>
          <w:szCs w:val="15"/>
        </w:rPr>
        <w:t>招标文件其他章节相衔接</w:t>
      </w:r>
      <w:r>
        <w:rPr>
          <w:rFonts w:hint="eastAsia"/>
          <w:color w:val="auto"/>
          <w:sz w:val="15"/>
          <w:szCs w:val="15"/>
        </w:rPr>
        <w:t>。</w:t>
      </w:r>
    </w:p>
  </w:footnote>
  <w:footnote w:id="21">
    <w:p>
      <w:pPr>
        <w:pStyle w:val="44"/>
        <w:spacing w:line="200" w:lineRule="exact"/>
        <w:rPr>
          <w:color w:val="auto"/>
        </w:rPr>
      </w:pPr>
      <w:r>
        <w:rPr>
          <w:color w:val="auto"/>
          <w:sz w:val="15"/>
          <w:szCs w:val="15"/>
        </w:rPr>
        <w:footnoteRef/>
      </w:r>
      <w:r>
        <w:rPr>
          <w:color w:val="auto"/>
          <w:sz w:val="15"/>
          <w:szCs w:val="15"/>
        </w:rPr>
        <w:t xml:space="preserve"> 未划分标段的</w:t>
      </w:r>
      <w:r>
        <w:rPr>
          <w:rFonts w:hint="eastAsia"/>
          <w:color w:val="auto"/>
          <w:sz w:val="15"/>
          <w:szCs w:val="15"/>
        </w:rPr>
        <w:t>，</w:t>
      </w:r>
      <w:r>
        <w:rPr>
          <w:color w:val="auto"/>
          <w:sz w:val="15"/>
          <w:szCs w:val="15"/>
        </w:rPr>
        <w:t>此处填写</w:t>
      </w:r>
      <w:r>
        <w:rPr>
          <w:rFonts w:hint="eastAsia"/>
          <w:color w:val="auto"/>
          <w:sz w:val="15"/>
          <w:szCs w:val="15"/>
        </w:rPr>
        <w:t>“/”；划分标段的，本表按标段分别编制。</w:t>
      </w:r>
    </w:p>
  </w:footnote>
  <w:footnote w:id="22">
    <w:p>
      <w:pPr>
        <w:pStyle w:val="44"/>
        <w:spacing w:line="200" w:lineRule="exact"/>
        <w:rPr>
          <w:color w:val="auto"/>
        </w:rPr>
      </w:pPr>
      <w:r>
        <w:rPr>
          <w:color w:val="auto"/>
          <w:sz w:val="15"/>
          <w:szCs w:val="15"/>
        </w:rPr>
        <w:footnoteRef/>
      </w:r>
      <w:r>
        <w:rPr>
          <w:rFonts w:hint="eastAsia"/>
          <w:color w:val="auto"/>
          <w:sz w:val="15"/>
          <w:szCs w:val="15"/>
        </w:rPr>
        <w:t xml:space="preserve"> 本表相关内容应当与招标公告或投标邀请书有关内容一致。</w:t>
      </w:r>
    </w:p>
  </w:footnote>
  <w:footnote w:id="23">
    <w:p>
      <w:pPr>
        <w:pStyle w:val="44"/>
        <w:spacing w:line="200" w:lineRule="exact"/>
        <w:rPr>
          <w:color w:val="auto"/>
        </w:rPr>
      </w:pPr>
      <w:r>
        <w:rPr>
          <w:color w:val="auto"/>
          <w:sz w:val="15"/>
          <w:szCs w:val="15"/>
        </w:rPr>
        <w:footnoteRef/>
      </w:r>
      <w:r>
        <w:rPr>
          <w:rFonts w:hint="eastAsia"/>
          <w:color w:val="auto"/>
          <w:sz w:val="15"/>
          <w:szCs w:val="15"/>
        </w:rPr>
        <w:t xml:space="preserve"> 类似工程业绩的设置，按照《</w:t>
      </w:r>
      <w:r>
        <w:rPr>
          <w:rFonts w:hint="eastAsia" w:cs="宋体"/>
          <w:color w:val="auto"/>
          <w:sz w:val="15"/>
          <w:szCs w:val="15"/>
        </w:rPr>
        <w:t>厦门市建设局关于规范施工招投标“评定分离”有关事项的通知</w:t>
      </w:r>
      <w:r>
        <w:rPr>
          <w:rFonts w:hint="eastAsia"/>
          <w:color w:val="auto"/>
          <w:sz w:val="15"/>
          <w:szCs w:val="15"/>
        </w:rPr>
        <w:t>》（厦建筑〔2022〕112号）有关规定执行。</w:t>
      </w:r>
    </w:p>
  </w:footnote>
  <w:footnote w:id="24">
    <w:p>
      <w:pPr>
        <w:pStyle w:val="44"/>
        <w:spacing w:line="200" w:lineRule="exact"/>
        <w:rPr>
          <w:color w:val="auto"/>
        </w:rPr>
      </w:pPr>
      <w:r>
        <w:rPr>
          <w:color w:val="auto"/>
          <w:sz w:val="15"/>
          <w:szCs w:val="15"/>
        </w:rPr>
        <w:footnoteRef/>
      </w:r>
      <w:r>
        <w:rPr>
          <w:color w:val="auto"/>
          <w:sz w:val="15"/>
          <w:szCs w:val="15"/>
        </w:rPr>
        <w:t xml:space="preserve"> </w:t>
      </w:r>
      <w:r>
        <w:rPr>
          <w:rFonts w:hint="eastAsia"/>
          <w:color w:val="auto"/>
          <w:sz w:val="15"/>
          <w:szCs w:val="15"/>
        </w:rPr>
        <w:t>指由建设单位、监理单位（若有）、施工单位、设计单位、勘察单位（若有）共同加盖公章的单位（子单位）工程质量竣工验收记录或竣工验收报告或竣工验收备案表等竣工验收证明材料。</w:t>
      </w:r>
    </w:p>
  </w:footnote>
  <w:footnote w:id="25">
    <w:p>
      <w:pPr>
        <w:autoSpaceDE w:val="0"/>
        <w:autoSpaceDN w:val="0"/>
        <w:spacing w:line="200" w:lineRule="exact"/>
        <w:jc w:val="left"/>
        <w:rPr>
          <w:color w:val="auto"/>
          <w:sz w:val="15"/>
          <w:szCs w:val="15"/>
        </w:rPr>
      </w:pPr>
      <w:r>
        <w:rPr>
          <w:color w:val="auto"/>
          <w:sz w:val="15"/>
          <w:szCs w:val="15"/>
        </w:rPr>
        <w:footnoteRef/>
      </w:r>
      <w:r>
        <w:rPr>
          <w:color w:val="auto"/>
          <w:sz w:val="15"/>
          <w:szCs w:val="15"/>
        </w:rPr>
        <w:t>信用要素中的子要素可以参考以下内容</w:t>
      </w:r>
      <w:r>
        <w:rPr>
          <w:rFonts w:hint="eastAsia"/>
          <w:color w:val="auto"/>
          <w:sz w:val="15"/>
          <w:szCs w:val="15"/>
        </w:rPr>
        <w:t>自行</w:t>
      </w:r>
      <w:r>
        <w:rPr>
          <w:color w:val="auto"/>
          <w:sz w:val="15"/>
          <w:szCs w:val="15"/>
        </w:rPr>
        <w:t>增减</w:t>
      </w:r>
      <w:r>
        <w:rPr>
          <w:rFonts w:hint="eastAsia"/>
          <w:color w:val="auto"/>
          <w:sz w:val="15"/>
          <w:szCs w:val="15"/>
        </w:rPr>
        <w:t>：</w:t>
      </w:r>
    </w:p>
    <w:p>
      <w:pPr>
        <w:autoSpaceDE w:val="0"/>
        <w:autoSpaceDN w:val="0"/>
        <w:spacing w:line="200" w:lineRule="exact"/>
        <w:ind w:firstLine="150" w:firstLineChars="100"/>
        <w:jc w:val="left"/>
        <w:rPr>
          <w:color w:val="auto"/>
          <w:sz w:val="15"/>
          <w:szCs w:val="15"/>
        </w:rPr>
      </w:pPr>
      <w:r>
        <w:rPr>
          <w:rFonts w:hint="eastAsia" w:cs="宋体"/>
          <w:color w:val="auto"/>
          <w:sz w:val="15"/>
          <w:szCs w:val="15"/>
        </w:rPr>
        <w:t>（1）</w:t>
      </w:r>
      <w:r>
        <w:rPr>
          <w:color w:val="auto"/>
          <w:sz w:val="15"/>
          <w:szCs w:val="15"/>
        </w:rPr>
        <w:t>最近期的</w:t>
      </w:r>
      <w:r>
        <w:rPr>
          <w:rFonts w:hint="eastAsia"/>
          <w:color w:val="auto"/>
          <w:sz w:val="15"/>
          <w:szCs w:val="15"/>
        </w:rPr>
        <w:t>厦门市建设局建设市场信用监管系统信用评价结果；</w:t>
      </w:r>
    </w:p>
    <w:p>
      <w:pPr>
        <w:autoSpaceDE w:val="0"/>
        <w:autoSpaceDN w:val="0"/>
        <w:spacing w:line="200" w:lineRule="exact"/>
        <w:ind w:firstLine="150" w:firstLineChars="100"/>
        <w:jc w:val="left"/>
        <w:rPr>
          <w:color w:val="auto"/>
          <w:sz w:val="15"/>
          <w:szCs w:val="15"/>
        </w:rPr>
      </w:pPr>
      <w:r>
        <w:rPr>
          <w:rFonts w:hint="eastAsia"/>
          <w:color w:val="auto"/>
          <w:sz w:val="15"/>
          <w:szCs w:val="15"/>
        </w:rPr>
        <w:t>（2）福建省建筑施工企业信用综合评价分值；</w:t>
      </w:r>
    </w:p>
    <w:p>
      <w:pPr>
        <w:spacing w:line="200" w:lineRule="exact"/>
        <w:ind w:firstLine="150" w:firstLineChars="100"/>
        <w:jc w:val="left"/>
        <w:rPr>
          <w:rFonts w:ascii="Calibri" w:hAnsi="Calibri"/>
          <w:color w:val="auto"/>
          <w:kern w:val="1"/>
          <w:sz w:val="18"/>
          <w:szCs w:val="24"/>
        </w:rPr>
      </w:pPr>
      <w:r>
        <w:rPr>
          <w:rFonts w:hint="eastAsia"/>
          <w:color w:val="auto"/>
          <w:kern w:val="1"/>
          <w:sz w:val="15"/>
          <w:szCs w:val="15"/>
        </w:rPr>
        <w:t>（3）承接过招标人（建设单位）及其关联企业投资建设或代建的过往工程实施情况。</w:t>
      </w:r>
    </w:p>
  </w:footnote>
  <w:footnote w:id="26">
    <w:p>
      <w:pPr>
        <w:autoSpaceDE w:val="0"/>
        <w:autoSpaceDN w:val="0"/>
        <w:spacing w:line="200" w:lineRule="exact"/>
        <w:jc w:val="left"/>
        <w:rPr>
          <w:color w:val="auto"/>
          <w:kern w:val="1"/>
          <w:sz w:val="15"/>
          <w:szCs w:val="15"/>
        </w:rPr>
      </w:pPr>
      <w:r>
        <w:rPr>
          <w:color w:val="auto"/>
          <w:kern w:val="1"/>
          <w:sz w:val="15"/>
          <w:szCs w:val="15"/>
        </w:rPr>
        <w:footnoteRef/>
      </w:r>
      <w:r>
        <w:rPr>
          <w:rFonts w:hint="eastAsia"/>
          <w:color w:val="auto"/>
          <w:kern w:val="1"/>
          <w:sz w:val="15"/>
          <w:szCs w:val="15"/>
        </w:rPr>
        <w:t>实力</w:t>
      </w:r>
      <w:r>
        <w:rPr>
          <w:color w:val="auto"/>
          <w:sz w:val="15"/>
          <w:szCs w:val="15"/>
        </w:rPr>
        <w:t>要素中的子要素可以参考以下内容</w:t>
      </w:r>
      <w:r>
        <w:rPr>
          <w:rFonts w:hint="eastAsia"/>
          <w:color w:val="auto"/>
          <w:sz w:val="15"/>
          <w:szCs w:val="15"/>
        </w:rPr>
        <w:t>自行</w:t>
      </w:r>
      <w:r>
        <w:rPr>
          <w:color w:val="auto"/>
          <w:sz w:val="15"/>
          <w:szCs w:val="15"/>
        </w:rPr>
        <w:t>增减</w:t>
      </w:r>
      <w:r>
        <w:rPr>
          <w:rFonts w:hint="eastAsia"/>
          <w:color w:val="auto"/>
          <w:kern w:val="1"/>
          <w:sz w:val="15"/>
          <w:szCs w:val="15"/>
        </w:rPr>
        <w:t>：</w:t>
      </w:r>
    </w:p>
    <w:p>
      <w:pPr>
        <w:autoSpaceDE w:val="0"/>
        <w:autoSpaceDN w:val="0"/>
        <w:spacing w:line="200" w:lineRule="exact"/>
        <w:ind w:firstLine="150" w:firstLineChars="100"/>
        <w:jc w:val="left"/>
        <w:rPr>
          <w:color w:val="auto"/>
          <w:kern w:val="1"/>
          <w:sz w:val="15"/>
          <w:szCs w:val="15"/>
        </w:rPr>
      </w:pPr>
      <w:r>
        <w:rPr>
          <w:rFonts w:hint="eastAsia"/>
          <w:color w:val="auto"/>
          <w:kern w:val="1"/>
          <w:sz w:val="15"/>
          <w:szCs w:val="15"/>
        </w:rPr>
        <w:t>（1）投标人资质；</w:t>
      </w:r>
    </w:p>
    <w:p>
      <w:pPr>
        <w:autoSpaceDE w:val="0"/>
        <w:autoSpaceDN w:val="0"/>
        <w:spacing w:line="200" w:lineRule="exact"/>
        <w:ind w:firstLine="150" w:firstLineChars="100"/>
        <w:jc w:val="left"/>
        <w:rPr>
          <w:color w:val="auto"/>
          <w:kern w:val="1"/>
          <w:sz w:val="15"/>
          <w:szCs w:val="15"/>
        </w:rPr>
      </w:pPr>
      <w:r>
        <w:rPr>
          <w:rFonts w:hint="eastAsia"/>
          <w:color w:val="auto"/>
          <w:kern w:val="1"/>
          <w:sz w:val="15"/>
          <w:szCs w:val="15"/>
        </w:rPr>
        <w:t>（2）施工产值；</w:t>
      </w:r>
    </w:p>
    <w:p>
      <w:pPr>
        <w:autoSpaceDE w:val="0"/>
        <w:autoSpaceDN w:val="0"/>
        <w:spacing w:line="200" w:lineRule="exact"/>
        <w:ind w:firstLine="150" w:firstLineChars="100"/>
        <w:jc w:val="left"/>
        <w:rPr>
          <w:color w:val="auto"/>
          <w:kern w:val="1"/>
          <w:sz w:val="15"/>
          <w:szCs w:val="15"/>
        </w:rPr>
      </w:pPr>
      <w:r>
        <w:rPr>
          <w:rFonts w:hint="eastAsia"/>
          <w:color w:val="auto"/>
          <w:kern w:val="1"/>
          <w:sz w:val="15"/>
          <w:szCs w:val="15"/>
        </w:rPr>
        <w:t>（3）类似工程业绩；</w:t>
      </w:r>
    </w:p>
    <w:p>
      <w:pPr>
        <w:autoSpaceDE w:val="0"/>
        <w:autoSpaceDN w:val="0"/>
        <w:spacing w:line="200" w:lineRule="exact"/>
        <w:ind w:firstLine="150" w:firstLineChars="100"/>
        <w:jc w:val="left"/>
        <w:rPr>
          <w:color w:val="auto"/>
          <w:kern w:val="1"/>
          <w:sz w:val="15"/>
          <w:szCs w:val="15"/>
        </w:rPr>
      </w:pPr>
      <w:r>
        <w:rPr>
          <w:rFonts w:hint="eastAsia"/>
          <w:color w:val="auto"/>
          <w:kern w:val="1"/>
          <w:sz w:val="15"/>
          <w:szCs w:val="15"/>
        </w:rPr>
        <w:t>（4）工程奖项；</w:t>
      </w:r>
    </w:p>
    <w:p>
      <w:pPr>
        <w:autoSpaceDE w:val="0"/>
        <w:autoSpaceDN w:val="0"/>
        <w:spacing w:line="200" w:lineRule="exact"/>
        <w:ind w:left="197" w:leftChars="58"/>
        <w:jc w:val="left"/>
        <w:rPr>
          <w:color w:val="auto"/>
          <w:kern w:val="1"/>
          <w:sz w:val="15"/>
          <w:szCs w:val="15"/>
        </w:rPr>
      </w:pPr>
      <w:r>
        <w:rPr>
          <w:rFonts w:hint="eastAsia"/>
          <w:color w:val="auto"/>
          <w:kern w:val="1"/>
          <w:sz w:val="15"/>
          <w:szCs w:val="15"/>
        </w:rPr>
        <w:t>（5）拟派团队综合实力。招标人认为有必要的，可以考核拟派团队的履约能力、团队主要负责人以往工程业绩情况或通过陈述、答辩等方式对团队主要负责人的工作能力、管理水平和职业素养进行考核。</w:t>
      </w:r>
    </w:p>
  </w:footnote>
  <w:footnote w:id="27">
    <w:p>
      <w:pPr>
        <w:pStyle w:val="44"/>
        <w:snapToGrid w:val="0"/>
      </w:pPr>
      <w:r>
        <w:rPr>
          <w:rStyle w:val="74"/>
        </w:rPr>
        <w:footnoteRef/>
      </w:r>
      <w:r>
        <w:t xml:space="preserve"> </w:t>
      </w:r>
    </w:p>
  </w:footnote>
  <w:footnote w:id="28">
    <w:p>
      <w:pPr>
        <w:spacing w:line="200" w:lineRule="exact"/>
        <w:jc w:val="left"/>
        <w:rPr>
          <w:color w:val="auto"/>
          <w:kern w:val="1"/>
          <w:sz w:val="15"/>
          <w:szCs w:val="15"/>
        </w:rPr>
      </w:pPr>
      <w:r>
        <w:rPr>
          <w:color w:val="auto"/>
          <w:kern w:val="1"/>
          <w:sz w:val="15"/>
          <w:szCs w:val="15"/>
        </w:rPr>
        <w:footnoteRef/>
      </w:r>
      <w:r>
        <w:rPr>
          <w:rFonts w:hint="eastAsia"/>
          <w:color w:val="auto"/>
          <w:kern w:val="1"/>
          <w:sz w:val="15"/>
          <w:szCs w:val="15"/>
        </w:rPr>
        <w:t>如以联合体形式投标，联合体所有成员均应共同盖单位公章。</w:t>
      </w:r>
    </w:p>
  </w:footnote>
  <w:footnote w:id="29">
    <w:p>
      <w:pPr>
        <w:spacing w:line="200" w:lineRule="exact"/>
        <w:jc w:val="left"/>
        <w:rPr>
          <w:rFonts w:ascii="Times New Roman" w:hAnsi="Times New Roman"/>
          <w:color w:val="auto"/>
          <w:kern w:val="1"/>
          <w:sz w:val="18"/>
          <w:szCs w:val="24"/>
        </w:rPr>
      </w:pPr>
      <w:r>
        <w:rPr>
          <w:color w:val="auto"/>
          <w:kern w:val="1"/>
          <w:sz w:val="15"/>
          <w:szCs w:val="15"/>
        </w:rPr>
        <w:footnoteRef/>
      </w:r>
      <w:r>
        <w:rPr>
          <w:rFonts w:hint="eastAsia"/>
          <w:color w:val="auto"/>
          <w:kern w:val="1"/>
          <w:sz w:val="15"/>
          <w:szCs w:val="15"/>
        </w:rPr>
        <w:t>授权委托代理人盖章的，该委托代理人应为联合体所有成员的法定代表人应共同委托的同一代理人，否则联合体所有成员的法定代表人应共同盖章。</w:t>
      </w:r>
    </w:p>
  </w:footnote>
  <w:footnote w:id="30">
    <w:p>
      <w:pPr>
        <w:spacing w:line="200" w:lineRule="exact"/>
        <w:jc w:val="left"/>
        <w:rPr>
          <w:color w:val="auto"/>
          <w:kern w:val="1"/>
          <w:sz w:val="15"/>
          <w:szCs w:val="15"/>
        </w:rPr>
      </w:pPr>
      <w:r>
        <w:rPr>
          <w:color w:val="auto"/>
          <w:kern w:val="1"/>
          <w:sz w:val="15"/>
          <w:szCs w:val="15"/>
        </w:rPr>
        <w:footnoteRef/>
      </w:r>
      <w:r>
        <w:rPr>
          <w:rFonts w:hint="eastAsia"/>
          <w:color w:val="auto"/>
          <w:kern w:val="1"/>
          <w:sz w:val="15"/>
          <w:szCs w:val="15"/>
        </w:rPr>
        <w:t>独立投标人或联合体投标的联合体各方均须填写本表。</w:t>
      </w:r>
    </w:p>
  </w:footnote>
  <w:footnote w:id="31">
    <w:p>
      <w:pPr>
        <w:spacing w:line="200" w:lineRule="exact"/>
        <w:jc w:val="left"/>
        <w:rPr>
          <w:rFonts w:ascii="Times New Roman" w:hAnsi="Times New Roman"/>
          <w:color w:val="auto"/>
          <w:kern w:val="1"/>
          <w:sz w:val="18"/>
          <w:szCs w:val="24"/>
        </w:rPr>
      </w:pPr>
      <w:r>
        <w:rPr>
          <w:color w:val="auto"/>
          <w:kern w:val="1"/>
          <w:sz w:val="15"/>
          <w:szCs w:val="15"/>
        </w:rPr>
        <w:footnoteRef/>
      </w:r>
      <w:r>
        <w:rPr>
          <w:rFonts w:hint="eastAsia"/>
          <w:color w:val="auto"/>
          <w:kern w:val="1"/>
          <w:sz w:val="15"/>
          <w:szCs w:val="15"/>
        </w:rPr>
        <w:t>应当如实填写具体情况，否则视为弄虚作假。其中投标人存在财产被司法机关</w:t>
      </w:r>
      <w:r>
        <w:rPr>
          <w:rFonts w:hint="eastAsia"/>
          <w:color w:val="auto"/>
          <w:sz w:val="15"/>
          <w:szCs w:val="15"/>
        </w:rPr>
        <w:t>查封、扣押</w:t>
      </w:r>
      <w:r>
        <w:rPr>
          <w:rFonts w:hint="eastAsia"/>
          <w:color w:val="auto"/>
          <w:kern w:val="1"/>
          <w:sz w:val="15"/>
          <w:szCs w:val="15"/>
        </w:rPr>
        <w:t>或冻结的，由资格审查委员会对是否会导致中标后合同无法履行作出判断。</w:t>
      </w:r>
    </w:p>
  </w:footnote>
  <w:footnote w:id="32">
    <w:p>
      <w:pPr>
        <w:spacing w:line="200" w:lineRule="exact"/>
        <w:jc w:val="left"/>
        <w:rPr>
          <w:color w:val="auto"/>
          <w:kern w:val="1"/>
          <w:sz w:val="15"/>
          <w:szCs w:val="15"/>
        </w:rPr>
      </w:pPr>
      <w:r>
        <w:rPr>
          <w:color w:val="auto"/>
          <w:kern w:val="1"/>
          <w:sz w:val="15"/>
          <w:szCs w:val="15"/>
        </w:rPr>
        <w:footnoteRef/>
      </w:r>
      <w:r>
        <w:rPr>
          <w:color w:val="auto"/>
          <w:kern w:val="1"/>
          <w:sz w:val="15"/>
          <w:szCs w:val="15"/>
        </w:rPr>
        <w:t>独立投标人或联合体投标人各方成员</w:t>
      </w:r>
      <w:r>
        <w:rPr>
          <w:rFonts w:cs="宋体"/>
          <w:color w:val="auto"/>
          <w:kern w:val="1"/>
          <w:sz w:val="15"/>
          <w:szCs w:val="15"/>
        </w:rPr>
        <w:t>在本处附上要求的证书的全本</w:t>
      </w:r>
      <w:r>
        <w:rPr>
          <w:rFonts w:hint="eastAsia" w:cs="宋体"/>
          <w:color w:val="auto"/>
          <w:kern w:val="1"/>
          <w:sz w:val="15"/>
          <w:szCs w:val="15"/>
        </w:rPr>
        <w:t>原件扫描件。证书发生变更的，应办理完变更手续方可参加投标，并以发证机关核准的变更为准，否则视为证书无效。</w:t>
      </w:r>
    </w:p>
  </w:footnote>
  <w:footnote w:id="33">
    <w:p>
      <w:pPr>
        <w:spacing w:line="200" w:lineRule="exact"/>
        <w:jc w:val="left"/>
        <w:rPr>
          <w:color w:val="auto"/>
          <w:kern w:val="1"/>
          <w:sz w:val="15"/>
          <w:szCs w:val="15"/>
        </w:rPr>
      </w:pPr>
      <w:r>
        <w:rPr>
          <w:color w:val="auto"/>
          <w:kern w:val="1"/>
          <w:sz w:val="15"/>
          <w:szCs w:val="15"/>
        </w:rPr>
        <w:footnoteRef/>
      </w:r>
      <w:r>
        <w:rPr>
          <w:color w:val="auto"/>
          <w:kern w:val="1"/>
          <w:sz w:val="15"/>
          <w:szCs w:val="15"/>
        </w:rPr>
        <w:t>招标文件第二章</w:t>
      </w:r>
      <w:r>
        <w:rPr>
          <w:rFonts w:hint="eastAsia"/>
          <w:color w:val="auto"/>
          <w:kern w:val="1"/>
          <w:sz w:val="15"/>
          <w:szCs w:val="15"/>
        </w:rPr>
        <w:t>“投标人须知”前附表附录1第2项对类似工程业绩作出要求的，投标人应填写本表并在本表续页按该项要求提供证明材料。本表中的项目编号、竣工备案编号为全国建筑市场监管公共服务平台或福建省建设行业信息公开平台记录的该项目的项目编号、竣工备案编号。</w:t>
      </w:r>
    </w:p>
  </w:footnote>
  <w:footnote w:id="34">
    <w:p>
      <w:pPr>
        <w:spacing w:line="312" w:lineRule="atLeast"/>
        <w:jc w:val="left"/>
        <w:rPr>
          <w:color w:val="auto"/>
          <w:kern w:val="1"/>
          <w:sz w:val="15"/>
          <w:szCs w:val="15"/>
        </w:rPr>
      </w:pPr>
      <w:r>
        <w:rPr>
          <w:color w:val="auto"/>
          <w:kern w:val="1"/>
          <w:sz w:val="15"/>
          <w:szCs w:val="15"/>
        </w:rPr>
        <w:footnoteRef/>
      </w:r>
      <w:r>
        <w:rPr>
          <w:color w:val="auto"/>
          <w:kern w:val="1"/>
          <w:sz w:val="15"/>
          <w:szCs w:val="15"/>
        </w:rPr>
        <w:t>招标文件第二章</w:t>
      </w:r>
      <w:r>
        <w:rPr>
          <w:rFonts w:hint="eastAsia"/>
          <w:color w:val="auto"/>
          <w:kern w:val="1"/>
          <w:sz w:val="15"/>
          <w:szCs w:val="15"/>
        </w:rPr>
        <w:t>“投标人须知”前附表附录1第3项对信用作出要求的，投标人在此处提供证明材料。</w:t>
      </w:r>
    </w:p>
  </w:footnote>
  <w:footnote w:id="35">
    <w:p>
      <w:pPr>
        <w:spacing w:line="200" w:lineRule="exact"/>
        <w:jc w:val="left"/>
        <w:rPr>
          <w:color w:val="auto"/>
          <w:kern w:val="1"/>
          <w:sz w:val="15"/>
          <w:szCs w:val="15"/>
        </w:rPr>
      </w:pPr>
      <w:r>
        <w:rPr>
          <w:color w:val="auto"/>
          <w:kern w:val="1"/>
          <w:sz w:val="15"/>
          <w:szCs w:val="15"/>
        </w:rPr>
        <w:footnoteRef/>
      </w:r>
      <w:r>
        <w:rPr>
          <w:rFonts w:hint="eastAsia"/>
          <w:color w:val="auto"/>
          <w:kern w:val="1"/>
          <w:sz w:val="15"/>
          <w:szCs w:val="15"/>
        </w:rPr>
        <w:t>投标人应按照</w:t>
      </w:r>
      <w:r>
        <w:rPr>
          <w:color w:val="auto"/>
          <w:kern w:val="1"/>
          <w:sz w:val="15"/>
          <w:szCs w:val="15"/>
        </w:rPr>
        <w:t>招标文件第二章</w:t>
      </w:r>
      <w:r>
        <w:rPr>
          <w:rFonts w:hint="eastAsia"/>
          <w:color w:val="auto"/>
          <w:kern w:val="1"/>
          <w:sz w:val="15"/>
          <w:szCs w:val="15"/>
        </w:rPr>
        <w:t>“投标人须知”前附表附录1第4项要求，填写本表并在本表续页按该项要求提供证明材料。</w:t>
      </w:r>
    </w:p>
  </w:footnote>
  <w:footnote w:id="36">
    <w:p>
      <w:pPr>
        <w:pStyle w:val="9"/>
        <w:snapToGrid w:val="0"/>
        <w:spacing w:line="200" w:lineRule="exact"/>
        <w:ind w:left="1" w:firstLine="0"/>
        <w:jc w:val="left"/>
        <w:rPr>
          <w:rFonts w:cs="宋体"/>
          <w:bCs/>
          <w:color w:val="auto"/>
          <w:kern w:val="2"/>
          <w:sz w:val="15"/>
          <w:szCs w:val="15"/>
        </w:rPr>
      </w:pPr>
      <w:r>
        <w:rPr>
          <w:rFonts w:cs="宋体"/>
          <w:bCs/>
          <w:color w:val="auto"/>
          <w:kern w:val="2"/>
          <w:sz w:val="15"/>
          <w:szCs w:val="15"/>
        </w:rPr>
        <w:footnoteRef/>
      </w:r>
      <w:r>
        <w:rPr>
          <w:rFonts w:cs="宋体"/>
          <w:bCs/>
          <w:color w:val="auto"/>
          <w:kern w:val="2"/>
          <w:sz w:val="15"/>
          <w:szCs w:val="15"/>
        </w:rPr>
        <w:t xml:space="preserve"> </w:t>
      </w:r>
      <w:r>
        <w:rPr>
          <w:rFonts w:hint="eastAsia" w:cs="宋体"/>
          <w:bCs/>
          <w:color w:val="auto"/>
          <w:kern w:val="2"/>
          <w:sz w:val="15"/>
          <w:szCs w:val="15"/>
        </w:rPr>
        <w:t xml:space="preserve">  1.本页上传项目负责人的建造师电子注册证书，即建造师电子注册证书彩色打印并由项目负责人在个人签名处手写签名后扫描上传。未由项目负责人本人手写签名或与签名图像笔迹不一致的，该电子注册证书无效。</w:t>
      </w:r>
    </w:p>
    <w:p>
      <w:pPr>
        <w:adjustRightInd w:val="0"/>
        <w:snapToGrid w:val="0"/>
        <w:spacing w:line="200" w:lineRule="exact"/>
        <w:ind w:firstLine="300" w:firstLineChars="200"/>
        <w:jc w:val="left"/>
        <w:textAlignment w:val="baseline"/>
        <w:rPr>
          <w:rFonts w:cs="宋体"/>
          <w:bCs/>
          <w:color w:val="auto"/>
          <w:kern w:val="2"/>
          <w:sz w:val="15"/>
          <w:szCs w:val="15"/>
        </w:rPr>
      </w:pPr>
      <w:r>
        <w:rPr>
          <w:rFonts w:hint="eastAsia" w:cs="宋体"/>
          <w:bCs/>
          <w:color w:val="auto"/>
          <w:kern w:val="2"/>
          <w:sz w:val="15"/>
          <w:szCs w:val="15"/>
        </w:rPr>
        <w:t>2.一级建造师电子注册证书应在使用有效期内，否则该电子注册证书无效。二级建造师电子注册证书应在使用有效期内，没有标注使用有效期的，应在注册专业有效期内，否则该电子注册证书无效。</w:t>
      </w:r>
    </w:p>
    <w:p>
      <w:pPr>
        <w:pStyle w:val="44"/>
        <w:rPr>
          <w:color w:val="auto"/>
        </w:rPr>
      </w:pPr>
    </w:p>
  </w:footnote>
  <w:footnote w:id="37">
    <w:p>
      <w:pPr>
        <w:pStyle w:val="44"/>
        <w:spacing w:line="200" w:lineRule="exact"/>
        <w:rPr>
          <w:rFonts w:ascii="宋体" w:hAnsi="宋体"/>
          <w:color w:val="auto"/>
          <w:sz w:val="15"/>
          <w:szCs w:val="15"/>
        </w:rPr>
      </w:pPr>
      <w:r>
        <w:rPr>
          <w:color w:val="auto"/>
          <w:sz w:val="15"/>
          <w:szCs w:val="15"/>
        </w:rPr>
        <w:footnoteRef/>
      </w:r>
      <w:r>
        <w:rPr>
          <w:rFonts w:hint="eastAsia"/>
          <w:color w:val="auto"/>
          <w:sz w:val="15"/>
          <w:szCs w:val="15"/>
        </w:rPr>
        <w:t>本承诺函须由按本节规定内容编制并按规定签署后扫描上传。</w:t>
      </w:r>
    </w:p>
  </w:footnote>
  <w:footnote w:id="38">
    <w:p>
      <w:pPr>
        <w:pStyle w:val="44"/>
        <w:spacing w:line="200" w:lineRule="exact"/>
        <w:rPr>
          <w:rFonts w:ascii="宋体" w:hAnsi="宋体"/>
          <w:color w:val="auto"/>
          <w:sz w:val="15"/>
          <w:szCs w:val="15"/>
        </w:rPr>
      </w:pPr>
      <w:r>
        <w:rPr>
          <w:color w:val="auto"/>
        </w:rPr>
        <w:footnoteRef/>
      </w:r>
      <w:r>
        <w:rPr>
          <w:rFonts w:hint="eastAsia"/>
          <w:color w:val="auto"/>
          <w:sz w:val="15"/>
          <w:szCs w:val="15"/>
        </w:rPr>
        <w:t>如以联合体形式投标，联合体所有成员均应共同盖单位实体公章。</w:t>
      </w:r>
    </w:p>
  </w:footnote>
  <w:footnote w:id="39">
    <w:p>
      <w:pPr>
        <w:pStyle w:val="44"/>
        <w:spacing w:line="200" w:lineRule="exact"/>
        <w:rPr>
          <w:color w:val="auto"/>
        </w:rPr>
      </w:pPr>
      <w:r>
        <w:rPr>
          <w:color w:val="auto"/>
        </w:rPr>
        <w:footnoteRef/>
      </w:r>
      <w:r>
        <w:rPr>
          <w:rFonts w:hint="eastAsia"/>
          <w:color w:val="auto"/>
          <w:sz w:val="15"/>
          <w:szCs w:val="15"/>
        </w:rPr>
        <w:t>项目负责人应亲自签字。</w:t>
      </w:r>
    </w:p>
  </w:footnote>
  <w:footnote w:id="40">
    <w:p>
      <w:pPr>
        <w:spacing w:line="200" w:lineRule="exact"/>
        <w:jc w:val="left"/>
        <w:rPr>
          <w:color w:val="auto"/>
          <w:kern w:val="1"/>
          <w:sz w:val="15"/>
          <w:szCs w:val="15"/>
        </w:rPr>
      </w:pPr>
      <w:r>
        <w:rPr>
          <w:color w:val="auto"/>
          <w:kern w:val="1"/>
          <w:sz w:val="15"/>
          <w:szCs w:val="15"/>
        </w:rPr>
        <w:footnoteRef/>
      </w:r>
      <w:r>
        <w:rPr>
          <w:rFonts w:hint="eastAsia"/>
          <w:color w:val="auto"/>
          <w:kern w:val="1"/>
          <w:sz w:val="15"/>
          <w:szCs w:val="15"/>
        </w:rPr>
        <w:t>投标人应按照</w:t>
      </w:r>
      <w:r>
        <w:rPr>
          <w:color w:val="auto"/>
          <w:kern w:val="1"/>
          <w:sz w:val="15"/>
          <w:szCs w:val="15"/>
        </w:rPr>
        <w:t>招标文件第二章</w:t>
      </w:r>
      <w:r>
        <w:rPr>
          <w:rFonts w:hint="eastAsia"/>
          <w:color w:val="auto"/>
          <w:kern w:val="1"/>
          <w:sz w:val="15"/>
          <w:szCs w:val="15"/>
        </w:rPr>
        <w:t>“投标人须知”前附表附录1第4项要求，填写本表并在本表续页按该项要求提供证明材料。</w:t>
      </w:r>
    </w:p>
  </w:footnote>
  <w:footnote w:id="41">
    <w:p>
      <w:pPr>
        <w:pStyle w:val="44"/>
        <w:spacing w:line="200" w:lineRule="exact"/>
        <w:rPr>
          <w:color w:val="auto"/>
        </w:rPr>
      </w:pPr>
      <w:r>
        <w:rPr>
          <w:rFonts w:ascii="宋体" w:hAnsi="宋体"/>
          <w:color w:val="auto"/>
          <w:sz w:val="15"/>
          <w:szCs w:val="15"/>
        </w:rPr>
        <w:footnoteRef/>
      </w:r>
      <w:r>
        <w:rPr>
          <w:rFonts w:hint="eastAsia" w:ascii="宋体" w:hAnsi="宋体"/>
          <w:color w:val="auto"/>
          <w:sz w:val="15"/>
          <w:szCs w:val="15"/>
        </w:rPr>
        <w:t>《拟派出施工现场管理人员表》由投标人登录福建省住房和城乡建设政务服务系统（网址：zjt.fujian.gov.cn）选取拟派出人员后由系统生成，并加盖单位公章。</w:t>
      </w:r>
    </w:p>
  </w:footnote>
  <w:footnote w:id="42">
    <w:p>
      <w:pPr>
        <w:spacing w:line="200" w:lineRule="exact"/>
        <w:jc w:val="left"/>
        <w:rPr>
          <w:color w:val="auto"/>
          <w:kern w:val="1"/>
          <w:sz w:val="15"/>
          <w:szCs w:val="15"/>
        </w:rPr>
      </w:pPr>
      <w:r>
        <w:rPr>
          <w:color w:val="auto"/>
          <w:kern w:val="1"/>
          <w:sz w:val="15"/>
          <w:szCs w:val="15"/>
        </w:rPr>
        <w:footnoteRef/>
      </w:r>
      <w:r>
        <w:rPr>
          <w:rFonts w:hint="eastAsia"/>
          <w:color w:val="auto"/>
          <w:kern w:val="1"/>
          <w:sz w:val="15"/>
          <w:szCs w:val="15"/>
        </w:rPr>
        <w:t>如以联合体形式投标，派出人员的相关联合体成员单位分别提供《拟派出施工现场管理人员表》并加盖单位公章。</w:t>
      </w:r>
    </w:p>
  </w:footnote>
  <w:footnote w:id="43">
    <w:p>
      <w:pPr>
        <w:spacing w:line="200" w:lineRule="exact"/>
        <w:jc w:val="left"/>
        <w:rPr>
          <w:color w:val="auto"/>
          <w:kern w:val="1"/>
          <w:sz w:val="15"/>
          <w:szCs w:val="15"/>
        </w:rPr>
      </w:pPr>
      <w:r>
        <w:rPr>
          <w:color w:val="auto"/>
          <w:kern w:val="1"/>
          <w:sz w:val="15"/>
          <w:szCs w:val="15"/>
        </w:rPr>
        <w:footnoteRef/>
      </w:r>
      <w:r>
        <w:rPr>
          <w:rFonts w:hint="eastAsia"/>
          <w:color w:val="auto"/>
          <w:kern w:val="1"/>
          <w:sz w:val="15"/>
          <w:szCs w:val="15"/>
        </w:rPr>
        <w:t>如以联合体形式投标，联合体所有成员均应共同盖单位公章。</w:t>
      </w:r>
    </w:p>
  </w:footnote>
  <w:footnote w:id="44">
    <w:p>
      <w:pPr>
        <w:spacing w:line="200" w:lineRule="exact"/>
        <w:jc w:val="left"/>
        <w:rPr>
          <w:rFonts w:ascii="Times New Roman" w:hAnsi="Times New Roman"/>
          <w:color w:val="auto"/>
          <w:kern w:val="1"/>
          <w:sz w:val="18"/>
          <w:szCs w:val="24"/>
        </w:rPr>
      </w:pPr>
      <w:r>
        <w:rPr>
          <w:color w:val="auto"/>
          <w:kern w:val="1"/>
          <w:sz w:val="15"/>
          <w:szCs w:val="15"/>
        </w:rPr>
        <w:footnoteRef/>
      </w:r>
      <w:r>
        <w:rPr>
          <w:rFonts w:hint="eastAsia"/>
          <w:color w:val="auto"/>
          <w:kern w:val="1"/>
          <w:sz w:val="15"/>
          <w:szCs w:val="15"/>
        </w:rPr>
        <w:t>授权委托代理人盖章的，该委托代理人应为联合体所有成员的法定代表人应共同委托的同一代理人，否则联合体所有成员的法定代表人应共同盖章。</w:t>
      </w:r>
    </w:p>
  </w:footnote>
  <w:footnote w:id="45">
    <w:p>
      <w:pPr>
        <w:spacing w:line="200" w:lineRule="exact"/>
        <w:jc w:val="left"/>
        <w:rPr>
          <w:color w:val="auto"/>
          <w:kern w:val="1"/>
          <w:sz w:val="15"/>
          <w:szCs w:val="15"/>
        </w:rPr>
      </w:pPr>
      <w:r>
        <w:rPr>
          <w:color w:val="auto"/>
          <w:kern w:val="1"/>
          <w:sz w:val="15"/>
          <w:szCs w:val="15"/>
        </w:rPr>
        <w:footnoteRef/>
      </w:r>
      <w:r>
        <w:rPr>
          <w:color w:val="auto"/>
          <w:kern w:val="1"/>
          <w:sz w:val="15"/>
          <w:szCs w:val="15"/>
        </w:rPr>
        <w:t>独立投标人或联合体投标人各方成员在本处附上要求的证书或材料的全本</w:t>
      </w:r>
      <w:r>
        <w:rPr>
          <w:rFonts w:hint="eastAsia"/>
          <w:color w:val="auto"/>
          <w:kern w:val="1"/>
          <w:sz w:val="15"/>
          <w:szCs w:val="15"/>
        </w:rPr>
        <w:t>原件扫描件。证书发生变更的，应办理完变更手续方可参加投标，并以发证机关核准的变更为准，否则视为证书无效。</w:t>
      </w:r>
    </w:p>
  </w:footnote>
  <w:footnote w:id="46">
    <w:p>
      <w:pPr>
        <w:pStyle w:val="44"/>
        <w:spacing w:line="200" w:lineRule="exact"/>
        <w:rPr>
          <w:rFonts w:ascii="宋体" w:hAnsi="宋体"/>
          <w:color w:val="auto"/>
          <w:sz w:val="15"/>
          <w:szCs w:val="15"/>
        </w:rPr>
      </w:pPr>
      <w:r>
        <w:rPr>
          <w:rFonts w:ascii="宋体" w:hAnsi="宋体"/>
          <w:color w:val="auto"/>
          <w:sz w:val="15"/>
          <w:szCs w:val="15"/>
        </w:rPr>
        <w:footnoteRef/>
      </w:r>
      <w:r>
        <w:rPr>
          <w:rFonts w:hint="eastAsia" w:ascii="宋体" w:hAnsi="宋体"/>
          <w:color w:val="auto"/>
          <w:sz w:val="15"/>
          <w:szCs w:val="15"/>
        </w:rPr>
        <w:t>按照投标人须知前附表第1.4.2项第1条组成联合体投标的应当提交。</w:t>
      </w:r>
    </w:p>
  </w:footnote>
  <w:footnote w:id="47">
    <w:p>
      <w:pPr>
        <w:pStyle w:val="44"/>
        <w:spacing w:line="200" w:lineRule="exact"/>
        <w:rPr>
          <w:rFonts w:ascii="宋体" w:hAnsi="宋体"/>
          <w:color w:val="auto"/>
          <w:sz w:val="15"/>
          <w:szCs w:val="15"/>
        </w:rPr>
      </w:pPr>
      <w:r>
        <w:rPr>
          <w:rFonts w:ascii="宋体" w:hAnsi="宋体"/>
          <w:color w:val="auto"/>
          <w:sz w:val="15"/>
          <w:szCs w:val="15"/>
        </w:rPr>
        <w:footnoteRef/>
      </w:r>
      <w:r>
        <w:rPr>
          <w:rFonts w:hint="eastAsia" w:ascii="宋体" w:hAnsi="宋体"/>
          <w:color w:val="auto"/>
          <w:sz w:val="15"/>
          <w:szCs w:val="15"/>
        </w:rPr>
        <w:t>按照投标人须知前附表第1.4.2项第1条组成联合体投标的应当提交。</w:t>
      </w:r>
    </w:p>
  </w:footnote>
  <w:footnote w:id="48">
    <w:p>
      <w:pPr>
        <w:spacing w:line="200" w:lineRule="exact"/>
        <w:jc w:val="left"/>
        <w:rPr>
          <w:rFonts w:ascii="Times New Roman" w:hAnsi="Times New Roman"/>
          <w:color w:val="auto"/>
          <w:kern w:val="1"/>
          <w:sz w:val="15"/>
          <w:szCs w:val="15"/>
        </w:rPr>
      </w:pPr>
      <w:r>
        <w:rPr>
          <w:rFonts w:ascii="Times New Roman" w:hAnsi="Times New Roman"/>
          <w:color w:val="auto"/>
          <w:kern w:val="1"/>
          <w:sz w:val="15"/>
          <w:szCs w:val="15"/>
        </w:rPr>
        <w:footnoteRef/>
      </w:r>
      <w:r>
        <w:rPr>
          <w:rFonts w:hint="eastAsia" w:ascii="Times New Roman" w:hAnsi="Times New Roman"/>
          <w:color w:val="auto"/>
          <w:kern w:val="1"/>
          <w:sz w:val="15"/>
          <w:szCs w:val="15"/>
        </w:rPr>
        <w:t>组成联合体投标的，本节内容应当提交。</w:t>
      </w:r>
    </w:p>
  </w:footnote>
  <w:footnote w:id="49">
    <w:p>
      <w:pPr>
        <w:spacing w:line="200" w:lineRule="exact"/>
        <w:jc w:val="left"/>
        <w:rPr>
          <w:rFonts w:ascii="Times New Roman" w:hAnsi="Times New Roman"/>
          <w:color w:val="auto"/>
          <w:kern w:val="1"/>
          <w:sz w:val="18"/>
          <w:szCs w:val="24"/>
        </w:rPr>
      </w:pPr>
      <w:r>
        <w:rPr>
          <w:color w:val="auto"/>
          <w:kern w:val="1"/>
          <w:sz w:val="15"/>
          <w:szCs w:val="15"/>
        </w:rPr>
        <w:footnoteRef/>
      </w:r>
      <w:r>
        <w:rPr>
          <w:rFonts w:hint="eastAsia"/>
          <w:color w:val="auto"/>
          <w:kern w:val="1"/>
          <w:sz w:val="15"/>
          <w:szCs w:val="15"/>
        </w:rPr>
        <w:t>如以联合体形式投标，联合体所有成员均应提供法定代表人资格证明书。</w:t>
      </w:r>
    </w:p>
  </w:footnote>
  <w:footnote w:id="50">
    <w:p>
      <w:pPr>
        <w:pStyle w:val="44"/>
        <w:spacing w:line="200" w:lineRule="exact"/>
        <w:rPr>
          <w:color w:val="auto"/>
        </w:rPr>
      </w:pPr>
      <w:r>
        <w:rPr>
          <w:color w:val="auto"/>
          <w:sz w:val="15"/>
          <w:szCs w:val="15"/>
        </w:rPr>
        <w:footnoteRef/>
      </w:r>
      <w:r>
        <w:rPr>
          <w:rFonts w:hint="eastAsia"/>
          <w:color w:val="auto"/>
          <w:sz w:val="15"/>
          <w:szCs w:val="15"/>
        </w:rPr>
        <w:t>本承诺函须按本节规定内容编制并按规定签署后扫描上传。</w:t>
      </w:r>
    </w:p>
  </w:footnote>
  <w:footnote w:id="51">
    <w:p>
      <w:pPr>
        <w:pStyle w:val="44"/>
        <w:spacing w:line="200" w:lineRule="exact"/>
        <w:rPr>
          <w:color w:val="auto"/>
          <w:sz w:val="15"/>
          <w:szCs w:val="15"/>
        </w:rPr>
      </w:pPr>
      <w:r>
        <w:rPr>
          <w:color w:val="auto"/>
          <w:sz w:val="15"/>
          <w:szCs w:val="15"/>
        </w:rPr>
        <w:footnoteRef/>
      </w:r>
      <w:r>
        <w:rPr>
          <w:rFonts w:hint="eastAsia"/>
          <w:color w:val="auto"/>
          <w:sz w:val="15"/>
          <w:szCs w:val="15"/>
        </w:rPr>
        <w:t>如以联合体形式投标，联合体所有成员均应共同盖单位实体公章。</w:t>
      </w:r>
    </w:p>
  </w:footnote>
  <w:footnote w:id="52">
    <w:p>
      <w:pPr>
        <w:pStyle w:val="44"/>
        <w:spacing w:line="200" w:lineRule="exact"/>
        <w:rPr>
          <w:color w:val="auto"/>
        </w:rPr>
      </w:pPr>
      <w:r>
        <w:rPr>
          <w:color w:val="auto"/>
          <w:sz w:val="15"/>
          <w:szCs w:val="15"/>
        </w:rPr>
        <w:footnoteRef/>
      </w:r>
      <w:r>
        <w:rPr>
          <w:rFonts w:hint="eastAsia"/>
          <w:color w:val="auto"/>
          <w:sz w:val="15"/>
          <w:szCs w:val="15"/>
        </w:rPr>
        <w:t>如以联合体形式投标，联合体所有成员的法定代表人均应亲自签字。</w:t>
      </w:r>
    </w:p>
  </w:footnote>
  <w:footnote w:id="53">
    <w:p>
      <w:pPr>
        <w:spacing w:line="200" w:lineRule="exact"/>
        <w:jc w:val="left"/>
        <w:rPr>
          <w:color w:val="auto"/>
          <w:kern w:val="1"/>
          <w:sz w:val="15"/>
          <w:szCs w:val="15"/>
        </w:rPr>
      </w:pPr>
      <w:r>
        <w:rPr>
          <w:color w:val="auto"/>
          <w:kern w:val="1"/>
          <w:sz w:val="15"/>
          <w:szCs w:val="15"/>
        </w:rPr>
        <w:footnoteRef/>
      </w:r>
      <w:r>
        <w:rPr>
          <w:rFonts w:hint="eastAsia"/>
          <w:color w:val="auto"/>
          <w:kern w:val="1"/>
          <w:sz w:val="15"/>
          <w:szCs w:val="15"/>
        </w:rPr>
        <w:t>如以联合体形式投标，联合体所有成员均应共同盖单位公章。</w:t>
      </w:r>
    </w:p>
  </w:footnote>
  <w:footnote w:id="54">
    <w:p>
      <w:pPr>
        <w:spacing w:line="200" w:lineRule="exact"/>
        <w:jc w:val="left"/>
        <w:rPr>
          <w:color w:val="auto"/>
          <w:kern w:val="1"/>
          <w:sz w:val="15"/>
          <w:szCs w:val="15"/>
        </w:rPr>
      </w:pPr>
      <w:r>
        <w:rPr>
          <w:color w:val="auto"/>
          <w:kern w:val="1"/>
          <w:sz w:val="15"/>
          <w:szCs w:val="15"/>
        </w:rPr>
        <w:footnoteRef/>
      </w:r>
      <w:r>
        <w:rPr>
          <w:rFonts w:hint="eastAsia"/>
          <w:color w:val="auto"/>
          <w:kern w:val="1"/>
          <w:sz w:val="15"/>
          <w:szCs w:val="15"/>
        </w:rPr>
        <w:t>如以联合体形式投标，联合体所有成员的法定代表人均应共同盖章。</w:t>
      </w:r>
    </w:p>
  </w:footnote>
  <w:footnote w:id="55">
    <w:p>
      <w:pPr>
        <w:spacing w:line="200" w:lineRule="exact"/>
        <w:jc w:val="left"/>
        <w:rPr>
          <w:color w:val="auto"/>
          <w:kern w:val="1"/>
          <w:sz w:val="15"/>
          <w:szCs w:val="15"/>
        </w:rPr>
      </w:pPr>
      <w:r>
        <w:rPr>
          <w:color w:val="auto"/>
          <w:kern w:val="1"/>
          <w:sz w:val="15"/>
          <w:szCs w:val="15"/>
        </w:rPr>
        <w:footnoteRef/>
      </w:r>
      <w:r>
        <w:rPr>
          <w:rFonts w:hint="eastAsia"/>
          <w:color w:val="auto"/>
          <w:kern w:val="1"/>
          <w:sz w:val="15"/>
          <w:szCs w:val="15"/>
        </w:rPr>
        <w:t>联合体形式投标且存在委托代理人的，该委托代理人应为联合体所有成员的法定代表人共同委托的同一代理人。</w:t>
      </w:r>
      <w:r>
        <w:rPr>
          <w:color w:val="auto"/>
          <w:kern w:val="1"/>
          <w:sz w:val="15"/>
          <w:szCs w:val="15"/>
        </w:rPr>
        <w:t>委托代理人（签字）是指本委托书由委托代理人签字后，再进行扫描并上传。</w:t>
      </w:r>
    </w:p>
  </w:footnote>
  <w:footnote w:id="56">
    <w:p>
      <w:pPr>
        <w:spacing w:line="200" w:lineRule="exact"/>
        <w:jc w:val="left"/>
        <w:rPr>
          <w:color w:val="auto"/>
          <w:kern w:val="1"/>
          <w:sz w:val="15"/>
          <w:szCs w:val="15"/>
        </w:rPr>
      </w:pPr>
      <w:r>
        <w:rPr>
          <w:color w:val="auto"/>
          <w:kern w:val="1"/>
          <w:sz w:val="15"/>
          <w:szCs w:val="15"/>
        </w:rPr>
        <w:footnoteRef/>
      </w:r>
      <w:r>
        <w:rPr>
          <w:color w:val="auto"/>
          <w:kern w:val="1"/>
          <w:sz w:val="15"/>
          <w:szCs w:val="15"/>
        </w:rPr>
        <w:t>采用</w:t>
      </w:r>
      <w:r>
        <w:rPr>
          <w:rFonts w:hint="eastAsia"/>
          <w:color w:val="auto"/>
          <w:kern w:val="1"/>
          <w:sz w:val="15"/>
          <w:szCs w:val="15"/>
        </w:rPr>
        <w:t>投标</w:t>
      </w:r>
      <w:r>
        <w:rPr>
          <w:color w:val="auto"/>
          <w:kern w:val="1"/>
          <w:sz w:val="15"/>
          <w:szCs w:val="15"/>
        </w:rPr>
        <w:t>保函</w:t>
      </w:r>
      <w:r>
        <w:rPr>
          <w:rFonts w:hint="eastAsia"/>
          <w:color w:val="auto"/>
          <w:kern w:val="1"/>
          <w:sz w:val="15"/>
          <w:szCs w:val="15"/>
        </w:rPr>
        <w:t>（保证保险形式除外）</w:t>
      </w:r>
      <w:r>
        <w:rPr>
          <w:color w:val="auto"/>
          <w:kern w:val="1"/>
          <w:sz w:val="15"/>
          <w:szCs w:val="15"/>
        </w:rPr>
        <w:t>或</w:t>
      </w:r>
      <w:r>
        <w:rPr>
          <w:rFonts w:hint="eastAsia"/>
          <w:color w:val="auto"/>
          <w:kern w:val="1"/>
          <w:sz w:val="15"/>
          <w:szCs w:val="15"/>
        </w:rPr>
        <w:t>免缴投标保证金</w:t>
      </w:r>
      <w:r>
        <w:rPr>
          <w:color w:val="auto"/>
          <w:kern w:val="1"/>
          <w:sz w:val="15"/>
          <w:szCs w:val="15"/>
        </w:rPr>
        <w:t>的</w:t>
      </w:r>
      <w:r>
        <w:rPr>
          <w:rFonts w:hint="eastAsia"/>
          <w:color w:val="auto"/>
          <w:kern w:val="1"/>
          <w:sz w:val="15"/>
          <w:szCs w:val="15"/>
        </w:rPr>
        <w:t>，</w:t>
      </w:r>
      <w:r>
        <w:rPr>
          <w:color w:val="auto"/>
          <w:kern w:val="1"/>
          <w:sz w:val="15"/>
          <w:szCs w:val="15"/>
        </w:rPr>
        <w:t>有关格式见后页</w:t>
      </w:r>
      <w:r>
        <w:rPr>
          <w:rFonts w:hint="eastAsia"/>
          <w:color w:val="auto"/>
          <w:kern w:val="1"/>
          <w:sz w:val="15"/>
          <w:szCs w:val="15"/>
        </w:rPr>
        <w:t>。</w:t>
      </w:r>
    </w:p>
  </w:footnote>
  <w:footnote w:id="57">
    <w:p>
      <w:pPr>
        <w:pStyle w:val="44"/>
        <w:spacing w:line="200" w:lineRule="exact"/>
        <w:rPr>
          <w:color w:val="auto"/>
        </w:rPr>
      </w:pPr>
      <w:r>
        <w:rPr>
          <w:color w:val="auto"/>
          <w:sz w:val="15"/>
          <w:szCs w:val="15"/>
        </w:rPr>
        <w:footnoteRef/>
      </w:r>
      <w:r>
        <w:rPr>
          <w:rFonts w:hint="eastAsia"/>
          <w:color w:val="auto"/>
          <w:sz w:val="15"/>
          <w:szCs w:val="15"/>
        </w:rPr>
        <w:t>如以联合体形式投标，联合体所有成员均应共同盖单位公章。</w:t>
      </w:r>
    </w:p>
  </w:footnote>
  <w:footnote w:id="58">
    <w:p>
      <w:pPr>
        <w:spacing w:line="200" w:lineRule="exact"/>
        <w:jc w:val="left"/>
        <w:rPr>
          <w:rFonts w:hAnsi="Times New Roman"/>
          <w:bCs/>
          <w:color w:val="auto"/>
          <w:kern w:val="1"/>
          <w:sz w:val="15"/>
          <w:szCs w:val="15"/>
        </w:rPr>
      </w:pPr>
      <w:r>
        <w:rPr>
          <w:rFonts w:hAnsi="Times New Roman"/>
          <w:bCs/>
          <w:color w:val="auto"/>
          <w:kern w:val="1"/>
          <w:sz w:val="15"/>
          <w:szCs w:val="15"/>
        </w:rPr>
        <w:footnoteRef/>
      </w:r>
      <w:r>
        <w:rPr>
          <w:rFonts w:hAnsi="Times New Roman"/>
          <w:bCs/>
          <w:color w:val="auto"/>
          <w:kern w:val="1"/>
          <w:sz w:val="15"/>
          <w:szCs w:val="15"/>
        </w:rPr>
        <w:t xml:space="preserve"> </w:t>
      </w:r>
      <w:r>
        <w:rPr>
          <w:rFonts w:hint="eastAsia" w:hAnsi="Times New Roman"/>
          <w:bCs/>
          <w:color w:val="auto"/>
          <w:kern w:val="1"/>
          <w:sz w:val="15"/>
          <w:szCs w:val="15"/>
        </w:rPr>
        <w:t xml:space="preserve"> 1、每个拟分包企业均应分别填写本表。</w:t>
      </w:r>
    </w:p>
    <w:p>
      <w:pPr>
        <w:spacing w:line="200" w:lineRule="exact"/>
        <w:ind w:firstLine="300" w:firstLineChars="200"/>
        <w:jc w:val="left"/>
        <w:rPr>
          <w:rFonts w:hAnsi="Times New Roman"/>
          <w:bCs/>
          <w:color w:val="auto"/>
          <w:kern w:val="1"/>
          <w:sz w:val="15"/>
          <w:szCs w:val="15"/>
        </w:rPr>
      </w:pPr>
      <w:r>
        <w:rPr>
          <w:rFonts w:hint="eastAsia" w:hAnsi="Times New Roman"/>
          <w:bCs/>
          <w:color w:val="auto"/>
          <w:kern w:val="1"/>
          <w:sz w:val="15"/>
          <w:szCs w:val="15"/>
        </w:rPr>
        <w:t>2、拟分包工程仅限于承包人自行施工范围内的非主体、非关键工程。</w:t>
      </w:r>
    </w:p>
    <w:p>
      <w:pPr>
        <w:spacing w:line="200" w:lineRule="exact"/>
        <w:ind w:firstLine="300" w:firstLineChars="200"/>
        <w:jc w:val="left"/>
        <w:rPr>
          <w:rFonts w:ascii="Times New Roman" w:hAnsi="Times New Roman"/>
          <w:color w:val="auto"/>
          <w:kern w:val="1"/>
          <w:sz w:val="18"/>
          <w:szCs w:val="24"/>
        </w:rPr>
      </w:pPr>
      <w:r>
        <w:rPr>
          <w:rFonts w:hint="eastAsia" w:hAnsi="Times New Roman"/>
          <w:bCs/>
          <w:color w:val="auto"/>
          <w:kern w:val="1"/>
          <w:sz w:val="15"/>
          <w:szCs w:val="15"/>
        </w:rPr>
        <w:t>3、选择分包企业时，优先选择项目所在地具有相应经验的分包企业。</w:t>
      </w:r>
    </w:p>
  </w:footnote>
  <w:footnote w:id="59">
    <w:p>
      <w:pPr>
        <w:pStyle w:val="44"/>
        <w:spacing w:line="200" w:lineRule="exact"/>
        <w:rPr>
          <w:color w:val="auto"/>
        </w:rPr>
      </w:pPr>
      <w:r>
        <w:rPr>
          <w:color w:val="auto"/>
          <w:sz w:val="15"/>
          <w:szCs w:val="15"/>
        </w:rPr>
        <w:footnoteRef/>
      </w:r>
      <w:r>
        <w:rPr>
          <w:rFonts w:hint="eastAsia"/>
          <w:color w:val="auto"/>
          <w:sz w:val="15"/>
          <w:szCs w:val="15"/>
        </w:rPr>
        <w:t>投标人针对每一项信用子要素需分别单独编制情况表。</w:t>
      </w:r>
    </w:p>
  </w:footnote>
  <w:footnote w:id="60">
    <w:p>
      <w:pPr>
        <w:pStyle w:val="44"/>
        <w:spacing w:line="200" w:lineRule="exact"/>
        <w:rPr>
          <w:color w:val="auto"/>
          <w:sz w:val="15"/>
          <w:szCs w:val="15"/>
        </w:rPr>
      </w:pPr>
      <w:r>
        <w:rPr>
          <w:color w:val="auto"/>
          <w:sz w:val="15"/>
          <w:szCs w:val="15"/>
        </w:rPr>
        <w:footnoteRef/>
      </w:r>
      <w:r>
        <w:rPr>
          <w:color w:val="auto"/>
          <w:sz w:val="15"/>
          <w:szCs w:val="15"/>
        </w:rPr>
        <w:t>此处由</w:t>
      </w:r>
      <w:r>
        <w:rPr>
          <w:rFonts w:hint="eastAsia"/>
          <w:color w:val="auto"/>
          <w:sz w:val="15"/>
          <w:szCs w:val="15"/>
        </w:rPr>
        <w:t>投标</w:t>
      </w:r>
      <w:r>
        <w:rPr>
          <w:color w:val="auto"/>
          <w:sz w:val="15"/>
          <w:szCs w:val="15"/>
        </w:rPr>
        <w:t>人根据</w:t>
      </w:r>
      <w:r>
        <w:rPr>
          <w:rFonts w:hint="eastAsia"/>
          <w:color w:val="auto"/>
          <w:sz w:val="15"/>
          <w:szCs w:val="15"/>
        </w:rPr>
        <w:t>招标文件第四章定标办法规定的定标要素中的信用要素填入相应的子要素。</w:t>
      </w:r>
    </w:p>
  </w:footnote>
  <w:footnote w:id="61">
    <w:p>
      <w:pPr>
        <w:pStyle w:val="44"/>
        <w:rPr>
          <w:color w:val="auto"/>
        </w:rPr>
      </w:pPr>
      <w:r>
        <w:rPr>
          <w:color w:val="auto"/>
          <w:sz w:val="15"/>
          <w:szCs w:val="15"/>
        </w:rPr>
        <w:footnoteRef/>
      </w:r>
      <w:r>
        <w:rPr>
          <w:rFonts w:hint="eastAsia"/>
          <w:color w:val="auto"/>
          <w:sz w:val="15"/>
          <w:szCs w:val="15"/>
        </w:rPr>
        <w:t>投标人针对每一项子要素需分别单独编制情况表。</w:t>
      </w:r>
    </w:p>
  </w:footnote>
  <w:footnote w:id="62">
    <w:p>
      <w:pPr>
        <w:pStyle w:val="44"/>
        <w:spacing w:line="200" w:lineRule="exact"/>
        <w:rPr>
          <w:color w:val="auto"/>
          <w:sz w:val="15"/>
          <w:szCs w:val="15"/>
        </w:rPr>
      </w:pPr>
      <w:r>
        <w:rPr>
          <w:color w:val="auto"/>
          <w:sz w:val="15"/>
          <w:szCs w:val="15"/>
        </w:rPr>
        <w:footnoteRef/>
      </w:r>
      <w:r>
        <w:rPr>
          <w:color w:val="auto"/>
          <w:sz w:val="15"/>
          <w:szCs w:val="15"/>
        </w:rPr>
        <w:t>此处由</w:t>
      </w:r>
      <w:r>
        <w:rPr>
          <w:rFonts w:hint="eastAsia"/>
          <w:color w:val="auto"/>
          <w:sz w:val="15"/>
          <w:szCs w:val="15"/>
        </w:rPr>
        <w:t>投标</w:t>
      </w:r>
      <w:r>
        <w:rPr>
          <w:color w:val="auto"/>
          <w:sz w:val="15"/>
          <w:szCs w:val="15"/>
        </w:rPr>
        <w:t>人根据</w:t>
      </w:r>
      <w:r>
        <w:rPr>
          <w:rFonts w:hint="eastAsia"/>
          <w:color w:val="auto"/>
          <w:sz w:val="15"/>
          <w:szCs w:val="15"/>
        </w:rPr>
        <w:t>招标文件第四章定标办法规定的定标要素中的实力要素填入相应的子要素。</w:t>
      </w:r>
    </w:p>
  </w:footnote>
  <w:footnote w:id="63">
    <w:p>
      <w:pPr>
        <w:pStyle w:val="44"/>
        <w:spacing w:line="200" w:lineRule="exact"/>
        <w:rPr>
          <w:color w:val="auto"/>
          <w:sz w:val="15"/>
          <w:szCs w:val="15"/>
        </w:rPr>
      </w:pPr>
      <w:r>
        <w:rPr>
          <w:color w:val="auto"/>
          <w:sz w:val="15"/>
          <w:szCs w:val="15"/>
        </w:rPr>
        <w:footnoteRef/>
      </w:r>
      <w:r>
        <w:rPr>
          <w:color w:val="auto"/>
          <w:sz w:val="15"/>
          <w:szCs w:val="15"/>
        </w:rPr>
        <w:t xml:space="preserve"> </w:t>
      </w:r>
      <w:r>
        <w:rPr>
          <w:rFonts w:hint="eastAsia"/>
          <w:color w:val="auto"/>
          <w:sz w:val="15"/>
          <w:szCs w:val="15"/>
        </w:rPr>
        <w:t>投标人须知前附表规定了其他资料格式的，应在此处列编。除此之外，投标人可以根据需要自行列编其他内容。</w:t>
      </w:r>
    </w:p>
  </w:footnote>
  <w:footnote w:id="64">
    <w:p>
      <w:pPr>
        <w:spacing w:line="200" w:lineRule="exact"/>
        <w:jc w:val="left"/>
        <w:rPr>
          <w:color w:val="auto"/>
          <w:kern w:val="1"/>
          <w:sz w:val="15"/>
          <w:szCs w:val="15"/>
        </w:rPr>
      </w:pPr>
      <w:r>
        <w:rPr>
          <w:color w:val="auto"/>
          <w:kern w:val="1"/>
          <w:sz w:val="15"/>
          <w:szCs w:val="15"/>
        </w:rPr>
        <w:footnoteRef/>
      </w:r>
      <w:r>
        <w:rPr>
          <w:rFonts w:hint="eastAsia"/>
          <w:color w:val="auto"/>
          <w:kern w:val="1"/>
          <w:sz w:val="15"/>
          <w:szCs w:val="15"/>
        </w:rPr>
        <w:t>如以联合体形式投标，联合体所有成员均应共同盖单位公章。</w:t>
      </w:r>
    </w:p>
  </w:footnote>
  <w:footnote w:id="65">
    <w:p>
      <w:pPr>
        <w:spacing w:line="200" w:lineRule="exact"/>
        <w:jc w:val="left"/>
        <w:rPr>
          <w:rFonts w:ascii="Times New Roman" w:hAnsi="Times New Roman"/>
          <w:color w:val="auto"/>
          <w:kern w:val="1"/>
          <w:sz w:val="18"/>
          <w:szCs w:val="24"/>
        </w:rPr>
      </w:pPr>
      <w:r>
        <w:rPr>
          <w:color w:val="auto"/>
          <w:kern w:val="1"/>
          <w:sz w:val="15"/>
          <w:szCs w:val="15"/>
        </w:rPr>
        <w:footnoteRef/>
      </w:r>
      <w:r>
        <w:rPr>
          <w:rFonts w:hint="eastAsia"/>
          <w:color w:val="auto"/>
          <w:kern w:val="1"/>
          <w:sz w:val="15"/>
          <w:szCs w:val="15"/>
        </w:rPr>
        <w:t>授权委托代理人盖章的，该委托代理人应为联合体所有成员的法定代表人应共同委托的同一代理人，否则联合体所有成员的法定代表人应共同盖章。</w:t>
      </w:r>
    </w:p>
  </w:footnote>
  <w:footnote w:id="66">
    <w:p>
      <w:pPr>
        <w:spacing w:line="200" w:lineRule="exact"/>
        <w:jc w:val="left"/>
        <w:rPr>
          <w:color w:val="auto"/>
          <w:kern w:val="1"/>
          <w:sz w:val="15"/>
          <w:szCs w:val="15"/>
        </w:rPr>
      </w:pPr>
      <w:r>
        <w:rPr>
          <w:color w:val="auto"/>
          <w:kern w:val="1"/>
          <w:sz w:val="15"/>
          <w:szCs w:val="15"/>
        </w:rPr>
        <w:footnoteRef/>
      </w:r>
      <w:r>
        <w:rPr>
          <w:rFonts w:hint="eastAsia"/>
          <w:color w:val="auto"/>
          <w:kern w:val="1"/>
          <w:sz w:val="15"/>
          <w:szCs w:val="15"/>
        </w:rPr>
        <w:t>如以联合体形式投标，联合体所有成员均应共同盖单位公章。</w:t>
      </w:r>
    </w:p>
  </w:footnote>
  <w:footnote w:id="67">
    <w:p>
      <w:pPr>
        <w:spacing w:line="200" w:lineRule="exact"/>
        <w:jc w:val="left"/>
        <w:rPr>
          <w:rFonts w:ascii="Times New Roman" w:hAnsi="Times New Roman"/>
          <w:color w:val="auto"/>
          <w:kern w:val="1"/>
          <w:sz w:val="18"/>
          <w:szCs w:val="24"/>
        </w:rPr>
      </w:pPr>
      <w:r>
        <w:rPr>
          <w:color w:val="auto"/>
          <w:kern w:val="1"/>
          <w:sz w:val="15"/>
          <w:szCs w:val="15"/>
        </w:rPr>
        <w:footnoteRef/>
      </w:r>
      <w:r>
        <w:rPr>
          <w:rFonts w:hint="eastAsia"/>
          <w:color w:val="auto"/>
          <w:kern w:val="1"/>
          <w:sz w:val="15"/>
          <w:szCs w:val="15"/>
        </w:rPr>
        <w:t>授权委托代理人盖章的，该委托代理人应为联合体所有成员的法定代表人应共同委托的同一代理人，否则联合体所有成员的法定代表人应共同盖章。</w:t>
      </w:r>
    </w:p>
  </w:footnote>
  <w:footnote w:id="68">
    <w:p>
      <w:pPr>
        <w:adjustRightInd w:val="0"/>
        <w:spacing w:line="200" w:lineRule="exact"/>
        <w:textAlignment w:val="baseline"/>
        <w:rPr>
          <w:rFonts w:hAnsi="Times New Roman"/>
          <w:bCs/>
          <w:color w:val="auto"/>
          <w:sz w:val="15"/>
          <w:szCs w:val="15"/>
        </w:rPr>
      </w:pPr>
      <w:r>
        <w:rPr>
          <w:rFonts w:hAnsi="Times New Roman"/>
          <w:bCs/>
          <w:color w:val="auto"/>
          <w:sz w:val="15"/>
          <w:szCs w:val="15"/>
        </w:rPr>
        <w:footnoteRef/>
      </w:r>
      <w:r>
        <w:rPr>
          <w:rFonts w:hAnsi="Times New Roman"/>
          <w:bCs/>
          <w:color w:val="auto"/>
          <w:sz w:val="15"/>
          <w:szCs w:val="15"/>
        </w:rPr>
        <w:t xml:space="preserve"> </w:t>
      </w:r>
      <w:r>
        <w:rPr>
          <w:rFonts w:hint="eastAsia" w:hAnsi="Times New Roman"/>
          <w:bCs/>
          <w:color w:val="auto"/>
          <w:sz w:val="15"/>
          <w:szCs w:val="15"/>
        </w:rPr>
        <w:t xml:space="preserve"> 1.本表编制单位指投标人或其委托编制已标价工程量清单的工程造价咨询企业。</w:t>
      </w:r>
    </w:p>
    <w:p>
      <w:pPr>
        <w:adjustRightInd w:val="0"/>
        <w:spacing w:line="200" w:lineRule="exact"/>
        <w:ind w:firstLine="300" w:firstLineChars="200"/>
        <w:textAlignment w:val="baseline"/>
        <w:rPr>
          <w:rFonts w:hAnsi="Times New Roman"/>
          <w:bCs/>
          <w:color w:val="auto"/>
          <w:sz w:val="15"/>
          <w:szCs w:val="15"/>
        </w:rPr>
      </w:pPr>
      <w:r>
        <w:rPr>
          <w:rFonts w:hint="eastAsia" w:hAnsi="Times New Roman"/>
          <w:bCs/>
          <w:color w:val="auto"/>
          <w:sz w:val="15"/>
          <w:szCs w:val="15"/>
        </w:rPr>
        <w:t>2.本表应加盖编制单位公章、编制人签字、盖章后扫描上传。编制人签字、盖章是指投标人自行编制已标价工程量清单的，由编制人签字即可；若委托工程造价咨询企业造价人员编制的，需由负责审核的一级注册造价师签字并加盖其执业印章。</w:t>
      </w:r>
    </w:p>
    <w:p>
      <w:pPr>
        <w:adjustRightInd w:val="0"/>
        <w:spacing w:line="200" w:lineRule="exact"/>
        <w:ind w:firstLine="300" w:firstLineChars="200"/>
        <w:textAlignment w:val="baseline"/>
        <w:rPr>
          <w:rFonts w:hAnsi="Times New Roman"/>
          <w:bCs/>
          <w:color w:val="auto"/>
          <w:sz w:val="15"/>
          <w:szCs w:val="15"/>
        </w:rPr>
      </w:pPr>
      <w:r>
        <w:rPr>
          <w:rFonts w:hint="eastAsia" w:hAnsi="Times New Roman"/>
          <w:bCs/>
          <w:color w:val="auto"/>
          <w:sz w:val="15"/>
          <w:szCs w:val="15"/>
        </w:rPr>
        <w:t>3.编制人为投标人本单位造价人员的，还需提供该造价人员系投标人本单位在岗员工的证明材料扫描件（</w:t>
      </w:r>
      <w:r>
        <w:rPr>
          <w:rFonts w:hint="eastAsia" w:cs="宋体"/>
          <w:bCs/>
          <w:color w:val="auto"/>
          <w:sz w:val="15"/>
          <w:szCs w:val="15"/>
        </w:rPr>
        <w:t>以住房和城乡建设行政主管部门颁发的有效执业注册证书或</w:t>
      </w:r>
      <w:r>
        <w:rPr>
          <w:rFonts w:hint="eastAsia" w:cs="宋体"/>
          <w:bCs/>
          <w:color w:val="auto"/>
          <w:kern w:val="2"/>
          <w:sz w:val="15"/>
          <w:szCs w:val="15"/>
        </w:rPr>
        <w:t>社保管理部门出具的社保缴费证明所署单位为准</w:t>
      </w:r>
      <w:r>
        <w:rPr>
          <w:rFonts w:hint="eastAsia" w:hAnsi="Times New Roman"/>
          <w:bCs/>
          <w:color w:val="auto"/>
          <w:sz w:val="15"/>
          <w:szCs w:val="15"/>
        </w:rPr>
        <w:t>）。</w:t>
      </w:r>
    </w:p>
    <w:p>
      <w:pPr>
        <w:autoSpaceDE w:val="0"/>
        <w:autoSpaceDN w:val="0"/>
        <w:adjustRightInd w:val="0"/>
        <w:spacing w:line="200" w:lineRule="exact"/>
        <w:ind w:firstLine="300" w:firstLineChars="200"/>
        <w:jc w:val="left"/>
        <w:rPr>
          <w:rFonts w:hAnsi="Times New Roman"/>
          <w:color w:val="auto"/>
          <w:sz w:val="15"/>
          <w:szCs w:val="15"/>
        </w:rPr>
      </w:pPr>
      <w:r>
        <w:rPr>
          <w:rFonts w:hint="eastAsia" w:hAnsi="Times New Roman"/>
          <w:bCs/>
          <w:color w:val="auto"/>
          <w:sz w:val="15"/>
          <w:szCs w:val="15"/>
        </w:rPr>
        <w:t>4.若委托工程造价咨询企业编制的，还应提供加盖双方单位公章的委托书扫描件。</w:t>
      </w:r>
    </w:p>
    <w:p>
      <w:pPr>
        <w:pStyle w:val="44"/>
        <w:rPr>
          <w:color w:val="auto"/>
        </w:rPr>
      </w:pPr>
    </w:p>
  </w:footnote>
  <w:footnote w:id="69">
    <w:p>
      <w:pPr>
        <w:pStyle w:val="44"/>
        <w:spacing w:line="200" w:lineRule="exact"/>
        <w:rPr>
          <w:rFonts w:ascii="宋体"/>
          <w:bCs/>
          <w:color w:val="auto"/>
          <w:kern w:val="0"/>
          <w:sz w:val="15"/>
          <w:szCs w:val="15"/>
        </w:rPr>
      </w:pPr>
      <w:r>
        <w:rPr>
          <w:rFonts w:ascii="宋体"/>
          <w:bCs/>
          <w:color w:val="auto"/>
          <w:kern w:val="0"/>
          <w:sz w:val="15"/>
          <w:szCs w:val="15"/>
        </w:rPr>
        <w:footnoteRef/>
      </w:r>
      <w:r>
        <w:rPr>
          <w:rFonts w:ascii="宋体"/>
          <w:bCs/>
          <w:color w:val="auto"/>
          <w:kern w:val="0"/>
          <w:sz w:val="15"/>
          <w:szCs w:val="15"/>
        </w:rPr>
        <w:t xml:space="preserve">  1.</w:t>
      </w:r>
      <w:r>
        <w:rPr>
          <w:rFonts w:hint="eastAsia" w:ascii="宋体"/>
          <w:bCs/>
          <w:color w:val="auto"/>
          <w:kern w:val="0"/>
          <w:sz w:val="15"/>
          <w:szCs w:val="15"/>
        </w:rPr>
        <w:t>已标价工程量清单格式应采用《建设工程工程量清单计价规范》及福建省和厦门市规定的格式。</w:t>
      </w:r>
    </w:p>
    <w:p>
      <w:pPr>
        <w:pStyle w:val="44"/>
        <w:spacing w:line="200" w:lineRule="exact"/>
        <w:ind w:firstLine="300" w:firstLineChars="200"/>
        <w:rPr>
          <w:rFonts w:ascii="宋体"/>
          <w:bCs/>
          <w:color w:val="auto"/>
          <w:kern w:val="0"/>
          <w:sz w:val="15"/>
          <w:szCs w:val="15"/>
        </w:rPr>
      </w:pPr>
      <w:r>
        <w:rPr>
          <w:rFonts w:hint="eastAsia" w:ascii="宋体"/>
          <w:bCs/>
          <w:color w:val="auto"/>
          <w:kern w:val="0"/>
          <w:sz w:val="15"/>
          <w:szCs w:val="15"/>
        </w:rPr>
        <w:t>2</w:t>
      </w:r>
      <w:r>
        <w:rPr>
          <w:rFonts w:ascii="宋体"/>
          <w:bCs/>
          <w:color w:val="auto"/>
          <w:kern w:val="0"/>
          <w:sz w:val="15"/>
          <w:szCs w:val="15"/>
        </w:rPr>
        <w:t>.</w:t>
      </w:r>
      <w:r>
        <w:rPr>
          <w:rFonts w:hint="eastAsia" w:ascii="宋体"/>
          <w:bCs/>
          <w:color w:val="auto"/>
          <w:kern w:val="0"/>
          <w:sz w:val="15"/>
          <w:szCs w:val="15"/>
        </w:rPr>
        <w:t>是否需要另外提交XML电子文档，见投标人须知前附表。</w:t>
      </w:r>
    </w:p>
  </w:footnote>
  <w:footnote w:id="70">
    <w:p>
      <w:pPr>
        <w:pStyle w:val="44"/>
        <w:spacing w:line="200" w:lineRule="exact"/>
        <w:rPr>
          <w:color w:val="auto"/>
        </w:rPr>
      </w:pPr>
      <w:r>
        <w:rPr>
          <w:color w:val="auto"/>
          <w:sz w:val="15"/>
          <w:szCs w:val="15"/>
        </w:rPr>
        <w:footnoteRef/>
      </w:r>
      <w:r>
        <w:rPr>
          <w:rFonts w:hint="eastAsia"/>
          <w:color w:val="auto"/>
          <w:sz w:val="15"/>
          <w:szCs w:val="15"/>
        </w:rPr>
        <w:t>投标人须知前附表规定了其他资料格式的，应在此处列编。除此之外，投标人可以根据需要自行列编其他内容。</w:t>
      </w:r>
    </w:p>
  </w:footnote>
  <w:footnote w:id="71">
    <w:p>
      <w:pPr>
        <w:tabs>
          <w:tab w:val="left" w:pos="0"/>
          <w:tab w:val="left" w:pos="567"/>
          <w:tab w:val="left" w:pos="993"/>
          <w:tab w:val="left" w:pos="1134"/>
        </w:tabs>
        <w:adjustRightInd w:val="0"/>
        <w:snapToGrid w:val="0"/>
        <w:spacing w:line="200" w:lineRule="exact"/>
        <w:textAlignment w:val="baseline"/>
        <w:rPr>
          <w:bCs/>
          <w:color w:val="auto"/>
          <w:sz w:val="15"/>
          <w:szCs w:val="15"/>
        </w:rPr>
      </w:pPr>
      <w:r>
        <w:rPr>
          <w:bCs/>
          <w:color w:val="auto"/>
          <w:sz w:val="15"/>
          <w:szCs w:val="15"/>
        </w:rPr>
        <w:footnoteRef/>
      </w:r>
      <w:r>
        <w:rPr>
          <w:rFonts w:hint="eastAsia"/>
          <w:bCs/>
          <w:color w:val="auto"/>
          <w:sz w:val="15"/>
          <w:szCs w:val="15"/>
        </w:rPr>
        <w:t>1、技术文件应根据本招标文件第三章“评标办法”的前附表中“技术文件详细评审”提出的专项技术方案进行编制。</w:t>
      </w:r>
    </w:p>
    <w:p>
      <w:pPr>
        <w:tabs>
          <w:tab w:val="left" w:pos="0"/>
          <w:tab w:val="left" w:pos="567"/>
          <w:tab w:val="left" w:pos="993"/>
          <w:tab w:val="left" w:pos="1134"/>
        </w:tabs>
        <w:adjustRightInd w:val="0"/>
        <w:snapToGrid w:val="0"/>
        <w:spacing w:line="200" w:lineRule="exact"/>
        <w:ind w:firstLine="150" w:firstLineChars="100"/>
        <w:textAlignment w:val="baseline"/>
        <w:rPr>
          <w:bCs/>
          <w:color w:val="auto"/>
          <w:sz w:val="15"/>
          <w:szCs w:val="15"/>
        </w:rPr>
      </w:pPr>
      <w:r>
        <w:rPr>
          <w:rFonts w:hint="eastAsia"/>
          <w:bCs/>
          <w:color w:val="auto"/>
          <w:sz w:val="15"/>
          <w:szCs w:val="15"/>
        </w:rPr>
        <w:t>2、</w:t>
      </w:r>
      <w:r>
        <w:rPr>
          <w:bCs/>
          <w:color w:val="auto"/>
          <w:sz w:val="15"/>
          <w:szCs w:val="15"/>
        </w:rPr>
        <w:t>技术文件不得存在体现投标人的名称及其他可识别投标人身份的字符、徽标、人员名称以及其他特殊标记等信息。</w:t>
      </w:r>
    </w:p>
    <w:p>
      <w:pPr>
        <w:tabs>
          <w:tab w:val="left" w:pos="0"/>
          <w:tab w:val="left" w:pos="567"/>
          <w:tab w:val="left" w:pos="993"/>
          <w:tab w:val="left" w:pos="1134"/>
        </w:tabs>
        <w:adjustRightInd w:val="0"/>
        <w:snapToGrid w:val="0"/>
        <w:spacing w:line="200" w:lineRule="exact"/>
        <w:ind w:firstLine="150" w:firstLineChars="100"/>
        <w:textAlignment w:val="baseline"/>
        <w:rPr>
          <w:bCs/>
          <w:color w:val="auto"/>
          <w:sz w:val="15"/>
          <w:szCs w:val="15"/>
        </w:rPr>
      </w:pPr>
      <w:r>
        <w:rPr>
          <w:rFonts w:hint="eastAsia"/>
          <w:bCs/>
          <w:color w:val="auto"/>
          <w:sz w:val="15"/>
          <w:szCs w:val="15"/>
        </w:rPr>
        <w:t>3、技术文件页数原则上不超过200页。</w:t>
      </w:r>
    </w:p>
    <w:p>
      <w:pPr>
        <w:spacing w:line="312" w:lineRule="atLeast"/>
        <w:jc w:val="left"/>
        <w:rPr>
          <w:rFonts w:ascii="Times New Roman" w:hAnsi="Times New Roman"/>
          <w:color w:val="auto"/>
          <w:kern w:val="1"/>
          <w:sz w:val="18"/>
          <w:szCs w:val="24"/>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9"/>
      <w:jc w:val="left"/>
      <w:rPr>
        <w:u w:val="single"/>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9"/>
      <w:tabs>
        <w:tab w:val="right" w:pos="8306"/>
        <w:tab w:val="clear" w:pos="8305"/>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3F783A"/>
    <w:multiLevelType w:val="singleLevel"/>
    <w:tmpl w:val="A63F783A"/>
    <w:lvl w:ilvl="0" w:tentative="0">
      <w:start w:val="2"/>
      <w:numFmt w:val="decimal"/>
      <w:suff w:val="nothing"/>
      <w:lvlText w:val="（%1）"/>
      <w:lvlJc w:val="left"/>
    </w:lvl>
  </w:abstractNum>
  <w:abstractNum w:abstractNumId="1">
    <w:nsid w:val="E009AF36"/>
    <w:multiLevelType w:val="singleLevel"/>
    <w:tmpl w:val="E009AF36"/>
    <w:lvl w:ilvl="0" w:tentative="0">
      <w:start w:val="2"/>
      <w:numFmt w:val="decimal"/>
      <w:suff w:val="nothing"/>
      <w:lvlText w:val="（%1）"/>
      <w:lvlJc w:val="left"/>
    </w:lvl>
  </w:abstractNum>
  <w:abstractNum w:abstractNumId="2">
    <w:nsid w:val="E462C02E"/>
    <w:multiLevelType w:val="singleLevel"/>
    <w:tmpl w:val="E462C02E"/>
    <w:lvl w:ilvl="0" w:tentative="0">
      <w:start w:val="3"/>
      <w:numFmt w:val="decimal"/>
      <w:lvlText w:val="%1."/>
      <w:lvlJc w:val="left"/>
      <w:pPr>
        <w:tabs>
          <w:tab w:val="left" w:pos="312"/>
        </w:tabs>
      </w:pPr>
    </w:lvl>
  </w:abstractNum>
  <w:abstractNum w:abstractNumId="3">
    <w:nsid w:val="00000003"/>
    <w:multiLevelType w:val="multilevel"/>
    <w:tmpl w:val="00000003"/>
    <w:lvl w:ilvl="0" w:tentative="0">
      <w:start w:val="1"/>
      <w:numFmt w:val="decimal"/>
      <w:pStyle w:val="391"/>
      <w:suff w:val="nothing"/>
      <w:lvlText w:val="%1."/>
      <w:lvlJc w:val="left"/>
      <w:pPr>
        <w:ind w:left="0" w:firstLine="0"/>
      </w:pPr>
      <w:rPr>
        <w:rFonts w:hint="eastAsia"/>
      </w:rPr>
    </w:lvl>
    <w:lvl w:ilvl="1" w:tentative="0">
      <w:start w:val="1"/>
      <w:numFmt w:val="upperLetter"/>
      <w:lvlText w:val="%2．"/>
      <w:lvlJc w:val="left"/>
      <w:pPr>
        <w:ind w:left="0" w:firstLine="0"/>
      </w:pPr>
      <w:rPr>
        <w:rFonts w:hint="eastAsia"/>
      </w:rPr>
    </w:lvl>
    <w:lvl w:ilvl="2" w:tentative="0">
      <w:start w:val="1"/>
      <w:numFmt w:val="decimal"/>
      <w:lvlText w:val="%3．"/>
      <w:lvlJc w:val="left"/>
      <w:pPr>
        <w:ind w:left="0" w:firstLine="0"/>
      </w:pPr>
      <w:rPr>
        <w:rFonts w:hint="eastAsia"/>
      </w:rPr>
    </w:lvl>
    <w:lvl w:ilvl="3" w:tentative="0">
      <w:start w:val="2"/>
      <w:numFmt w:val="japaneseCounting"/>
      <w:lvlText w:val="（%4）"/>
      <w:lvlJc w:val="left"/>
      <w:pPr>
        <w:ind w:left="0" w:firstLine="0"/>
      </w:pPr>
      <w:rPr>
        <w:rFonts w:hint="eastAsia"/>
      </w:rPr>
    </w:lvl>
    <w:lvl w:ilvl="4" w:tentative="0">
      <w:start w:val="1"/>
      <w:numFmt w:val="lowerLetter"/>
      <w:lvlText w:val="%5"/>
      <w:lvlJc w:val="left"/>
      <w:pPr>
        <w:ind w:left="0" w:firstLine="0"/>
      </w:pPr>
      <w:rPr>
        <w:rFonts w:hint="eastAsia"/>
      </w:rPr>
    </w:lvl>
    <w:lvl w:ilvl="5" w:tentative="0">
      <w:start w:val="1"/>
      <w:numFmt w:val="lowerRoman"/>
      <w:lvlText w:val="%6."/>
      <w:lvlJc w:val="left"/>
      <w:pPr>
        <w:ind w:left="0" w:firstLine="0"/>
      </w:pPr>
      <w:rPr>
        <w:rFonts w:hint="eastAsia"/>
      </w:rPr>
    </w:lvl>
    <w:lvl w:ilvl="6" w:tentative="0">
      <w:start w:val="1"/>
      <w:numFmt w:val="decimal"/>
      <w:lvlText w:val="%7."/>
      <w:lvlJc w:val="left"/>
      <w:pPr>
        <w:ind w:left="0" w:firstLine="0"/>
      </w:pPr>
      <w:rPr>
        <w:rFonts w:hint="eastAsia"/>
      </w:rPr>
    </w:lvl>
    <w:lvl w:ilvl="7" w:tentative="0">
      <w:start w:val="1"/>
      <w:numFmt w:val="lowerLetter"/>
      <w:lvlText w:val="%8)"/>
      <w:lvlJc w:val="left"/>
      <w:pPr>
        <w:ind w:left="0" w:firstLine="0"/>
      </w:pPr>
      <w:rPr>
        <w:rFonts w:hint="eastAsia"/>
      </w:rPr>
    </w:lvl>
    <w:lvl w:ilvl="8" w:tentative="0">
      <w:start w:val="1"/>
      <w:numFmt w:val="lowerRoman"/>
      <w:lvlText w:val="%9."/>
      <w:lvlJc w:val="left"/>
      <w:pPr>
        <w:ind w:left="0" w:firstLine="0"/>
      </w:pPr>
      <w:rPr>
        <w:rFonts w:hint="eastAsia"/>
      </w:rPr>
    </w:lvl>
  </w:abstractNum>
  <w:abstractNum w:abstractNumId="4">
    <w:nsid w:val="00000004"/>
    <w:multiLevelType w:val="singleLevel"/>
    <w:tmpl w:val="00000004"/>
    <w:lvl w:ilvl="0" w:tentative="0">
      <w:start w:val="2"/>
      <w:numFmt w:val="chineseCounting"/>
      <w:pStyle w:val="375"/>
      <w:suff w:val="space"/>
      <w:lvlText w:val="第%1节"/>
      <w:lvlJc w:val="left"/>
    </w:lvl>
  </w:abstractNum>
  <w:abstractNum w:abstractNumId="5">
    <w:nsid w:val="00000006"/>
    <w:multiLevelType w:val="multilevel"/>
    <w:tmpl w:val="00000006"/>
    <w:lvl w:ilvl="0" w:tentative="0">
      <w:start w:val="1"/>
      <w:numFmt w:val="decimal"/>
      <w:pStyle w:val="331"/>
      <w:suff w:val="nothing"/>
      <w:lvlText w:val="%1."/>
      <w:lvlJc w:val="left"/>
      <w:pPr>
        <w:ind w:left="0" w:firstLine="0"/>
      </w:pPr>
      <w:rPr>
        <w:rFonts w:hint="eastAsia"/>
      </w:rPr>
    </w:lvl>
    <w:lvl w:ilvl="1" w:tentative="0">
      <w:start w:val="2"/>
      <w:numFmt w:val="japaneseCounting"/>
      <w:lvlText w:val="%2、"/>
      <w:lvlJc w:val="left"/>
      <w:pPr>
        <w:ind w:left="0" w:firstLine="0"/>
      </w:pPr>
      <w:rPr>
        <w:rFonts w:hint="eastAsia"/>
      </w:rPr>
    </w:lvl>
    <w:lvl w:ilvl="2" w:tentative="0">
      <w:start w:val="1"/>
      <w:numFmt w:val="lowerRoman"/>
      <w:lvlText w:val="%3."/>
      <w:lvlJc w:val="left"/>
      <w:pPr>
        <w:ind w:left="0" w:firstLine="0"/>
      </w:pPr>
      <w:rPr>
        <w:rFonts w:hint="eastAsia"/>
      </w:rPr>
    </w:lvl>
    <w:lvl w:ilvl="3" w:tentative="0">
      <w:start w:val="1"/>
      <w:numFmt w:val="decimal"/>
      <w:lvlText w:val="%4."/>
      <w:lvlJc w:val="left"/>
      <w:pPr>
        <w:ind w:left="0" w:firstLine="0"/>
      </w:pPr>
      <w:rPr>
        <w:rFonts w:hint="eastAsia"/>
      </w:rPr>
    </w:lvl>
    <w:lvl w:ilvl="4" w:tentative="0">
      <w:start w:val="1"/>
      <w:numFmt w:val="lowerLetter"/>
      <w:lvlText w:val="%5)"/>
      <w:lvlJc w:val="left"/>
      <w:pPr>
        <w:ind w:left="0" w:firstLine="0"/>
      </w:pPr>
      <w:rPr>
        <w:rFonts w:hint="eastAsia"/>
      </w:rPr>
    </w:lvl>
    <w:lvl w:ilvl="5" w:tentative="0">
      <w:start w:val="1"/>
      <w:numFmt w:val="lowerRoman"/>
      <w:lvlText w:val="%6."/>
      <w:lvlJc w:val="left"/>
      <w:pPr>
        <w:ind w:left="0" w:firstLine="0"/>
      </w:pPr>
      <w:rPr>
        <w:rFonts w:hint="eastAsia"/>
      </w:rPr>
    </w:lvl>
    <w:lvl w:ilvl="6" w:tentative="0">
      <w:start w:val="1"/>
      <w:numFmt w:val="decimal"/>
      <w:lvlText w:val="%7."/>
      <w:lvlJc w:val="left"/>
      <w:pPr>
        <w:ind w:left="0" w:firstLine="0"/>
      </w:pPr>
      <w:rPr>
        <w:rFonts w:hint="eastAsia"/>
      </w:rPr>
    </w:lvl>
    <w:lvl w:ilvl="7" w:tentative="0">
      <w:start w:val="1"/>
      <w:numFmt w:val="lowerLetter"/>
      <w:lvlText w:val="%8)"/>
      <w:lvlJc w:val="left"/>
      <w:pPr>
        <w:ind w:left="0" w:firstLine="0"/>
      </w:pPr>
      <w:rPr>
        <w:rFonts w:hint="eastAsia"/>
      </w:rPr>
    </w:lvl>
    <w:lvl w:ilvl="8" w:tentative="0">
      <w:start w:val="1"/>
      <w:numFmt w:val="lowerRoman"/>
      <w:lvlText w:val="%9."/>
      <w:lvlJc w:val="left"/>
      <w:pPr>
        <w:ind w:left="0" w:firstLine="0"/>
      </w:pPr>
      <w:rPr>
        <w:rFonts w:hint="eastAsia"/>
      </w:rPr>
    </w:lvl>
  </w:abstractNum>
  <w:abstractNum w:abstractNumId="6">
    <w:nsid w:val="0000000A"/>
    <w:multiLevelType w:val="multilevel"/>
    <w:tmpl w:val="0000000A"/>
    <w:lvl w:ilvl="0" w:tentative="0">
      <w:start w:val="1"/>
      <w:numFmt w:val="bullet"/>
      <w:pStyle w:val="567"/>
      <w:lvlText w:val="■"/>
      <w:lvlJc w:val="left"/>
      <w:rPr>
        <w:rFonts w:ascii="Arial" w:hAnsi="Arial"/>
        <w:b/>
        <w:i w:val="0"/>
        <w:color w:val="0087E2"/>
        <w:sz w:val="28"/>
      </w:rPr>
    </w:lvl>
    <w:lvl w:ilvl="1" w:tentative="0">
      <w:start w:val="1"/>
      <w:numFmt w:val="bullet"/>
      <w:lvlText w:val=""/>
      <w:lvlJc w:val="left"/>
      <w:rPr>
        <w:rFonts w:ascii="Wingdings" w:hAnsi="Wingdings"/>
      </w:rPr>
    </w:lvl>
    <w:lvl w:ilvl="2" w:tentative="0">
      <w:start w:val="1"/>
      <w:numFmt w:val="bullet"/>
      <w:lvlText w:val=""/>
      <w:lvlJc w:val="left"/>
      <w:rPr>
        <w:rFonts w:ascii="Wingdings" w:hAnsi="Wingdings"/>
      </w:rPr>
    </w:lvl>
    <w:lvl w:ilvl="3" w:tentative="0">
      <w:start w:val="1"/>
      <w:numFmt w:val="bullet"/>
      <w:lvlText w:val=""/>
      <w:lvlJc w:val="left"/>
      <w:rPr>
        <w:rFonts w:ascii="Wingdings" w:hAnsi="Wingdings"/>
      </w:rPr>
    </w:lvl>
    <w:lvl w:ilvl="4" w:tentative="0">
      <w:start w:val="1"/>
      <w:numFmt w:val="bullet"/>
      <w:lvlText w:val=""/>
      <w:lvlJc w:val="left"/>
      <w:rPr>
        <w:rFonts w:ascii="Wingdings" w:hAnsi="Wingdings"/>
      </w:rPr>
    </w:lvl>
    <w:lvl w:ilvl="5" w:tentative="0">
      <w:start w:val="1"/>
      <w:numFmt w:val="bullet"/>
      <w:lvlText w:val=""/>
      <w:lvlJc w:val="left"/>
      <w:rPr>
        <w:rFonts w:ascii="Wingdings" w:hAnsi="Wingdings"/>
      </w:rPr>
    </w:lvl>
    <w:lvl w:ilvl="6" w:tentative="0">
      <w:start w:val="1"/>
      <w:numFmt w:val="bullet"/>
      <w:lvlText w:val=""/>
      <w:lvlJc w:val="left"/>
      <w:rPr>
        <w:rFonts w:ascii="Wingdings" w:hAnsi="Wingdings"/>
      </w:rPr>
    </w:lvl>
    <w:lvl w:ilvl="7" w:tentative="0">
      <w:start w:val="1"/>
      <w:numFmt w:val="bullet"/>
      <w:lvlText w:val=""/>
      <w:lvlJc w:val="left"/>
      <w:rPr>
        <w:rFonts w:ascii="Wingdings" w:hAnsi="Wingdings"/>
      </w:rPr>
    </w:lvl>
    <w:lvl w:ilvl="8" w:tentative="0">
      <w:start w:val="1"/>
      <w:numFmt w:val="bullet"/>
      <w:lvlText w:val=""/>
      <w:lvlJc w:val="left"/>
      <w:rPr>
        <w:rFonts w:ascii="Wingdings" w:hAnsi="Wingdings"/>
      </w:rPr>
    </w:lvl>
  </w:abstractNum>
  <w:abstractNum w:abstractNumId="7">
    <w:nsid w:val="0000000D"/>
    <w:multiLevelType w:val="multilevel"/>
    <w:tmpl w:val="0000000D"/>
    <w:lvl w:ilvl="0" w:tentative="0">
      <w:start w:val="1"/>
      <w:numFmt w:val="decimal"/>
      <w:pStyle w:val="464"/>
      <w:lvlText w:val="(%1)"/>
      <w:lvlJc w:val="left"/>
    </w:lvl>
    <w:lvl w:ilvl="1" w:tentative="0">
      <w:start w:val="1"/>
      <w:numFmt w:val="decimal"/>
      <w:lvlText w:val="(%2)"/>
      <w:lvlJc w:val="left"/>
    </w:lvl>
    <w:lvl w:ilvl="2" w:tentative="0">
      <w:start w:val="1"/>
      <w:numFmt w:val="lowerRoman"/>
      <w:lvlText w:val="%3."/>
      <w:lvlJc w:val="left"/>
    </w:lvl>
    <w:lvl w:ilvl="3" w:tentative="0">
      <w:start w:val="1"/>
      <w:numFmt w:val="decimal"/>
      <w:lvlText w:val="%4."/>
      <w:lvlJc w:val="left"/>
    </w:lvl>
    <w:lvl w:ilvl="4" w:tentative="0">
      <w:start w:val="1"/>
      <w:numFmt w:val="lowerLetter"/>
      <w:lvlText w:val="%5)"/>
      <w:lvlJc w:val="left"/>
    </w:lvl>
    <w:lvl w:ilvl="5" w:tentative="0">
      <w:start w:val="1"/>
      <w:numFmt w:val="lowerRoman"/>
      <w:lvlText w:val="%6."/>
      <w:lvlJc w:val="left"/>
    </w:lvl>
    <w:lvl w:ilvl="6" w:tentative="0">
      <w:start w:val="1"/>
      <w:numFmt w:val="decimal"/>
      <w:lvlText w:val="%7."/>
      <w:lvlJc w:val="left"/>
    </w:lvl>
    <w:lvl w:ilvl="7" w:tentative="0">
      <w:start w:val="1"/>
      <w:numFmt w:val="lowerLetter"/>
      <w:lvlText w:val="%8)"/>
      <w:lvlJc w:val="left"/>
    </w:lvl>
    <w:lvl w:ilvl="8" w:tentative="0">
      <w:start w:val="1"/>
      <w:numFmt w:val="lowerRoman"/>
      <w:lvlText w:val="%9."/>
      <w:lvlJc w:val="left"/>
    </w:lvl>
  </w:abstractNum>
  <w:abstractNum w:abstractNumId="8">
    <w:nsid w:val="00000012"/>
    <w:multiLevelType w:val="singleLevel"/>
    <w:tmpl w:val="00000012"/>
    <w:lvl w:ilvl="0" w:tentative="0">
      <w:start w:val="15"/>
      <w:numFmt w:val="decimal"/>
      <w:pStyle w:val="457"/>
      <w:suff w:val="nothing"/>
      <w:lvlText w:val="%1."/>
      <w:lvlJc w:val="left"/>
    </w:lvl>
  </w:abstractNum>
  <w:abstractNum w:abstractNumId="9">
    <w:nsid w:val="00000013"/>
    <w:multiLevelType w:val="multilevel"/>
    <w:tmpl w:val="00000013"/>
    <w:lvl w:ilvl="0" w:tentative="0">
      <w:start w:val="1"/>
      <w:numFmt w:val="none"/>
      <w:pStyle w:val="370"/>
      <w:lvlText w:val=""/>
      <w:lvlJc w:val="left"/>
    </w:lvl>
    <w:lvl w:ilvl="1" w:tentative="0">
      <w:start w:val="1"/>
      <w:numFmt w:val="none"/>
      <w:lvlText w:val=" "/>
      <w:lvlJc w:val="left"/>
    </w:lvl>
    <w:lvl w:ilvl="2" w:tentative="0">
      <w:start w:val="1"/>
      <w:numFmt w:val="none"/>
      <w:pStyle w:val="340"/>
      <w:lvlText w:val=""/>
      <w:lvlJc w:val="left"/>
    </w:lvl>
    <w:lvl w:ilvl="3" w:tentative="0">
      <w:start w:val="1"/>
      <w:numFmt w:val="none"/>
      <w:lvlText w:val="    "/>
      <w:lvlJc w:val="left"/>
    </w:lvl>
    <w:lvl w:ilvl="4" w:tentative="0">
      <w:start w:val="1"/>
      <w:numFmt w:val="none"/>
      <w:lvlText w:val="      "/>
      <w:lvlJc w:val="left"/>
    </w:lvl>
    <w:lvl w:ilvl="5" w:tentative="0">
      <w:start w:val="1"/>
      <w:numFmt w:val="none"/>
      <w:lvlText w:val="           "/>
      <w:lvlJc w:val="left"/>
    </w:lvl>
    <w:lvl w:ilvl="6" w:tentative="0">
      <w:start w:val="1"/>
      <w:numFmt w:val="decimal"/>
      <w:lvlText w:val="%1.%2.%3.%4.%5.%6.%7"/>
      <w:lvlJc w:val="left"/>
    </w:lvl>
    <w:lvl w:ilvl="7" w:tentative="0">
      <w:start w:val="1"/>
      <w:numFmt w:val="decimal"/>
      <w:lvlText w:val="%1.%2.%3.%4.%5.%6.%7.%8"/>
      <w:lvlJc w:val="left"/>
    </w:lvl>
    <w:lvl w:ilvl="8" w:tentative="0">
      <w:start w:val="1"/>
      <w:numFmt w:val="decimal"/>
      <w:lvlText w:val="%1.%2.%3.%4.%5.%6.%7.%8.%9"/>
      <w:lvlJc w:val="left"/>
    </w:lvl>
  </w:abstractNum>
  <w:abstractNum w:abstractNumId="10">
    <w:nsid w:val="00000014"/>
    <w:multiLevelType w:val="multilevel"/>
    <w:tmpl w:val="00000014"/>
    <w:lvl w:ilvl="0" w:tentative="0">
      <w:start w:val="1"/>
      <w:numFmt w:val="japaneseCounting"/>
      <w:pStyle w:val="483"/>
      <w:lvlText w:val="%1、"/>
      <w:lvlJc w:val="left"/>
    </w:lvl>
    <w:lvl w:ilvl="1" w:tentative="0">
      <w:start w:val="1"/>
      <w:numFmt w:val="lowerLetter"/>
      <w:lvlText w:val="%2)"/>
      <w:lvlJc w:val="left"/>
    </w:lvl>
    <w:lvl w:ilvl="2" w:tentative="0">
      <w:start w:val="1"/>
      <w:numFmt w:val="lowerRoman"/>
      <w:lvlText w:val="%3."/>
      <w:lvlJc w:val="left"/>
    </w:lvl>
    <w:lvl w:ilvl="3" w:tentative="0">
      <w:start w:val="1"/>
      <w:numFmt w:val="decimal"/>
      <w:lvlText w:val="%4."/>
      <w:lvlJc w:val="left"/>
    </w:lvl>
    <w:lvl w:ilvl="4" w:tentative="0">
      <w:start w:val="1"/>
      <w:numFmt w:val="lowerLetter"/>
      <w:lvlText w:val="%5)"/>
      <w:lvlJc w:val="left"/>
    </w:lvl>
    <w:lvl w:ilvl="5" w:tentative="0">
      <w:start w:val="1"/>
      <w:numFmt w:val="lowerRoman"/>
      <w:lvlText w:val="%6."/>
      <w:lvlJc w:val="left"/>
    </w:lvl>
    <w:lvl w:ilvl="6" w:tentative="0">
      <w:start w:val="1"/>
      <w:numFmt w:val="decimal"/>
      <w:lvlText w:val="%7."/>
      <w:lvlJc w:val="left"/>
    </w:lvl>
    <w:lvl w:ilvl="7" w:tentative="0">
      <w:start w:val="1"/>
      <w:numFmt w:val="lowerLetter"/>
      <w:lvlText w:val="%8)"/>
      <w:lvlJc w:val="left"/>
    </w:lvl>
    <w:lvl w:ilvl="8" w:tentative="0">
      <w:start w:val="1"/>
      <w:numFmt w:val="lowerRoman"/>
      <w:lvlText w:val="%9."/>
      <w:lvlJc w:val="left"/>
    </w:lvl>
  </w:abstractNum>
  <w:abstractNum w:abstractNumId="11">
    <w:nsid w:val="00000015"/>
    <w:multiLevelType w:val="multilevel"/>
    <w:tmpl w:val="00000015"/>
    <w:lvl w:ilvl="0" w:tentative="0">
      <w:start w:val="1"/>
      <w:numFmt w:val="japaneseCounting"/>
      <w:pStyle w:val="413"/>
      <w:lvlText w:val="%1、"/>
      <w:lvlJc w:val="left"/>
    </w:lvl>
    <w:lvl w:ilvl="1" w:tentative="0">
      <w:start w:val="1"/>
      <w:numFmt w:val="lowerLetter"/>
      <w:lvlText w:val="%2)"/>
      <w:lvlJc w:val="left"/>
    </w:lvl>
    <w:lvl w:ilvl="2" w:tentative="0">
      <w:start w:val="1"/>
      <w:numFmt w:val="lowerRoman"/>
      <w:lvlText w:val="%3."/>
      <w:lvlJc w:val="left"/>
    </w:lvl>
    <w:lvl w:ilvl="3" w:tentative="0">
      <w:start w:val="1"/>
      <w:numFmt w:val="decimal"/>
      <w:pStyle w:val="493"/>
      <w:lvlText w:val="%4."/>
      <w:lvlJc w:val="left"/>
    </w:lvl>
    <w:lvl w:ilvl="4" w:tentative="0">
      <w:start w:val="1"/>
      <w:numFmt w:val="lowerLetter"/>
      <w:lvlText w:val="%5)"/>
      <w:lvlJc w:val="left"/>
    </w:lvl>
    <w:lvl w:ilvl="5" w:tentative="0">
      <w:start w:val="1"/>
      <w:numFmt w:val="lowerRoman"/>
      <w:lvlText w:val="%6."/>
      <w:lvlJc w:val="left"/>
    </w:lvl>
    <w:lvl w:ilvl="6" w:tentative="0">
      <w:start w:val="1"/>
      <w:numFmt w:val="decimal"/>
      <w:lvlText w:val="%7."/>
      <w:lvlJc w:val="left"/>
    </w:lvl>
    <w:lvl w:ilvl="7" w:tentative="0">
      <w:start w:val="1"/>
      <w:numFmt w:val="lowerLetter"/>
      <w:lvlText w:val="%8)"/>
      <w:lvlJc w:val="left"/>
    </w:lvl>
    <w:lvl w:ilvl="8" w:tentative="0">
      <w:start w:val="1"/>
      <w:numFmt w:val="lowerRoman"/>
      <w:lvlText w:val="%9."/>
      <w:lvlJc w:val="left"/>
    </w:lvl>
  </w:abstractNum>
  <w:abstractNum w:abstractNumId="12">
    <w:nsid w:val="00000016"/>
    <w:multiLevelType w:val="multilevel"/>
    <w:tmpl w:val="00000016"/>
    <w:lvl w:ilvl="0" w:tentative="0">
      <w:start w:val="1"/>
      <w:numFmt w:val="japaneseCounting"/>
      <w:pStyle w:val="461"/>
      <w:lvlText w:val="第%1章"/>
      <w:lvlJc w:val="left"/>
    </w:lvl>
    <w:lvl w:ilvl="1" w:tentative="0">
      <w:start w:val="1"/>
      <w:numFmt w:val="lowerLetter"/>
      <w:lvlText w:val="%2)"/>
      <w:lvlJc w:val="left"/>
    </w:lvl>
    <w:lvl w:ilvl="2" w:tentative="0">
      <w:start w:val="1"/>
      <w:numFmt w:val="lowerRoman"/>
      <w:lvlText w:val="%3."/>
      <w:lvlJc w:val="left"/>
    </w:lvl>
    <w:lvl w:ilvl="3" w:tentative="0">
      <w:start w:val="1"/>
      <w:numFmt w:val="decimal"/>
      <w:lvlText w:val="%4."/>
      <w:lvlJc w:val="left"/>
    </w:lvl>
    <w:lvl w:ilvl="4" w:tentative="0">
      <w:start w:val="1"/>
      <w:numFmt w:val="lowerLetter"/>
      <w:lvlText w:val="%5)"/>
      <w:lvlJc w:val="left"/>
    </w:lvl>
    <w:lvl w:ilvl="5" w:tentative="0">
      <w:start w:val="1"/>
      <w:numFmt w:val="lowerRoman"/>
      <w:lvlText w:val="%6."/>
      <w:lvlJc w:val="left"/>
    </w:lvl>
    <w:lvl w:ilvl="6" w:tentative="0">
      <w:start w:val="1"/>
      <w:numFmt w:val="decimal"/>
      <w:lvlText w:val="%7."/>
      <w:lvlJc w:val="left"/>
    </w:lvl>
    <w:lvl w:ilvl="7" w:tentative="0">
      <w:start w:val="1"/>
      <w:numFmt w:val="lowerLetter"/>
      <w:lvlText w:val="%8)"/>
      <w:lvlJc w:val="left"/>
    </w:lvl>
    <w:lvl w:ilvl="8" w:tentative="0">
      <w:start w:val="1"/>
      <w:numFmt w:val="lowerRoman"/>
      <w:lvlText w:val="%9."/>
      <w:lvlJc w:val="left"/>
    </w:lvl>
  </w:abstractNum>
  <w:abstractNum w:abstractNumId="13">
    <w:nsid w:val="00000017"/>
    <w:multiLevelType w:val="multilevel"/>
    <w:tmpl w:val="00000017"/>
    <w:lvl w:ilvl="0" w:tentative="0">
      <w:start w:val="1"/>
      <w:numFmt w:val="decimal"/>
      <w:suff w:val="space"/>
      <w:lvlText w:val="第%1章"/>
      <w:lvlJc w:val="left"/>
      <w:rPr>
        <w:b/>
        <w:sz w:val="44"/>
      </w:rPr>
    </w:lvl>
    <w:lvl w:ilvl="1" w:tentative="0">
      <w:start w:val="1"/>
      <w:numFmt w:val="decimal"/>
      <w:pStyle w:val="281"/>
      <w:suff w:val="space"/>
      <w:lvlText w:val="第%2节"/>
      <w:lvlJc w:val="left"/>
      <w:rPr>
        <w:b/>
        <w:sz w:val="32"/>
      </w:rPr>
    </w:lvl>
    <w:lvl w:ilvl="2" w:tentative="0">
      <w:start w:val="1"/>
      <w:numFmt w:val="decimal"/>
      <w:pStyle w:val="447"/>
      <w:suff w:val="space"/>
      <w:lvlText w:val="（%3）"/>
      <w:lvlJc w:val="left"/>
      <w:rPr>
        <w:b/>
        <w:sz w:val="24"/>
      </w:rPr>
    </w:lvl>
    <w:lvl w:ilvl="3" w:tentative="0">
      <w:start w:val="1"/>
      <w:numFmt w:val="decimal"/>
      <w:pStyle w:val="453"/>
      <w:suff w:val="space"/>
      <w:lvlText w:val="%4."/>
      <w:lvlJc w:val="left"/>
      <w:rPr>
        <w:rFonts w:ascii="宋体" w:hAnsi="宋体"/>
        <w:b/>
        <w:sz w:val="28"/>
      </w:rPr>
    </w:lvl>
    <w:lvl w:ilvl="4" w:tentative="0">
      <w:start w:val="1"/>
      <w:numFmt w:val="decimal"/>
      <w:pStyle w:val="407"/>
      <w:lvlText w:val="%4.%5."/>
      <w:lvlJc w:val="left"/>
      <w:rPr>
        <w:b w:val="0"/>
        <w:i w:val="0"/>
        <w:color w:val="000000"/>
        <w:sz w:val="24"/>
      </w:rPr>
    </w:lvl>
    <w:lvl w:ilvl="5" w:tentative="0">
      <w:start w:val="1"/>
      <w:numFmt w:val="decimal"/>
      <w:lvlText w:val="%4.%5.%6　"/>
      <w:lvlJc w:val="left"/>
      <w:rPr>
        <w:b w:val="0"/>
        <w:color w:val="000000"/>
      </w:rPr>
    </w:lvl>
    <w:lvl w:ilvl="6" w:tentative="0">
      <w:start w:val="1"/>
      <w:numFmt w:val="decimal"/>
      <w:lvlText w:val="%4.%5.%6.%7 "/>
      <w:lvlJc w:val="left"/>
    </w:lvl>
    <w:lvl w:ilvl="7" w:tentative="0">
      <w:start w:val="1"/>
      <w:numFmt w:val="decimal"/>
      <w:lvlText w:val="（%8) "/>
      <w:lvlJc w:val="left"/>
      <w:rPr>
        <w:b w:val="0"/>
      </w:rPr>
    </w:lvl>
    <w:lvl w:ilvl="8" w:tentative="0">
      <w:start w:val="1"/>
      <w:numFmt w:val="lowerRoman"/>
      <w:lvlText w:val="%9."/>
      <w:lvlJc w:val="left"/>
    </w:lvl>
  </w:abstractNum>
  <w:abstractNum w:abstractNumId="14">
    <w:nsid w:val="00000019"/>
    <w:multiLevelType w:val="multilevel"/>
    <w:tmpl w:val="00000019"/>
    <w:lvl w:ilvl="0" w:tentative="0">
      <w:start w:val="1"/>
      <w:numFmt w:val="bullet"/>
      <w:pStyle w:val="484"/>
      <w:lvlText w:val=""/>
      <w:lvlJc w:val="left"/>
      <w:rPr>
        <w:rFonts w:ascii="Wingdings" w:hAnsi="Wingdings"/>
      </w:rPr>
    </w:lvl>
    <w:lvl w:ilvl="1" w:tentative="0">
      <w:start w:val="1"/>
      <w:numFmt w:val="bullet"/>
      <w:lvlText w:val=""/>
      <w:lvlJc w:val="left"/>
      <w:rPr>
        <w:rFonts w:ascii="Wingdings" w:hAnsi="Wingdings"/>
      </w:rPr>
    </w:lvl>
    <w:lvl w:ilvl="2" w:tentative="0">
      <w:start w:val="1"/>
      <w:numFmt w:val="bullet"/>
      <w:lvlText w:val=""/>
      <w:lvlJc w:val="left"/>
      <w:rPr>
        <w:rFonts w:ascii="Wingdings" w:hAnsi="Wingdings"/>
      </w:rPr>
    </w:lvl>
    <w:lvl w:ilvl="3" w:tentative="0">
      <w:start w:val="1"/>
      <w:numFmt w:val="bullet"/>
      <w:lvlText w:val=""/>
      <w:lvlJc w:val="left"/>
      <w:rPr>
        <w:rFonts w:ascii="Wingdings" w:hAnsi="Wingdings"/>
      </w:rPr>
    </w:lvl>
    <w:lvl w:ilvl="4" w:tentative="0">
      <w:start w:val="1"/>
      <w:numFmt w:val="bullet"/>
      <w:lvlText w:val=""/>
      <w:lvlJc w:val="left"/>
      <w:rPr>
        <w:rFonts w:ascii="Wingdings" w:hAnsi="Wingdings"/>
      </w:rPr>
    </w:lvl>
    <w:lvl w:ilvl="5" w:tentative="0">
      <w:start w:val="1"/>
      <w:numFmt w:val="bullet"/>
      <w:lvlText w:val=""/>
      <w:lvlJc w:val="left"/>
      <w:rPr>
        <w:rFonts w:ascii="Wingdings" w:hAnsi="Wingdings"/>
      </w:rPr>
    </w:lvl>
    <w:lvl w:ilvl="6" w:tentative="0">
      <w:start w:val="1"/>
      <w:numFmt w:val="bullet"/>
      <w:lvlText w:val=""/>
      <w:lvlJc w:val="left"/>
      <w:rPr>
        <w:rFonts w:ascii="Wingdings" w:hAnsi="Wingdings"/>
      </w:rPr>
    </w:lvl>
    <w:lvl w:ilvl="7" w:tentative="0">
      <w:start w:val="1"/>
      <w:numFmt w:val="bullet"/>
      <w:lvlText w:val=""/>
      <w:lvlJc w:val="left"/>
      <w:rPr>
        <w:rFonts w:ascii="Wingdings" w:hAnsi="Wingdings"/>
      </w:rPr>
    </w:lvl>
    <w:lvl w:ilvl="8" w:tentative="0">
      <w:start w:val="1"/>
      <w:numFmt w:val="bullet"/>
      <w:lvlText w:val=""/>
      <w:lvlJc w:val="left"/>
      <w:rPr>
        <w:rFonts w:ascii="Wingdings" w:hAnsi="Wingdings"/>
      </w:rPr>
    </w:lvl>
  </w:abstractNum>
  <w:abstractNum w:abstractNumId="15">
    <w:nsid w:val="075F00BD"/>
    <w:multiLevelType w:val="multilevel"/>
    <w:tmpl w:val="075F00BD"/>
    <w:lvl w:ilvl="0" w:tentative="0">
      <w:start w:val="1"/>
      <w:numFmt w:val="decimal"/>
      <w:lvlText w:val="(%1)"/>
      <w:lvlJc w:val="left"/>
      <w:pPr>
        <w:ind w:left="812" w:hanging="440"/>
      </w:pPr>
      <w:rPr>
        <w:rFonts w:hint="eastAsia" w:eastAsia="仿宋"/>
        <w:b w:val="0"/>
        <w:i w:val="0"/>
        <w:sz w:val="24"/>
      </w:rPr>
    </w:lvl>
    <w:lvl w:ilvl="1" w:tentative="0">
      <w:start w:val="1"/>
      <w:numFmt w:val="decimal"/>
      <w:lvlText w:val="(%2)"/>
      <w:lvlJc w:val="left"/>
      <w:pPr>
        <w:ind w:left="812" w:hanging="440"/>
      </w:pPr>
      <w:rPr>
        <w:rFonts w:hint="eastAsia" w:eastAsia="仿宋"/>
        <w:b w:val="0"/>
        <w:i w:val="0"/>
        <w:sz w:val="24"/>
      </w:rPr>
    </w:lvl>
    <w:lvl w:ilvl="2" w:tentative="0">
      <w:start w:val="1"/>
      <w:numFmt w:val="lowerRoman"/>
      <w:lvlText w:val="%3."/>
      <w:lvlJc w:val="right"/>
      <w:pPr>
        <w:ind w:left="1692" w:hanging="440"/>
      </w:pPr>
    </w:lvl>
    <w:lvl w:ilvl="3" w:tentative="0">
      <w:start w:val="1"/>
      <w:numFmt w:val="decimal"/>
      <w:lvlText w:val="%4."/>
      <w:lvlJc w:val="left"/>
      <w:pPr>
        <w:ind w:left="2132" w:hanging="440"/>
      </w:pPr>
    </w:lvl>
    <w:lvl w:ilvl="4" w:tentative="0">
      <w:start w:val="1"/>
      <w:numFmt w:val="lowerLetter"/>
      <w:lvlText w:val="%5)"/>
      <w:lvlJc w:val="left"/>
      <w:pPr>
        <w:ind w:left="2572" w:hanging="440"/>
      </w:pPr>
    </w:lvl>
    <w:lvl w:ilvl="5" w:tentative="0">
      <w:start w:val="1"/>
      <w:numFmt w:val="lowerRoman"/>
      <w:lvlText w:val="%6."/>
      <w:lvlJc w:val="right"/>
      <w:pPr>
        <w:ind w:left="3012" w:hanging="440"/>
      </w:pPr>
    </w:lvl>
    <w:lvl w:ilvl="6" w:tentative="0">
      <w:start w:val="1"/>
      <w:numFmt w:val="decimal"/>
      <w:lvlText w:val="%7."/>
      <w:lvlJc w:val="left"/>
      <w:pPr>
        <w:ind w:left="3452" w:hanging="440"/>
      </w:pPr>
    </w:lvl>
    <w:lvl w:ilvl="7" w:tentative="0">
      <w:start w:val="1"/>
      <w:numFmt w:val="lowerLetter"/>
      <w:lvlText w:val="%8)"/>
      <w:lvlJc w:val="left"/>
      <w:pPr>
        <w:ind w:left="3892" w:hanging="440"/>
      </w:pPr>
    </w:lvl>
    <w:lvl w:ilvl="8" w:tentative="0">
      <w:start w:val="1"/>
      <w:numFmt w:val="lowerRoman"/>
      <w:lvlText w:val="%9."/>
      <w:lvlJc w:val="right"/>
      <w:pPr>
        <w:ind w:left="4332" w:hanging="440"/>
      </w:pPr>
    </w:lvl>
  </w:abstractNum>
  <w:abstractNum w:abstractNumId="16">
    <w:nsid w:val="092EE22E"/>
    <w:multiLevelType w:val="singleLevel"/>
    <w:tmpl w:val="092EE22E"/>
    <w:lvl w:ilvl="0" w:tentative="0">
      <w:start w:val="1"/>
      <w:numFmt w:val="chineseCounting"/>
      <w:suff w:val="nothing"/>
      <w:lvlText w:val="%1、"/>
      <w:lvlJc w:val="left"/>
      <w:rPr>
        <w:rFonts w:hint="eastAsia"/>
      </w:rPr>
    </w:lvl>
  </w:abstractNum>
  <w:abstractNum w:abstractNumId="17">
    <w:nsid w:val="0EAC0B51"/>
    <w:multiLevelType w:val="multilevel"/>
    <w:tmpl w:val="0EAC0B51"/>
    <w:lvl w:ilvl="0" w:tentative="0">
      <w:start w:val="1"/>
      <w:numFmt w:val="decimal"/>
      <w:suff w:val="nothing"/>
      <w:lvlText w:val="（%1）"/>
      <w:lvlJc w:val="left"/>
      <w:pPr>
        <w:ind w:left="1164" w:hanging="740"/>
      </w:pPr>
      <w:rPr>
        <w:rFonts w:hint="default"/>
      </w:rPr>
    </w:lvl>
    <w:lvl w:ilvl="1" w:tentative="0">
      <w:start w:val="1"/>
      <w:numFmt w:val="lowerLetter"/>
      <w:lvlText w:val="%2)"/>
      <w:lvlJc w:val="left"/>
      <w:pPr>
        <w:ind w:left="1050" w:hanging="420"/>
      </w:pPr>
    </w:lvl>
    <w:lvl w:ilvl="2" w:tentative="0">
      <w:start w:val="1"/>
      <w:numFmt w:val="decimal"/>
      <w:suff w:val="nothing"/>
      <w:lvlText w:val="%3、"/>
      <w:lvlJc w:val="left"/>
      <w:pPr>
        <w:ind w:left="1470" w:hanging="420"/>
      </w:pPr>
      <w:rPr>
        <w:rFonts w:hint="default"/>
      </w:rPr>
    </w:lvl>
    <w:lvl w:ilvl="3" w:tentative="0">
      <w:start w:val="1"/>
      <w:numFmt w:val="chineseCountingThousand"/>
      <w:suff w:val="nothing"/>
      <w:lvlText w:val="(%4)"/>
      <w:lvlJc w:val="left"/>
      <w:pPr>
        <w:ind w:left="2972" w:hanging="420"/>
      </w:pPr>
      <w:rPr>
        <w:rFonts w:hint="default"/>
      </w:rPr>
    </w:lvl>
    <w:lvl w:ilvl="4" w:tentative="0">
      <w:start w:val="1"/>
      <w:numFmt w:val="lowerLetter"/>
      <w:lvlText w:val="%5)"/>
      <w:lvlJc w:val="left"/>
      <w:pPr>
        <w:ind w:left="2310" w:hanging="420"/>
      </w:pPr>
    </w:lvl>
    <w:lvl w:ilvl="5" w:tentative="0">
      <w:start w:val="1"/>
      <w:numFmt w:val="lowerRoman"/>
      <w:lvlText w:val="%6."/>
      <w:lvlJc w:val="right"/>
      <w:pPr>
        <w:ind w:left="2730" w:hanging="420"/>
      </w:pPr>
    </w:lvl>
    <w:lvl w:ilvl="6" w:tentative="0">
      <w:start w:val="1"/>
      <w:numFmt w:val="decimal"/>
      <w:lvlText w:val="%7."/>
      <w:lvlJc w:val="left"/>
      <w:pPr>
        <w:ind w:left="3150" w:hanging="420"/>
      </w:pPr>
    </w:lvl>
    <w:lvl w:ilvl="7" w:tentative="0">
      <w:start w:val="1"/>
      <w:numFmt w:val="lowerLetter"/>
      <w:lvlText w:val="%8)"/>
      <w:lvlJc w:val="left"/>
      <w:pPr>
        <w:ind w:left="3570" w:hanging="420"/>
      </w:pPr>
    </w:lvl>
    <w:lvl w:ilvl="8" w:tentative="0">
      <w:start w:val="1"/>
      <w:numFmt w:val="lowerRoman"/>
      <w:lvlText w:val="%9."/>
      <w:lvlJc w:val="right"/>
      <w:pPr>
        <w:ind w:left="3990" w:hanging="420"/>
      </w:pPr>
    </w:lvl>
  </w:abstractNum>
  <w:abstractNum w:abstractNumId="18">
    <w:nsid w:val="152273B6"/>
    <w:multiLevelType w:val="multilevel"/>
    <w:tmpl w:val="152273B6"/>
    <w:lvl w:ilvl="0" w:tentative="0">
      <w:start w:val="1"/>
      <w:numFmt w:val="decimal"/>
      <w:suff w:val="nothing"/>
      <w:lvlText w:val="%1."/>
      <w:lvlJc w:val="left"/>
      <w:pPr>
        <w:ind w:left="988" w:hanging="420"/>
      </w:pPr>
      <w:rPr>
        <w:rFonts w:hint="eastAsia" w:ascii="宋体" w:hAnsi="宋体" w:eastAsia="宋体"/>
      </w:rPr>
    </w:lvl>
    <w:lvl w:ilvl="1" w:tentative="0">
      <w:start w:val="1"/>
      <w:numFmt w:val="lowerLetter"/>
      <w:lvlText w:val="%2)"/>
      <w:lvlJc w:val="left"/>
      <w:pPr>
        <w:ind w:left="1266" w:hanging="420"/>
      </w:pPr>
      <w:rPr>
        <w:rFonts w:hint="eastAsia"/>
      </w:rPr>
    </w:lvl>
    <w:lvl w:ilvl="2" w:tentative="0">
      <w:start w:val="1"/>
      <w:numFmt w:val="lowerRoman"/>
      <w:lvlText w:val="%3."/>
      <w:lvlJc w:val="right"/>
      <w:pPr>
        <w:ind w:left="1686" w:hanging="420"/>
      </w:pPr>
      <w:rPr>
        <w:rFonts w:hint="eastAsia"/>
      </w:rPr>
    </w:lvl>
    <w:lvl w:ilvl="3" w:tentative="0">
      <w:start w:val="1"/>
      <w:numFmt w:val="decimal"/>
      <w:lvlText w:val="%4."/>
      <w:lvlJc w:val="left"/>
      <w:pPr>
        <w:ind w:left="2106" w:hanging="420"/>
      </w:pPr>
      <w:rPr>
        <w:rFonts w:hint="eastAsia"/>
      </w:rPr>
    </w:lvl>
    <w:lvl w:ilvl="4" w:tentative="0">
      <w:start w:val="1"/>
      <w:numFmt w:val="lowerLetter"/>
      <w:lvlText w:val="%5)"/>
      <w:lvlJc w:val="left"/>
      <w:pPr>
        <w:ind w:left="2526" w:hanging="420"/>
      </w:pPr>
      <w:rPr>
        <w:rFonts w:hint="eastAsia"/>
      </w:rPr>
    </w:lvl>
    <w:lvl w:ilvl="5" w:tentative="0">
      <w:start w:val="1"/>
      <w:numFmt w:val="lowerRoman"/>
      <w:lvlText w:val="%6."/>
      <w:lvlJc w:val="right"/>
      <w:pPr>
        <w:ind w:left="2946" w:hanging="420"/>
      </w:pPr>
      <w:rPr>
        <w:rFonts w:hint="eastAsia"/>
      </w:rPr>
    </w:lvl>
    <w:lvl w:ilvl="6" w:tentative="0">
      <w:start w:val="1"/>
      <w:numFmt w:val="decimal"/>
      <w:lvlText w:val="%7."/>
      <w:lvlJc w:val="left"/>
      <w:pPr>
        <w:ind w:left="3366" w:hanging="420"/>
      </w:pPr>
      <w:rPr>
        <w:rFonts w:hint="eastAsia"/>
      </w:rPr>
    </w:lvl>
    <w:lvl w:ilvl="7" w:tentative="0">
      <w:start w:val="1"/>
      <w:numFmt w:val="lowerLetter"/>
      <w:lvlText w:val="%8)"/>
      <w:lvlJc w:val="left"/>
      <w:pPr>
        <w:ind w:left="3786" w:hanging="420"/>
      </w:pPr>
      <w:rPr>
        <w:rFonts w:hint="eastAsia"/>
      </w:rPr>
    </w:lvl>
    <w:lvl w:ilvl="8" w:tentative="0">
      <w:start w:val="1"/>
      <w:numFmt w:val="lowerRoman"/>
      <w:lvlText w:val="%9."/>
      <w:lvlJc w:val="right"/>
      <w:pPr>
        <w:ind w:left="4206" w:hanging="420"/>
      </w:pPr>
      <w:rPr>
        <w:rFonts w:hint="eastAsia"/>
      </w:rPr>
    </w:lvl>
  </w:abstractNum>
  <w:abstractNum w:abstractNumId="19">
    <w:nsid w:val="1A927AEF"/>
    <w:multiLevelType w:val="multilevel"/>
    <w:tmpl w:val="1A927AEF"/>
    <w:lvl w:ilvl="0" w:tentative="0">
      <w:start w:val="1"/>
      <w:numFmt w:val="decimal"/>
      <w:lvlText w:val="(%1)"/>
      <w:lvlJc w:val="left"/>
      <w:pPr>
        <w:ind w:left="812" w:hanging="440"/>
      </w:pPr>
      <w:rPr>
        <w:rFonts w:hint="eastAsia" w:eastAsia="仿宋"/>
        <w:b w:val="0"/>
        <w:i w:val="0"/>
        <w:sz w:val="24"/>
      </w:rPr>
    </w:lvl>
    <w:lvl w:ilvl="1" w:tentative="0">
      <w:start w:val="1"/>
      <w:numFmt w:val="decimal"/>
      <w:lvlText w:val="（%2）"/>
      <w:lvlJc w:val="left"/>
      <w:pPr>
        <w:ind w:left="1532" w:hanging="720"/>
      </w:pPr>
      <w:rPr>
        <w:rFonts w:hint="default"/>
      </w:rPr>
    </w:lvl>
    <w:lvl w:ilvl="2" w:tentative="0">
      <w:start w:val="1"/>
      <w:numFmt w:val="lowerRoman"/>
      <w:lvlText w:val="%3."/>
      <w:lvlJc w:val="right"/>
      <w:pPr>
        <w:ind w:left="1692" w:hanging="440"/>
      </w:pPr>
    </w:lvl>
    <w:lvl w:ilvl="3" w:tentative="0">
      <w:start w:val="1"/>
      <w:numFmt w:val="decimal"/>
      <w:lvlText w:val="%4."/>
      <w:lvlJc w:val="left"/>
      <w:pPr>
        <w:ind w:left="2132" w:hanging="440"/>
      </w:pPr>
    </w:lvl>
    <w:lvl w:ilvl="4" w:tentative="0">
      <w:start w:val="1"/>
      <w:numFmt w:val="lowerLetter"/>
      <w:lvlText w:val="%5)"/>
      <w:lvlJc w:val="left"/>
      <w:pPr>
        <w:ind w:left="2572" w:hanging="440"/>
      </w:pPr>
    </w:lvl>
    <w:lvl w:ilvl="5" w:tentative="0">
      <w:start w:val="1"/>
      <w:numFmt w:val="lowerRoman"/>
      <w:lvlText w:val="%6."/>
      <w:lvlJc w:val="right"/>
      <w:pPr>
        <w:ind w:left="3012" w:hanging="440"/>
      </w:pPr>
    </w:lvl>
    <w:lvl w:ilvl="6" w:tentative="0">
      <w:start w:val="1"/>
      <w:numFmt w:val="decimal"/>
      <w:lvlText w:val="%7."/>
      <w:lvlJc w:val="left"/>
      <w:pPr>
        <w:ind w:left="3452" w:hanging="440"/>
      </w:pPr>
    </w:lvl>
    <w:lvl w:ilvl="7" w:tentative="0">
      <w:start w:val="1"/>
      <w:numFmt w:val="lowerLetter"/>
      <w:lvlText w:val="%8)"/>
      <w:lvlJc w:val="left"/>
      <w:pPr>
        <w:ind w:left="3892" w:hanging="440"/>
      </w:pPr>
    </w:lvl>
    <w:lvl w:ilvl="8" w:tentative="0">
      <w:start w:val="1"/>
      <w:numFmt w:val="lowerRoman"/>
      <w:lvlText w:val="%9."/>
      <w:lvlJc w:val="right"/>
      <w:pPr>
        <w:ind w:left="4332" w:hanging="440"/>
      </w:pPr>
    </w:lvl>
  </w:abstractNum>
  <w:abstractNum w:abstractNumId="20">
    <w:nsid w:val="23BD094D"/>
    <w:multiLevelType w:val="singleLevel"/>
    <w:tmpl w:val="23BD094D"/>
    <w:lvl w:ilvl="0" w:tentative="0">
      <w:start w:val="2"/>
      <w:numFmt w:val="decimal"/>
      <w:suff w:val="nothing"/>
      <w:lvlText w:val="%1、"/>
      <w:lvlJc w:val="left"/>
    </w:lvl>
  </w:abstractNum>
  <w:abstractNum w:abstractNumId="21">
    <w:nsid w:val="2F000000"/>
    <w:multiLevelType w:val="multilevel"/>
    <w:tmpl w:val="2F000000"/>
    <w:lvl w:ilvl="0" w:tentative="0">
      <w:start w:val="1"/>
      <w:numFmt w:val="bullet"/>
      <w:pStyle w:val="369"/>
      <w:lvlText w:val="ü"/>
      <w:lvlJc w:val="left"/>
      <w:pPr>
        <w:ind w:left="2234" w:hanging="420"/>
      </w:pPr>
      <w:rPr>
        <w:rFonts w:ascii="Wingdings" w:hAnsi="Wingdings" w:eastAsia="Wingdings"/>
        <w:w w:val="100"/>
        <w:sz w:val="20"/>
        <w:szCs w:val="20"/>
        <w:shd w:val="clear" w:color="auto" w:fill="auto"/>
      </w:rPr>
    </w:lvl>
    <w:lvl w:ilvl="1" w:tentative="0">
      <w:start w:val="1"/>
      <w:numFmt w:val="bullet"/>
      <w:lvlText w:val="n"/>
      <w:lvlJc w:val="left"/>
      <w:pPr>
        <w:ind w:left="2654" w:hanging="420"/>
      </w:pPr>
      <w:rPr>
        <w:rFonts w:ascii="Wingdings" w:hAnsi="Wingdings" w:eastAsia="Wingdings"/>
        <w:w w:val="100"/>
        <w:sz w:val="20"/>
        <w:szCs w:val="20"/>
        <w:shd w:val="clear" w:color="auto" w:fill="auto"/>
      </w:rPr>
    </w:lvl>
    <w:lvl w:ilvl="2" w:tentative="0">
      <w:start w:val="1"/>
      <w:numFmt w:val="bullet"/>
      <w:lvlText w:val="u"/>
      <w:lvlJc w:val="left"/>
      <w:pPr>
        <w:ind w:left="3074" w:hanging="420"/>
      </w:pPr>
      <w:rPr>
        <w:rFonts w:ascii="Wingdings" w:hAnsi="Wingdings" w:eastAsia="Wingdings"/>
        <w:w w:val="100"/>
        <w:sz w:val="20"/>
        <w:szCs w:val="20"/>
        <w:shd w:val="clear" w:color="auto" w:fill="auto"/>
      </w:rPr>
    </w:lvl>
    <w:lvl w:ilvl="3" w:tentative="0">
      <w:start w:val="1"/>
      <w:numFmt w:val="bullet"/>
      <w:lvlText w:val="l"/>
      <w:lvlJc w:val="left"/>
      <w:pPr>
        <w:ind w:left="3494" w:hanging="420"/>
      </w:pPr>
      <w:rPr>
        <w:rFonts w:ascii="Wingdings" w:hAnsi="Wingdings" w:eastAsia="Wingdings"/>
        <w:w w:val="100"/>
        <w:sz w:val="20"/>
        <w:szCs w:val="20"/>
        <w:shd w:val="clear" w:color="auto" w:fill="auto"/>
      </w:rPr>
    </w:lvl>
    <w:lvl w:ilvl="4" w:tentative="0">
      <w:start w:val="1"/>
      <w:numFmt w:val="bullet"/>
      <w:lvlText w:val="n"/>
      <w:lvlJc w:val="left"/>
      <w:pPr>
        <w:ind w:left="3914" w:hanging="420"/>
      </w:pPr>
      <w:rPr>
        <w:rFonts w:ascii="Wingdings" w:hAnsi="Wingdings" w:eastAsia="Wingdings"/>
        <w:w w:val="100"/>
        <w:sz w:val="20"/>
        <w:szCs w:val="20"/>
        <w:shd w:val="clear" w:color="auto" w:fill="auto"/>
      </w:rPr>
    </w:lvl>
    <w:lvl w:ilvl="5" w:tentative="0">
      <w:start w:val="1"/>
      <w:numFmt w:val="bullet"/>
      <w:lvlText w:val="u"/>
      <w:lvlJc w:val="left"/>
      <w:pPr>
        <w:ind w:left="4334" w:hanging="420"/>
      </w:pPr>
      <w:rPr>
        <w:rFonts w:ascii="Wingdings" w:hAnsi="Wingdings" w:eastAsia="Wingdings"/>
        <w:w w:val="100"/>
        <w:sz w:val="20"/>
        <w:szCs w:val="20"/>
        <w:shd w:val="clear" w:color="auto" w:fill="auto"/>
      </w:rPr>
    </w:lvl>
    <w:lvl w:ilvl="6" w:tentative="0">
      <w:start w:val="1"/>
      <w:numFmt w:val="bullet"/>
      <w:lvlText w:val="l"/>
      <w:lvlJc w:val="left"/>
      <w:pPr>
        <w:ind w:left="4754" w:hanging="420"/>
      </w:pPr>
      <w:rPr>
        <w:rFonts w:ascii="Wingdings" w:hAnsi="Wingdings" w:eastAsia="Wingdings"/>
        <w:w w:val="100"/>
        <w:sz w:val="20"/>
        <w:szCs w:val="20"/>
        <w:shd w:val="clear" w:color="auto" w:fill="auto"/>
      </w:rPr>
    </w:lvl>
    <w:lvl w:ilvl="7" w:tentative="0">
      <w:start w:val="1"/>
      <w:numFmt w:val="bullet"/>
      <w:lvlText w:val="n"/>
      <w:lvlJc w:val="left"/>
      <w:pPr>
        <w:ind w:left="5174" w:hanging="420"/>
      </w:pPr>
      <w:rPr>
        <w:rFonts w:ascii="Wingdings" w:hAnsi="Wingdings" w:eastAsia="Wingdings"/>
        <w:w w:val="100"/>
        <w:sz w:val="20"/>
        <w:szCs w:val="20"/>
        <w:shd w:val="clear" w:color="auto" w:fill="auto"/>
      </w:rPr>
    </w:lvl>
    <w:lvl w:ilvl="8" w:tentative="0">
      <w:start w:val="1"/>
      <w:numFmt w:val="bullet"/>
      <w:lvlText w:val="u"/>
      <w:lvlJc w:val="left"/>
      <w:pPr>
        <w:ind w:left="5594" w:hanging="420"/>
      </w:pPr>
      <w:rPr>
        <w:rFonts w:ascii="Wingdings" w:hAnsi="Wingdings" w:eastAsia="Wingdings"/>
        <w:w w:val="100"/>
        <w:sz w:val="20"/>
        <w:szCs w:val="20"/>
        <w:shd w:val="clear" w:color="auto" w:fill="auto"/>
      </w:rPr>
    </w:lvl>
  </w:abstractNum>
  <w:abstractNum w:abstractNumId="22">
    <w:nsid w:val="2F000001"/>
    <w:multiLevelType w:val="multilevel"/>
    <w:tmpl w:val="2F000001"/>
    <w:lvl w:ilvl="0" w:tentative="0">
      <w:start w:val="1"/>
      <w:numFmt w:val="decimal"/>
      <w:pStyle w:val="355"/>
      <w:lvlText w:val="（%1）"/>
      <w:lvlJc w:val="left"/>
      <w:pPr>
        <w:ind w:left="720" w:hanging="720"/>
      </w:pPr>
    </w:lvl>
    <w:lvl w:ilvl="1" w:tentative="0">
      <w:start w:val="1"/>
      <w:numFmt w:val="lowerLetter"/>
      <w:lvlText w:val="%2)"/>
      <w:lvlJc w:val="left"/>
      <w:pPr>
        <w:ind w:left="420" w:hanging="420"/>
      </w:pPr>
    </w:lvl>
    <w:lvl w:ilvl="2" w:tentative="0">
      <w:start w:val="1"/>
      <w:numFmt w:val="lowerRoman"/>
      <w:lvlText w:val="%3."/>
      <w:lvlJc w:val="right"/>
      <w:pPr>
        <w:ind w:left="536" w:hanging="420"/>
      </w:pPr>
    </w:lvl>
    <w:lvl w:ilvl="3" w:tentative="0">
      <w:start w:val="1"/>
      <w:numFmt w:val="decimal"/>
      <w:lvlText w:val="%4）"/>
      <w:lvlJc w:val="left"/>
      <w:pPr>
        <w:ind w:left="1086" w:firstLine="0"/>
      </w:pPr>
      <w:rPr>
        <w:rFonts w:ascii="宋体" w:hAnsi="宋体" w:eastAsia="宋体"/>
        <w:w w:val="100"/>
        <w:sz w:val="20"/>
        <w:szCs w:val="20"/>
        <w:shd w:val="clear" w:color="auto" w:fill="auto"/>
      </w:rPr>
    </w:lvl>
    <w:lvl w:ilvl="4" w:tentative="0">
      <w:start w:val="0"/>
      <w:numFmt w:val="bullet"/>
      <w:lvlText w:val="Ø"/>
      <w:lvlJc w:val="left"/>
      <w:pPr>
        <w:ind w:left="1376" w:hanging="420"/>
      </w:pPr>
      <w:rPr>
        <w:rFonts w:ascii="Bookshelf Symbol 7" w:hAnsi="Bookshelf Symbol 7" w:eastAsia="Bookshelf Symbol 7"/>
        <w:w w:val="100"/>
        <w:sz w:val="20"/>
        <w:szCs w:val="20"/>
        <w:shd w:val="clear" w:color="auto" w:fill="auto"/>
      </w:rPr>
    </w:lvl>
    <w:lvl w:ilvl="5" w:tentative="0">
      <w:start w:val="1"/>
      <w:numFmt w:val="lowerRoman"/>
      <w:lvlText w:val="%6."/>
      <w:lvlJc w:val="right"/>
      <w:pPr>
        <w:ind w:left="1796" w:hanging="420"/>
      </w:pPr>
    </w:lvl>
    <w:lvl w:ilvl="6" w:tentative="0">
      <w:start w:val="1"/>
      <w:numFmt w:val="decimal"/>
      <w:lvlText w:val="%7."/>
      <w:lvlJc w:val="left"/>
      <w:pPr>
        <w:ind w:left="2216" w:hanging="420"/>
      </w:pPr>
    </w:lvl>
    <w:lvl w:ilvl="7" w:tentative="0">
      <w:start w:val="1"/>
      <w:numFmt w:val="lowerLetter"/>
      <w:lvlText w:val="%8)"/>
      <w:lvlJc w:val="left"/>
      <w:pPr>
        <w:ind w:left="2636" w:hanging="420"/>
      </w:pPr>
    </w:lvl>
    <w:lvl w:ilvl="8" w:tentative="0">
      <w:start w:val="1"/>
      <w:numFmt w:val="lowerRoman"/>
      <w:lvlText w:val="%9."/>
      <w:lvlJc w:val="right"/>
      <w:pPr>
        <w:ind w:left="3056" w:hanging="420"/>
      </w:pPr>
    </w:lvl>
  </w:abstractNum>
  <w:abstractNum w:abstractNumId="23">
    <w:nsid w:val="36006A78"/>
    <w:multiLevelType w:val="multilevel"/>
    <w:tmpl w:val="36006A78"/>
    <w:lvl w:ilvl="0" w:tentative="0">
      <w:start w:val="1"/>
      <w:numFmt w:val="decimal"/>
      <w:lvlText w:val="(%1)"/>
      <w:lvlJc w:val="left"/>
      <w:pPr>
        <w:ind w:left="440" w:hanging="440"/>
      </w:pPr>
      <w:rPr>
        <w:rFonts w:hint="eastAsia" w:eastAsia="仿宋"/>
        <w:b w:val="0"/>
        <w:i w:val="0"/>
        <w:sz w:val="24"/>
      </w:rPr>
    </w:lvl>
    <w:lvl w:ilvl="1" w:tentative="0">
      <w:start w:val="1"/>
      <w:numFmt w:val="decimal"/>
      <w:lvlText w:val="(%2)"/>
      <w:lvlJc w:val="left"/>
      <w:pPr>
        <w:ind w:left="812" w:hanging="440"/>
      </w:pPr>
      <w:rPr>
        <w:rFonts w:hint="eastAsia" w:eastAsia="仿宋"/>
        <w:b w:val="0"/>
        <w:i w:val="0"/>
        <w:sz w:val="21"/>
        <w:szCs w:val="21"/>
      </w:r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4">
    <w:nsid w:val="42021827"/>
    <w:multiLevelType w:val="multilevel"/>
    <w:tmpl w:val="42021827"/>
    <w:lvl w:ilvl="0" w:tentative="0">
      <w:start w:val="1"/>
      <w:numFmt w:val="decimalEnclosedCircle"/>
      <w:lvlText w:val="%1"/>
      <w:lvlJc w:val="left"/>
      <w:pPr>
        <w:ind w:left="812" w:hanging="440"/>
      </w:pPr>
      <w:rPr>
        <w:rFonts w:hint="eastAsia"/>
      </w:rPr>
    </w:lvl>
    <w:lvl w:ilvl="1" w:tentative="0">
      <w:start w:val="1"/>
      <w:numFmt w:val="lowerLetter"/>
      <w:lvlText w:val="%2)"/>
      <w:lvlJc w:val="left"/>
      <w:pPr>
        <w:ind w:left="1252" w:hanging="440"/>
      </w:pPr>
    </w:lvl>
    <w:lvl w:ilvl="2" w:tentative="0">
      <w:start w:val="1"/>
      <w:numFmt w:val="lowerRoman"/>
      <w:lvlText w:val="%3."/>
      <w:lvlJc w:val="right"/>
      <w:pPr>
        <w:ind w:left="1692" w:hanging="440"/>
      </w:pPr>
    </w:lvl>
    <w:lvl w:ilvl="3" w:tentative="0">
      <w:start w:val="1"/>
      <w:numFmt w:val="decimal"/>
      <w:lvlText w:val="%4."/>
      <w:lvlJc w:val="left"/>
      <w:pPr>
        <w:ind w:left="2132" w:hanging="440"/>
      </w:pPr>
    </w:lvl>
    <w:lvl w:ilvl="4" w:tentative="0">
      <w:start w:val="1"/>
      <w:numFmt w:val="lowerLetter"/>
      <w:lvlText w:val="%5)"/>
      <w:lvlJc w:val="left"/>
      <w:pPr>
        <w:ind w:left="2572" w:hanging="440"/>
      </w:pPr>
    </w:lvl>
    <w:lvl w:ilvl="5" w:tentative="0">
      <w:start w:val="1"/>
      <w:numFmt w:val="lowerRoman"/>
      <w:lvlText w:val="%6."/>
      <w:lvlJc w:val="right"/>
      <w:pPr>
        <w:ind w:left="3012" w:hanging="440"/>
      </w:pPr>
    </w:lvl>
    <w:lvl w:ilvl="6" w:tentative="0">
      <w:start w:val="1"/>
      <w:numFmt w:val="decimal"/>
      <w:lvlText w:val="%7."/>
      <w:lvlJc w:val="left"/>
      <w:pPr>
        <w:ind w:left="3452" w:hanging="440"/>
      </w:pPr>
    </w:lvl>
    <w:lvl w:ilvl="7" w:tentative="0">
      <w:start w:val="1"/>
      <w:numFmt w:val="lowerLetter"/>
      <w:lvlText w:val="%8)"/>
      <w:lvlJc w:val="left"/>
      <w:pPr>
        <w:ind w:left="3892" w:hanging="440"/>
      </w:pPr>
    </w:lvl>
    <w:lvl w:ilvl="8" w:tentative="0">
      <w:start w:val="1"/>
      <w:numFmt w:val="lowerRoman"/>
      <w:lvlText w:val="%9."/>
      <w:lvlJc w:val="right"/>
      <w:pPr>
        <w:ind w:left="4332" w:hanging="440"/>
      </w:pPr>
    </w:lvl>
  </w:abstractNum>
  <w:abstractNum w:abstractNumId="25">
    <w:nsid w:val="45E23BAE"/>
    <w:multiLevelType w:val="multilevel"/>
    <w:tmpl w:val="45E23BAE"/>
    <w:lvl w:ilvl="0" w:tentative="0">
      <w:start w:val="1"/>
      <w:numFmt w:val="decimal"/>
      <w:lvlText w:val="(%1)"/>
      <w:lvlJc w:val="left"/>
      <w:pPr>
        <w:ind w:left="812" w:hanging="440"/>
      </w:pPr>
      <w:rPr>
        <w:rFonts w:hint="eastAsia" w:eastAsia="仿宋"/>
        <w:b w:val="0"/>
        <w:i w:val="0"/>
        <w:sz w:val="24"/>
      </w:rPr>
    </w:lvl>
    <w:lvl w:ilvl="1" w:tentative="0">
      <w:start w:val="1"/>
      <w:numFmt w:val="decimal"/>
      <w:lvlText w:val="(%2)"/>
      <w:lvlJc w:val="left"/>
      <w:pPr>
        <w:ind w:left="812" w:hanging="440"/>
      </w:pPr>
      <w:rPr>
        <w:rFonts w:hint="eastAsia" w:eastAsia="仿宋"/>
        <w:b w:val="0"/>
        <w:i w:val="0"/>
        <w:sz w:val="21"/>
        <w:szCs w:val="21"/>
      </w:rPr>
    </w:lvl>
    <w:lvl w:ilvl="2" w:tentative="0">
      <w:start w:val="1"/>
      <w:numFmt w:val="lowerRoman"/>
      <w:lvlText w:val="%3."/>
      <w:lvlJc w:val="right"/>
      <w:pPr>
        <w:ind w:left="1692" w:hanging="440"/>
      </w:pPr>
    </w:lvl>
    <w:lvl w:ilvl="3" w:tentative="0">
      <w:start w:val="1"/>
      <w:numFmt w:val="decimal"/>
      <w:lvlText w:val="%4."/>
      <w:lvlJc w:val="left"/>
      <w:pPr>
        <w:ind w:left="2132" w:hanging="440"/>
      </w:pPr>
    </w:lvl>
    <w:lvl w:ilvl="4" w:tentative="0">
      <w:start w:val="1"/>
      <w:numFmt w:val="lowerLetter"/>
      <w:lvlText w:val="%5)"/>
      <w:lvlJc w:val="left"/>
      <w:pPr>
        <w:ind w:left="2572" w:hanging="440"/>
      </w:pPr>
    </w:lvl>
    <w:lvl w:ilvl="5" w:tentative="0">
      <w:start w:val="1"/>
      <w:numFmt w:val="lowerRoman"/>
      <w:lvlText w:val="%6."/>
      <w:lvlJc w:val="right"/>
      <w:pPr>
        <w:ind w:left="3012" w:hanging="440"/>
      </w:pPr>
    </w:lvl>
    <w:lvl w:ilvl="6" w:tentative="0">
      <w:start w:val="1"/>
      <w:numFmt w:val="decimal"/>
      <w:lvlText w:val="%7."/>
      <w:lvlJc w:val="left"/>
      <w:pPr>
        <w:ind w:left="3452" w:hanging="440"/>
      </w:pPr>
    </w:lvl>
    <w:lvl w:ilvl="7" w:tentative="0">
      <w:start w:val="1"/>
      <w:numFmt w:val="lowerLetter"/>
      <w:lvlText w:val="%8)"/>
      <w:lvlJc w:val="left"/>
      <w:pPr>
        <w:ind w:left="3892" w:hanging="440"/>
      </w:pPr>
    </w:lvl>
    <w:lvl w:ilvl="8" w:tentative="0">
      <w:start w:val="1"/>
      <w:numFmt w:val="lowerRoman"/>
      <w:lvlText w:val="%9."/>
      <w:lvlJc w:val="right"/>
      <w:pPr>
        <w:ind w:left="4332" w:hanging="440"/>
      </w:pPr>
    </w:lvl>
  </w:abstractNum>
  <w:abstractNum w:abstractNumId="26">
    <w:nsid w:val="4A3A54BB"/>
    <w:multiLevelType w:val="multilevel"/>
    <w:tmpl w:val="4A3A54BB"/>
    <w:lvl w:ilvl="0" w:tentative="0">
      <w:start w:val="1"/>
      <w:numFmt w:val="decimalEnclosedCircle"/>
      <w:lvlText w:val="%1"/>
      <w:lvlJc w:val="left"/>
      <w:pPr>
        <w:ind w:left="812" w:hanging="440"/>
      </w:pPr>
      <w:rPr>
        <w:rFonts w:hint="eastAsia"/>
      </w:rPr>
    </w:lvl>
    <w:lvl w:ilvl="1" w:tentative="0">
      <w:start w:val="1"/>
      <w:numFmt w:val="decimalEnclosedCircle"/>
      <w:lvlText w:val="%2"/>
      <w:lvlJc w:val="left"/>
      <w:pPr>
        <w:ind w:left="812" w:hanging="440"/>
      </w:pPr>
      <w:rPr>
        <w:rFonts w:hint="eastAsia"/>
      </w:rPr>
    </w:lvl>
    <w:lvl w:ilvl="2" w:tentative="0">
      <w:start w:val="1"/>
      <w:numFmt w:val="lowerRoman"/>
      <w:lvlText w:val="%3."/>
      <w:lvlJc w:val="right"/>
      <w:pPr>
        <w:ind w:left="1692" w:hanging="440"/>
      </w:pPr>
    </w:lvl>
    <w:lvl w:ilvl="3" w:tentative="0">
      <w:start w:val="1"/>
      <w:numFmt w:val="decimal"/>
      <w:lvlText w:val="%4."/>
      <w:lvlJc w:val="left"/>
      <w:pPr>
        <w:ind w:left="2132" w:hanging="440"/>
      </w:pPr>
    </w:lvl>
    <w:lvl w:ilvl="4" w:tentative="0">
      <w:start w:val="1"/>
      <w:numFmt w:val="lowerLetter"/>
      <w:lvlText w:val="%5)"/>
      <w:lvlJc w:val="left"/>
      <w:pPr>
        <w:ind w:left="2572" w:hanging="440"/>
      </w:pPr>
    </w:lvl>
    <w:lvl w:ilvl="5" w:tentative="0">
      <w:start w:val="1"/>
      <w:numFmt w:val="lowerRoman"/>
      <w:lvlText w:val="%6."/>
      <w:lvlJc w:val="right"/>
      <w:pPr>
        <w:ind w:left="3012" w:hanging="440"/>
      </w:pPr>
    </w:lvl>
    <w:lvl w:ilvl="6" w:tentative="0">
      <w:start w:val="1"/>
      <w:numFmt w:val="decimal"/>
      <w:lvlText w:val="%7."/>
      <w:lvlJc w:val="left"/>
      <w:pPr>
        <w:ind w:left="3452" w:hanging="440"/>
      </w:pPr>
    </w:lvl>
    <w:lvl w:ilvl="7" w:tentative="0">
      <w:start w:val="1"/>
      <w:numFmt w:val="lowerLetter"/>
      <w:lvlText w:val="%8)"/>
      <w:lvlJc w:val="left"/>
      <w:pPr>
        <w:ind w:left="3892" w:hanging="440"/>
      </w:pPr>
    </w:lvl>
    <w:lvl w:ilvl="8" w:tentative="0">
      <w:start w:val="1"/>
      <w:numFmt w:val="lowerRoman"/>
      <w:lvlText w:val="%9."/>
      <w:lvlJc w:val="right"/>
      <w:pPr>
        <w:ind w:left="4332" w:hanging="440"/>
      </w:pPr>
    </w:lvl>
  </w:abstractNum>
  <w:abstractNum w:abstractNumId="27">
    <w:nsid w:val="50243B90"/>
    <w:multiLevelType w:val="multilevel"/>
    <w:tmpl w:val="50243B90"/>
    <w:lvl w:ilvl="0" w:tentative="0">
      <w:start w:val="1"/>
      <w:numFmt w:val="decimal"/>
      <w:lvlText w:val="(%1)"/>
      <w:lvlJc w:val="left"/>
      <w:pPr>
        <w:ind w:left="812" w:hanging="440"/>
      </w:pPr>
      <w:rPr>
        <w:rFonts w:hint="eastAsia" w:eastAsia="仿宋"/>
        <w:b w:val="0"/>
        <w:i w:val="0"/>
        <w:sz w:val="24"/>
      </w:rPr>
    </w:lvl>
    <w:lvl w:ilvl="1" w:tentative="0">
      <w:start w:val="1"/>
      <w:numFmt w:val="decimal"/>
      <w:lvlText w:val="(%2)"/>
      <w:lvlJc w:val="left"/>
      <w:pPr>
        <w:ind w:left="812" w:hanging="440"/>
      </w:pPr>
      <w:rPr>
        <w:rFonts w:hint="eastAsia" w:eastAsia="仿宋"/>
        <w:b w:val="0"/>
        <w:i w:val="0"/>
        <w:sz w:val="21"/>
        <w:szCs w:val="21"/>
      </w:rPr>
    </w:lvl>
    <w:lvl w:ilvl="2" w:tentative="0">
      <w:start w:val="1"/>
      <w:numFmt w:val="lowerRoman"/>
      <w:lvlText w:val="%3."/>
      <w:lvlJc w:val="right"/>
      <w:pPr>
        <w:ind w:left="1692" w:hanging="440"/>
      </w:pPr>
    </w:lvl>
    <w:lvl w:ilvl="3" w:tentative="0">
      <w:start w:val="1"/>
      <w:numFmt w:val="decimal"/>
      <w:lvlText w:val="%4."/>
      <w:lvlJc w:val="left"/>
      <w:pPr>
        <w:ind w:left="2132" w:hanging="440"/>
      </w:pPr>
    </w:lvl>
    <w:lvl w:ilvl="4" w:tentative="0">
      <w:start w:val="1"/>
      <w:numFmt w:val="lowerLetter"/>
      <w:lvlText w:val="%5)"/>
      <w:lvlJc w:val="left"/>
      <w:pPr>
        <w:ind w:left="2572" w:hanging="440"/>
      </w:pPr>
    </w:lvl>
    <w:lvl w:ilvl="5" w:tentative="0">
      <w:start w:val="1"/>
      <w:numFmt w:val="lowerRoman"/>
      <w:lvlText w:val="%6."/>
      <w:lvlJc w:val="right"/>
      <w:pPr>
        <w:ind w:left="3012" w:hanging="440"/>
      </w:pPr>
    </w:lvl>
    <w:lvl w:ilvl="6" w:tentative="0">
      <w:start w:val="1"/>
      <w:numFmt w:val="decimal"/>
      <w:lvlText w:val="%7."/>
      <w:lvlJc w:val="left"/>
      <w:pPr>
        <w:ind w:left="3452" w:hanging="440"/>
      </w:pPr>
    </w:lvl>
    <w:lvl w:ilvl="7" w:tentative="0">
      <w:start w:val="1"/>
      <w:numFmt w:val="lowerLetter"/>
      <w:lvlText w:val="%8)"/>
      <w:lvlJc w:val="left"/>
      <w:pPr>
        <w:ind w:left="3892" w:hanging="440"/>
      </w:pPr>
    </w:lvl>
    <w:lvl w:ilvl="8" w:tentative="0">
      <w:start w:val="1"/>
      <w:numFmt w:val="lowerRoman"/>
      <w:lvlText w:val="%9."/>
      <w:lvlJc w:val="right"/>
      <w:pPr>
        <w:ind w:left="4332" w:hanging="440"/>
      </w:pPr>
    </w:lvl>
  </w:abstractNum>
  <w:abstractNum w:abstractNumId="28">
    <w:nsid w:val="599C714D"/>
    <w:multiLevelType w:val="multilevel"/>
    <w:tmpl w:val="599C714D"/>
    <w:lvl w:ilvl="0" w:tentative="0">
      <w:start w:val="1"/>
      <w:numFmt w:val="decimal"/>
      <w:lvlText w:val="(%1)"/>
      <w:lvlJc w:val="left"/>
      <w:pPr>
        <w:ind w:left="812" w:hanging="440"/>
      </w:pPr>
      <w:rPr>
        <w:rFonts w:hint="eastAsia" w:eastAsia="仿宋"/>
        <w:b w:val="0"/>
        <w:i w:val="0"/>
        <w:sz w:val="24"/>
      </w:rPr>
    </w:lvl>
    <w:lvl w:ilvl="1" w:tentative="0">
      <w:start w:val="1"/>
      <w:numFmt w:val="decimal"/>
      <w:lvlText w:val="(%2)"/>
      <w:lvlJc w:val="left"/>
      <w:pPr>
        <w:ind w:left="812" w:hanging="440"/>
      </w:pPr>
      <w:rPr>
        <w:rFonts w:hint="eastAsia" w:eastAsia="仿宋"/>
        <w:b w:val="0"/>
        <w:i w:val="0"/>
        <w:sz w:val="21"/>
        <w:szCs w:val="21"/>
      </w:rPr>
    </w:lvl>
    <w:lvl w:ilvl="2" w:tentative="0">
      <w:start w:val="1"/>
      <w:numFmt w:val="lowerRoman"/>
      <w:lvlText w:val="%3."/>
      <w:lvlJc w:val="right"/>
      <w:pPr>
        <w:ind w:left="1692" w:hanging="440"/>
      </w:pPr>
    </w:lvl>
    <w:lvl w:ilvl="3" w:tentative="0">
      <w:start w:val="1"/>
      <w:numFmt w:val="decimal"/>
      <w:lvlText w:val="%4."/>
      <w:lvlJc w:val="left"/>
      <w:pPr>
        <w:ind w:left="2132" w:hanging="440"/>
      </w:pPr>
    </w:lvl>
    <w:lvl w:ilvl="4" w:tentative="0">
      <w:start w:val="1"/>
      <w:numFmt w:val="lowerLetter"/>
      <w:lvlText w:val="%5)"/>
      <w:lvlJc w:val="left"/>
      <w:pPr>
        <w:ind w:left="2572" w:hanging="440"/>
      </w:pPr>
    </w:lvl>
    <w:lvl w:ilvl="5" w:tentative="0">
      <w:start w:val="1"/>
      <w:numFmt w:val="lowerRoman"/>
      <w:lvlText w:val="%6."/>
      <w:lvlJc w:val="right"/>
      <w:pPr>
        <w:ind w:left="3012" w:hanging="440"/>
      </w:pPr>
    </w:lvl>
    <w:lvl w:ilvl="6" w:tentative="0">
      <w:start w:val="1"/>
      <w:numFmt w:val="decimal"/>
      <w:lvlText w:val="%7."/>
      <w:lvlJc w:val="left"/>
      <w:pPr>
        <w:ind w:left="3452" w:hanging="440"/>
      </w:pPr>
    </w:lvl>
    <w:lvl w:ilvl="7" w:tentative="0">
      <w:start w:val="1"/>
      <w:numFmt w:val="lowerLetter"/>
      <w:lvlText w:val="%8)"/>
      <w:lvlJc w:val="left"/>
      <w:pPr>
        <w:ind w:left="3892" w:hanging="440"/>
      </w:pPr>
    </w:lvl>
    <w:lvl w:ilvl="8" w:tentative="0">
      <w:start w:val="1"/>
      <w:numFmt w:val="lowerRoman"/>
      <w:lvlText w:val="%9."/>
      <w:lvlJc w:val="right"/>
      <w:pPr>
        <w:ind w:left="4332" w:hanging="440"/>
      </w:pPr>
    </w:lvl>
  </w:abstractNum>
  <w:abstractNum w:abstractNumId="29">
    <w:nsid w:val="5AD439C9"/>
    <w:multiLevelType w:val="multilevel"/>
    <w:tmpl w:val="5AD439C9"/>
    <w:lvl w:ilvl="0" w:tentative="0">
      <w:start w:val="1"/>
      <w:numFmt w:val="decimal"/>
      <w:suff w:val="nothing"/>
      <w:lvlText w:val="（%1）"/>
      <w:lvlJc w:val="left"/>
      <w:pPr>
        <w:ind w:left="1164" w:hanging="740"/>
      </w:pPr>
      <w:rPr>
        <w:rFonts w:hint="default"/>
      </w:rPr>
    </w:lvl>
    <w:lvl w:ilvl="1" w:tentative="0">
      <w:start w:val="1"/>
      <w:numFmt w:val="lowerLetter"/>
      <w:lvlText w:val="%2)"/>
      <w:lvlJc w:val="left"/>
      <w:pPr>
        <w:ind w:left="1050" w:hanging="420"/>
      </w:pPr>
    </w:lvl>
    <w:lvl w:ilvl="2" w:tentative="0">
      <w:start w:val="1"/>
      <w:numFmt w:val="chineseCountingThousand"/>
      <w:suff w:val="nothing"/>
      <w:lvlText w:val="(%3)"/>
      <w:lvlJc w:val="left"/>
      <w:pPr>
        <w:ind w:left="1470" w:hanging="420"/>
      </w:pPr>
      <w:rPr>
        <w:rFonts w:hint="default"/>
      </w:rPr>
    </w:lvl>
    <w:lvl w:ilvl="3" w:tentative="0">
      <w:start w:val="1"/>
      <w:numFmt w:val="decimal"/>
      <w:lvlText w:val="%4."/>
      <w:lvlJc w:val="left"/>
      <w:pPr>
        <w:ind w:left="1890" w:hanging="420"/>
      </w:pPr>
    </w:lvl>
    <w:lvl w:ilvl="4" w:tentative="0">
      <w:start w:val="1"/>
      <w:numFmt w:val="lowerLetter"/>
      <w:lvlText w:val="%5)"/>
      <w:lvlJc w:val="left"/>
      <w:pPr>
        <w:ind w:left="2310" w:hanging="420"/>
      </w:pPr>
    </w:lvl>
    <w:lvl w:ilvl="5" w:tentative="0">
      <w:start w:val="1"/>
      <w:numFmt w:val="lowerRoman"/>
      <w:lvlText w:val="%6."/>
      <w:lvlJc w:val="right"/>
      <w:pPr>
        <w:ind w:left="2730" w:hanging="420"/>
      </w:pPr>
    </w:lvl>
    <w:lvl w:ilvl="6" w:tentative="0">
      <w:start w:val="1"/>
      <w:numFmt w:val="decimal"/>
      <w:lvlText w:val="%7."/>
      <w:lvlJc w:val="left"/>
      <w:pPr>
        <w:ind w:left="3150" w:hanging="420"/>
      </w:pPr>
    </w:lvl>
    <w:lvl w:ilvl="7" w:tentative="0">
      <w:start w:val="1"/>
      <w:numFmt w:val="lowerLetter"/>
      <w:lvlText w:val="%8)"/>
      <w:lvlJc w:val="left"/>
      <w:pPr>
        <w:ind w:left="3570" w:hanging="420"/>
      </w:pPr>
    </w:lvl>
    <w:lvl w:ilvl="8" w:tentative="0">
      <w:start w:val="1"/>
      <w:numFmt w:val="lowerRoman"/>
      <w:lvlText w:val="%9."/>
      <w:lvlJc w:val="right"/>
      <w:pPr>
        <w:ind w:left="3990" w:hanging="420"/>
      </w:pPr>
    </w:lvl>
  </w:abstractNum>
  <w:abstractNum w:abstractNumId="30">
    <w:nsid w:val="62278258"/>
    <w:multiLevelType w:val="singleLevel"/>
    <w:tmpl w:val="62278258"/>
    <w:lvl w:ilvl="0" w:tentative="0">
      <w:start w:val="2"/>
      <w:numFmt w:val="decimal"/>
      <w:suff w:val="nothing"/>
      <w:lvlText w:val="（%1）"/>
      <w:lvlJc w:val="left"/>
    </w:lvl>
  </w:abstractNum>
  <w:abstractNum w:abstractNumId="31">
    <w:nsid w:val="717A1B3F"/>
    <w:multiLevelType w:val="multilevel"/>
    <w:tmpl w:val="717A1B3F"/>
    <w:lvl w:ilvl="0" w:tentative="0">
      <w:start w:val="1"/>
      <w:numFmt w:val="decimal"/>
      <w:lvlText w:val="(%1)"/>
      <w:lvlJc w:val="left"/>
      <w:pPr>
        <w:ind w:left="812" w:hanging="440"/>
      </w:pPr>
      <w:rPr>
        <w:rFonts w:hint="eastAsia" w:eastAsia="仿宋"/>
        <w:b w:val="0"/>
        <w:i w:val="0"/>
        <w:sz w:val="24"/>
      </w:rPr>
    </w:lvl>
    <w:lvl w:ilvl="1" w:tentative="0">
      <w:start w:val="1"/>
      <w:numFmt w:val="decimal"/>
      <w:lvlText w:val="(%2)"/>
      <w:lvlJc w:val="left"/>
      <w:pPr>
        <w:ind w:left="812" w:hanging="440"/>
      </w:pPr>
      <w:rPr>
        <w:rFonts w:hint="eastAsia" w:eastAsia="仿宋"/>
        <w:b w:val="0"/>
        <w:i w:val="0"/>
        <w:sz w:val="21"/>
        <w:szCs w:val="21"/>
      </w:rPr>
    </w:lvl>
    <w:lvl w:ilvl="2" w:tentative="0">
      <w:start w:val="1"/>
      <w:numFmt w:val="lowerRoman"/>
      <w:lvlText w:val="%3."/>
      <w:lvlJc w:val="right"/>
      <w:pPr>
        <w:ind w:left="1692" w:hanging="440"/>
      </w:pPr>
    </w:lvl>
    <w:lvl w:ilvl="3" w:tentative="0">
      <w:start w:val="1"/>
      <w:numFmt w:val="decimal"/>
      <w:lvlText w:val="%4."/>
      <w:lvlJc w:val="left"/>
      <w:pPr>
        <w:ind w:left="2132" w:hanging="440"/>
      </w:pPr>
    </w:lvl>
    <w:lvl w:ilvl="4" w:tentative="0">
      <w:start w:val="1"/>
      <w:numFmt w:val="lowerLetter"/>
      <w:lvlText w:val="%5)"/>
      <w:lvlJc w:val="left"/>
      <w:pPr>
        <w:ind w:left="2572" w:hanging="440"/>
      </w:pPr>
    </w:lvl>
    <w:lvl w:ilvl="5" w:tentative="0">
      <w:start w:val="1"/>
      <w:numFmt w:val="lowerRoman"/>
      <w:lvlText w:val="%6."/>
      <w:lvlJc w:val="right"/>
      <w:pPr>
        <w:ind w:left="3012" w:hanging="440"/>
      </w:pPr>
    </w:lvl>
    <w:lvl w:ilvl="6" w:tentative="0">
      <w:start w:val="1"/>
      <w:numFmt w:val="decimal"/>
      <w:lvlText w:val="%7."/>
      <w:lvlJc w:val="left"/>
      <w:pPr>
        <w:ind w:left="3452" w:hanging="440"/>
      </w:pPr>
    </w:lvl>
    <w:lvl w:ilvl="7" w:tentative="0">
      <w:start w:val="1"/>
      <w:numFmt w:val="lowerLetter"/>
      <w:lvlText w:val="%8)"/>
      <w:lvlJc w:val="left"/>
      <w:pPr>
        <w:ind w:left="3892" w:hanging="440"/>
      </w:pPr>
    </w:lvl>
    <w:lvl w:ilvl="8" w:tentative="0">
      <w:start w:val="1"/>
      <w:numFmt w:val="lowerRoman"/>
      <w:lvlText w:val="%9."/>
      <w:lvlJc w:val="right"/>
      <w:pPr>
        <w:ind w:left="4332" w:hanging="440"/>
      </w:pPr>
    </w:lvl>
  </w:abstractNum>
  <w:abstractNum w:abstractNumId="32">
    <w:nsid w:val="7587004C"/>
    <w:multiLevelType w:val="multilevel"/>
    <w:tmpl w:val="7587004C"/>
    <w:lvl w:ilvl="0" w:tentative="0">
      <w:start w:val="1"/>
      <w:numFmt w:val="decimal"/>
      <w:suff w:val="nothing"/>
      <w:lvlText w:val="（%1）"/>
      <w:lvlJc w:val="left"/>
      <w:pPr>
        <w:ind w:left="1144" w:hanging="720"/>
      </w:pPr>
      <w:rPr>
        <w:rFonts w:hint="default"/>
      </w:rPr>
    </w:lvl>
    <w:lvl w:ilvl="1" w:tentative="0">
      <w:start w:val="1"/>
      <w:numFmt w:val="lowerLetter"/>
      <w:lvlText w:val="%2)"/>
      <w:lvlJc w:val="left"/>
      <w:pPr>
        <w:ind w:left="1264" w:hanging="420"/>
      </w:pPr>
    </w:lvl>
    <w:lvl w:ilvl="2" w:tentative="0">
      <w:start w:val="1"/>
      <w:numFmt w:val="lowerRoman"/>
      <w:lvlText w:val="%3."/>
      <w:lvlJc w:val="right"/>
      <w:pPr>
        <w:ind w:left="1684" w:hanging="420"/>
      </w:pPr>
    </w:lvl>
    <w:lvl w:ilvl="3" w:tentative="0">
      <w:start w:val="1"/>
      <w:numFmt w:val="decimal"/>
      <w:lvlText w:val="%4."/>
      <w:lvlJc w:val="left"/>
      <w:pPr>
        <w:ind w:left="2104" w:hanging="420"/>
      </w:pPr>
    </w:lvl>
    <w:lvl w:ilvl="4" w:tentative="0">
      <w:start w:val="1"/>
      <w:numFmt w:val="lowerLetter"/>
      <w:lvlText w:val="%5)"/>
      <w:lvlJc w:val="left"/>
      <w:pPr>
        <w:ind w:left="2524" w:hanging="420"/>
      </w:pPr>
    </w:lvl>
    <w:lvl w:ilvl="5" w:tentative="0">
      <w:start w:val="1"/>
      <w:numFmt w:val="lowerRoman"/>
      <w:lvlText w:val="%6."/>
      <w:lvlJc w:val="right"/>
      <w:pPr>
        <w:ind w:left="2944" w:hanging="420"/>
      </w:pPr>
    </w:lvl>
    <w:lvl w:ilvl="6" w:tentative="0">
      <w:start w:val="1"/>
      <w:numFmt w:val="decimal"/>
      <w:lvlText w:val="%7."/>
      <w:lvlJc w:val="left"/>
      <w:pPr>
        <w:ind w:left="3364" w:hanging="420"/>
      </w:pPr>
    </w:lvl>
    <w:lvl w:ilvl="7" w:tentative="0">
      <w:start w:val="1"/>
      <w:numFmt w:val="lowerLetter"/>
      <w:lvlText w:val="%8)"/>
      <w:lvlJc w:val="left"/>
      <w:pPr>
        <w:ind w:left="3784" w:hanging="420"/>
      </w:pPr>
    </w:lvl>
    <w:lvl w:ilvl="8" w:tentative="0">
      <w:start w:val="1"/>
      <w:numFmt w:val="lowerRoman"/>
      <w:lvlText w:val="%9."/>
      <w:lvlJc w:val="right"/>
      <w:pPr>
        <w:ind w:left="4204" w:hanging="420"/>
      </w:pPr>
    </w:lvl>
  </w:abstractNum>
  <w:abstractNum w:abstractNumId="33">
    <w:nsid w:val="76962928"/>
    <w:multiLevelType w:val="multilevel"/>
    <w:tmpl w:val="76962928"/>
    <w:lvl w:ilvl="0" w:tentative="0">
      <w:start w:val="1"/>
      <w:numFmt w:val="decimal"/>
      <w:lvlText w:val="(%1)"/>
      <w:lvlJc w:val="left"/>
      <w:pPr>
        <w:ind w:left="812" w:hanging="440"/>
      </w:pPr>
      <w:rPr>
        <w:rFonts w:hint="eastAsia" w:eastAsia="仿宋"/>
        <w:b w:val="0"/>
        <w:i w:val="0"/>
        <w:sz w:val="24"/>
      </w:rPr>
    </w:lvl>
    <w:lvl w:ilvl="1" w:tentative="0">
      <w:start w:val="1"/>
      <w:numFmt w:val="decimal"/>
      <w:lvlText w:val="(%2)"/>
      <w:lvlJc w:val="left"/>
      <w:pPr>
        <w:ind w:left="812" w:hanging="440"/>
      </w:pPr>
      <w:rPr>
        <w:rFonts w:hint="eastAsia" w:eastAsia="仿宋"/>
        <w:b w:val="0"/>
        <w:i w:val="0"/>
        <w:sz w:val="21"/>
        <w:szCs w:val="21"/>
      </w:rPr>
    </w:lvl>
    <w:lvl w:ilvl="2" w:tentative="0">
      <w:start w:val="1"/>
      <w:numFmt w:val="lowerRoman"/>
      <w:lvlText w:val="%3."/>
      <w:lvlJc w:val="right"/>
      <w:pPr>
        <w:ind w:left="1692" w:hanging="440"/>
      </w:pPr>
    </w:lvl>
    <w:lvl w:ilvl="3" w:tentative="0">
      <w:start w:val="1"/>
      <w:numFmt w:val="decimal"/>
      <w:lvlText w:val="%4."/>
      <w:lvlJc w:val="left"/>
      <w:pPr>
        <w:ind w:left="2132" w:hanging="440"/>
      </w:pPr>
    </w:lvl>
    <w:lvl w:ilvl="4" w:tentative="0">
      <w:start w:val="1"/>
      <w:numFmt w:val="lowerLetter"/>
      <w:lvlText w:val="%5)"/>
      <w:lvlJc w:val="left"/>
      <w:pPr>
        <w:ind w:left="2572" w:hanging="440"/>
      </w:pPr>
    </w:lvl>
    <w:lvl w:ilvl="5" w:tentative="0">
      <w:start w:val="1"/>
      <w:numFmt w:val="lowerRoman"/>
      <w:lvlText w:val="%6."/>
      <w:lvlJc w:val="right"/>
      <w:pPr>
        <w:ind w:left="3012" w:hanging="440"/>
      </w:pPr>
    </w:lvl>
    <w:lvl w:ilvl="6" w:tentative="0">
      <w:start w:val="1"/>
      <w:numFmt w:val="decimal"/>
      <w:lvlText w:val="%7."/>
      <w:lvlJc w:val="left"/>
      <w:pPr>
        <w:ind w:left="3452" w:hanging="440"/>
      </w:pPr>
    </w:lvl>
    <w:lvl w:ilvl="7" w:tentative="0">
      <w:start w:val="1"/>
      <w:numFmt w:val="lowerLetter"/>
      <w:lvlText w:val="%8)"/>
      <w:lvlJc w:val="left"/>
      <w:pPr>
        <w:ind w:left="3892" w:hanging="440"/>
      </w:pPr>
    </w:lvl>
    <w:lvl w:ilvl="8" w:tentative="0">
      <w:start w:val="1"/>
      <w:numFmt w:val="lowerRoman"/>
      <w:lvlText w:val="%9."/>
      <w:lvlJc w:val="right"/>
      <w:pPr>
        <w:ind w:left="4332" w:hanging="440"/>
      </w:pPr>
    </w:lvl>
  </w:abstractNum>
  <w:abstractNum w:abstractNumId="34">
    <w:nsid w:val="79E76730"/>
    <w:multiLevelType w:val="multilevel"/>
    <w:tmpl w:val="79E76730"/>
    <w:lvl w:ilvl="0" w:tentative="0">
      <w:start w:val="1"/>
      <w:numFmt w:val="decimal"/>
      <w:lvlText w:val="(%1)"/>
      <w:lvlJc w:val="left"/>
      <w:pPr>
        <w:ind w:left="812" w:hanging="440"/>
      </w:pPr>
      <w:rPr>
        <w:rFonts w:hint="eastAsia" w:eastAsia="仿宋"/>
        <w:b w:val="0"/>
        <w:i w:val="0"/>
        <w:sz w:val="24"/>
      </w:rPr>
    </w:lvl>
    <w:lvl w:ilvl="1" w:tentative="0">
      <w:start w:val="1"/>
      <w:numFmt w:val="decimal"/>
      <w:lvlText w:val="(%2)"/>
      <w:lvlJc w:val="left"/>
      <w:pPr>
        <w:ind w:left="812" w:hanging="440"/>
      </w:pPr>
      <w:rPr>
        <w:rFonts w:hint="eastAsia" w:eastAsia="仿宋"/>
        <w:b w:val="0"/>
        <w:i w:val="0"/>
        <w:sz w:val="21"/>
        <w:szCs w:val="21"/>
      </w:rPr>
    </w:lvl>
    <w:lvl w:ilvl="2" w:tentative="0">
      <w:start w:val="1"/>
      <w:numFmt w:val="lowerRoman"/>
      <w:lvlText w:val="%3."/>
      <w:lvlJc w:val="right"/>
      <w:pPr>
        <w:ind w:left="1692" w:hanging="440"/>
      </w:pPr>
    </w:lvl>
    <w:lvl w:ilvl="3" w:tentative="0">
      <w:start w:val="1"/>
      <w:numFmt w:val="decimal"/>
      <w:lvlText w:val="%4."/>
      <w:lvlJc w:val="left"/>
      <w:pPr>
        <w:ind w:left="2132" w:hanging="440"/>
      </w:pPr>
    </w:lvl>
    <w:lvl w:ilvl="4" w:tentative="0">
      <w:start w:val="1"/>
      <w:numFmt w:val="lowerLetter"/>
      <w:lvlText w:val="%5)"/>
      <w:lvlJc w:val="left"/>
      <w:pPr>
        <w:ind w:left="2572" w:hanging="440"/>
      </w:pPr>
    </w:lvl>
    <w:lvl w:ilvl="5" w:tentative="0">
      <w:start w:val="1"/>
      <w:numFmt w:val="lowerRoman"/>
      <w:lvlText w:val="%6."/>
      <w:lvlJc w:val="right"/>
      <w:pPr>
        <w:ind w:left="3012" w:hanging="440"/>
      </w:pPr>
    </w:lvl>
    <w:lvl w:ilvl="6" w:tentative="0">
      <w:start w:val="1"/>
      <w:numFmt w:val="decimal"/>
      <w:lvlText w:val="%7."/>
      <w:lvlJc w:val="left"/>
      <w:pPr>
        <w:ind w:left="3452" w:hanging="440"/>
      </w:pPr>
    </w:lvl>
    <w:lvl w:ilvl="7" w:tentative="0">
      <w:start w:val="1"/>
      <w:numFmt w:val="lowerLetter"/>
      <w:lvlText w:val="%8)"/>
      <w:lvlJc w:val="left"/>
      <w:pPr>
        <w:ind w:left="3892" w:hanging="440"/>
      </w:pPr>
    </w:lvl>
    <w:lvl w:ilvl="8" w:tentative="0">
      <w:start w:val="1"/>
      <w:numFmt w:val="lowerRoman"/>
      <w:lvlText w:val="%9."/>
      <w:lvlJc w:val="right"/>
      <w:pPr>
        <w:ind w:left="4332" w:hanging="440"/>
      </w:pPr>
    </w:lvl>
  </w:abstractNum>
  <w:abstractNum w:abstractNumId="35">
    <w:nsid w:val="7F4F59D7"/>
    <w:multiLevelType w:val="multilevel"/>
    <w:tmpl w:val="7F4F59D7"/>
    <w:lvl w:ilvl="0" w:tentative="0">
      <w:start w:val="1"/>
      <w:numFmt w:val="decimal"/>
      <w:lvlText w:val="(%1)"/>
      <w:lvlJc w:val="left"/>
      <w:pPr>
        <w:ind w:left="812" w:hanging="440"/>
      </w:pPr>
      <w:rPr>
        <w:rFonts w:hint="eastAsia" w:eastAsia="仿宋"/>
        <w:b w:val="0"/>
        <w:i w:val="0"/>
        <w:sz w:val="24"/>
      </w:rPr>
    </w:lvl>
    <w:lvl w:ilvl="1" w:tentative="0">
      <w:start w:val="1"/>
      <w:numFmt w:val="decimal"/>
      <w:lvlText w:val="(%2)"/>
      <w:lvlJc w:val="left"/>
      <w:pPr>
        <w:ind w:left="812" w:hanging="440"/>
      </w:pPr>
      <w:rPr>
        <w:rFonts w:hint="eastAsia" w:eastAsia="仿宋"/>
        <w:b w:val="0"/>
        <w:i w:val="0"/>
        <w:sz w:val="21"/>
        <w:szCs w:val="21"/>
      </w:rPr>
    </w:lvl>
    <w:lvl w:ilvl="2" w:tentative="0">
      <w:start w:val="1"/>
      <w:numFmt w:val="lowerRoman"/>
      <w:lvlText w:val="%3."/>
      <w:lvlJc w:val="right"/>
      <w:pPr>
        <w:ind w:left="1692" w:hanging="440"/>
      </w:pPr>
    </w:lvl>
    <w:lvl w:ilvl="3" w:tentative="0">
      <w:start w:val="1"/>
      <w:numFmt w:val="decimal"/>
      <w:lvlText w:val="%4."/>
      <w:lvlJc w:val="left"/>
      <w:pPr>
        <w:ind w:left="2132" w:hanging="440"/>
      </w:pPr>
    </w:lvl>
    <w:lvl w:ilvl="4" w:tentative="0">
      <w:start w:val="1"/>
      <w:numFmt w:val="lowerLetter"/>
      <w:lvlText w:val="%5)"/>
      <w:lvlJc w:val="left"/>
      <w:pPr>
        <w:ind w:left="2572" w:hanging="440"/>
      </w:pPr>
    </w:lvl>
    <w:lvl w:ilvl="5" w:tentative="0">
      <w:start w:val="1"/>
      <w:numFmt w:val="lowerRoman"/>
      <w:lvlText w:val="%6."/>
      <w:lvlJc w:val="right"/>
      <w:pPr>
        <w:ind w:left="3012" w:hanging="440"/>
      </w:pPr>
    </w:lvl>
    <w:lvl w:ilvl="6" w:tentative="0">
      <w:start w:val="1"/>
      <w:numFmt w:val="decimal"/>
      <w:lvlText w:val="%7."/>
      <w:lvlJc w:val="left"/>
      <w:pPr>
        <w:ind w:left="3452" w:hanging="440"/>
      </w:pPr>
    </w:lvl>
    <w:lvl w:ilvl="7" w:tentative="0">
      <w:start w:val="1"/>
      <w:numFmt w:val="lowerLetter"/>
      <w:lvlText w:val="%8)"/>
      <w:lvlJc w:val="left"/>
      <w:pPr>
        <w:ind w:left="3892" w:hanging="440"/>
      </w:pPr>
    </w:lvl>
    <w:lvl w:ilvl="8" w:tentative="0">
      <w:start w:val="1"/>
      <w:numFmt w:val="lowerRoman"/>
      <w:lvlText w:val="%9."/>
      <w:lvlJc w:val="right"/>
      <w:pPr>
        <w:ind w:left="4332" w:hanging="440"/>
      </w:pPr>
    </w:lvl>
  </w:abstractNum>
  <w:num w:numId="1">
    <w:abstractNumId w:val="13"/>
  </w:num>
  <w:num w:numId="2">
    <w:abstractNumId w:val="5"/>
  </w:num>
  <w:num w:numId="3">
    <w:abstractNumId w:val="9"/>
  </w:num>
  <w:num w:numId="4">
    <w:abstractNumId w:val="22"/>
  </w:num>
  <w:num w:numId="5">
    <w:abstractNumId w:val="21"/>
  </w:num>
  <w:num w:numId="6">
    <w:abstractNumId w:val="4"/>
  </w:num>
  <w:num w:numId="7">
    <w:abstractNumId w:val="3"/>
  </w:num>
  <w:num w:numId="8">
    <w:abstractNumId w:val="11"/>
  </w:num>
  <w:num w:numId="9">
    <w:abstractNumId w:val="8"/>
  </w:num>
  <w:num w:numId="10">
    <w:abstractNumId w:val="12"/>
  </w:num>
  <w:num w:numId="11">
    <w:abstractNumId w:val="7"/>
  </w:num>
  <w:num w:numId="12">
    <w:abstractNumId w:val="10"/>
  </w:num>
  <w:num w:numId="13">
    <w:abstractNumId w:val="14"/>
  </w:num>
  <w:num w:numId="14">
    <w:abstractNumId w:val="6"/>
  </w:num>
  <w:num w:numId="15">
    <w:abstractNumId w:val="18"/>
  </w:num>
  <w:num w:numId="16">
    <w:abstractNumId w:val="32"/>
  </w:num>
  <w:num w:numId="17">
    <w:abstractNumId w:val="16"/>
  </w:num>
  <w:num w:numId="18">
    <w:abstractNumId w:val="20"/>
  </w:num>
  <w:num w:numId="19">
    <w:abstractNumId w:val="30"/>
  </w:num>
  <w:num w:numId="20">
    <w:abstractNumId w:val="1"/>
  </w:num>
  <w:num w:numId="21">
    <w:abstractNumId w:val="0"/>
  </w:num>
  <w:num w:numId="22">
    <w:abstractNumId w:val="19"/>
  </w:num>
  <w:num w:numId="23">
    <w:abstractNumId w:val="15"/>
  </w:num>
  <w:num w:numId="24">
    <w:abstractNumId w:val="28"/>
  </w:num>
  <w:num w:numId="25">
    <w:abstractNumId w:val="31"/>
  </w:num>
  <w:num w:numId="26">
    <w:abstractNumId w:val="34"/>
  </w:num>
  <w:num w:numId="27">
    <w:abstractNumId w:val="33"/>
  </w:num>
  <w:num w:numId="28">
    <w:abstractNumId w:val="26"/>
  </w:num>
  <w:num w:numId="29">
    <w:abstractNumId w:val="25"/>
  </w:num>
  <w:num w:numId="30">
    <w:abstractNumId w:val="35"/>
  </w:num>
  <w:num w:numId="31">
    <w:abstractNumId w:val="27"/>
  </w:num>
  <w:num w:numId="32">
    <w:abstractNumId w:val="24"/>
  </w:num>
  <w:num w:numId="33">
    <w:abstractNumId w:val="23"/>
  </w:num>
  <w:num w:numId="34">
    <w:abstractNumId w:val="2"/>
  </w:num>
  <w:num w:numId="35">
    <w:abstractNumId w:val="29"/>
  </w:num>
  <w:num w:numId="3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isplayBackgroundShape w:val="1"/>
  <w:bordersDoNotSurroundHeader w:val="0"/>
  <w:bordersDoNotSurroundFooter w:val="0"/>
  <w:hideSpellingErrors/>
  <w:trackRevisions w:val="1"/>
  <w:documentProtection w:enforcement="0"/>
  <w:defaultTabStop w:val="422"/>
  <w:drawingGridHorizontalSpacing w:val="170"/>
  <w:drawingGridVerticalSpacing w:val="231"/>
  <w:displayHorizontalDrawingGridEvery w:val="1"/>
  <w:displayVerticalDrawingGridEvery w:val="1"/>
  <w:noPunctuationKerning w:val="1"/>
  <w:characterSpacingControl w:val="doNotCompress"/>
  <w:doNotValidateAgainstSchema/>
  <w:doNotDemarcateInvalidXml/>
  <w:hdrShapeDefaults>
    <o:shapelayout v:ext="edit">
      <o:idmap v:ext="edit" data="3,4"/>
    </o:shapelayout>
  </w:hdrShapeDefaults>
  <w:footnotePr>
    <w:numFmt w:val="decimalEnclosedCircleChinese"/>
    <w:numRestart w:val="eachPage"/>
    <w:footnote w:id="144"/>
    <w:footnote w:id="145"/>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VkNDI0ZGI2YWExYzc5MTAwMzEzYTgyMTBjYzkyYjUifQ=="/>
    <w:docVar w:name="KSO_WPS_MARK_KEY" w:val="00c21e5e-96fc-4a19-bdbd-653fe2db17fa"/>
  </w:docVars>
  <w:rsids>
    <w:rsidRoot w:val="00172A27"/>
    <w:rsid w:val="00085DA1"/>
    <w:rsid w:val="00172A27"/>
    <w:rsid w:val="001C263F"/>
    <w:rsid w:val="00227C20"/>
    <w:rsid w:val="00322587"/>
    <w:rsid w:val="00353624"/>
    <w:rsid w:val="0035556A"/>
    <w:rsid w:val="00502AB5"/>
    <w:rsid w:val="0051249A"/>
    <w:rsid w:val="0057013C"/>
    <w:rsid w:val="005740A5"/>
    <w:rsid w:val="005C620B"/>
    <w:rsid w:val="00790070"/>
    <w:rsid w:val="00797FE7"/>
    <w:rsid w:val="00834A6A"/>
    <w:rsid w:val="009009F3"/>
    <w:rsid w:val="00926D87"/>
    <w:rsid w:val="00A44BEC"/>
    <w:rsid w:val="00A56F31"/>
    <w:rsid w:val="00AC363D"/>
    <w:rsid w:val="00AF0F0D"/>
    <w:rsid w:val="00C815B1"/>
    <w:rsid w:val="00CF5305"/>
    <w:rsid w:val="00D11E85"/>
    <w:rsid w:val="00D40A73"/>
    <w:rsid w:val="00DF3269"/>
    <w:rsid w:val="00DF34A2"/>
    <w:rsid w:val="00EC3BC5"/>
    <w:rsid w:val="00EF54D9"/>
    <w:rsid w:val="00FA7BCC"/>
    <w:rsid w:val="01101675"/>
    <w:rsid w:val="014560E2"/>
    <w:rsid w:val="016A0DAC"/>
    <w:rsid w:val="01724122"/>
    <w:rsid w:val="017D4F5C"/>
    <w:rsid w:val="02C82BF8"/>
    <w:rsid w:val="02CC4706"/>
    <w:rsid w:val="031A4A2D"/>
    <w:rsid w:val="032F1310"/>
    <w:rsid w:val="03F41D0C"/>
    <w:rsid w:val="04096F7B"/>
    <w:rsid w:val="04497102"/>
    <w:rsid w:val="045A10C0"/>
    <w:rsid w:val="04815E2B"/>
    <w:rsid w:val="04821C98"/>
    <w:rsid w:val="049B5377"/>
    <w:rsid w:val="04F512AE"/>
    <w:rsid w:val="05247F72"/>
    <w:rsid w:val="054B552D"/>
    <w:rsid w:val="057667CC"/>
    <w:rsid w:val="057C6E82"/>
    <w:rsid w:val="05975CC6"/>
    <w:rsid w:val="05B253F0"/>
    <w:rsid w:val="05D63B8E"/>
    <w:rsid w:val="06A45B2C"/>
    <w:rsid w:val="06CE0077"/>
    <w:rsid w:val="0781507A"/>
    <w:rsid w:val="084604D1"/>
    <w:rsid w:val="084C1B44"/>
    <w:rsid w:val="08534FC3"/>
    <w:rsid w:val="0870581B"/>
    <w:rsid w:val="091A7535"/>
    <w:rsid w:val="091E569B"/>
    <w:rsid w:val="09271C52"/>
    <w:rsid w:val="092D370C"/>
    <w:rsid w:val="093D2DD4"/>
    <w:rsid w:val="09AD0515"/>
    <w:rsid w:val="09B403C7"/>
    <w:rsid w:val="09E0749F"/>
    <w:rsid w:val="0A0B0881"/>
    <w:rsid w:val="0A263493"/>
    <w:rsid w:val="0A504CF3"/>
    <w:rsid w:val="0A7E109B"/>
    <w:rsid w:val="0AA51080"/>
    <w:rsid w:val="0AB55D1C"/>
    <w:rsid w:val="0AC55230"/>
    <w:rsid w:val="0AED19C4"/>
    <w:rsid w:val="0BAF694D"/>
    <w:rsid w:val="0BDA6FE4"/>
    <w:rsid w:val="0BF63052"/>
    <w:rsid w:val="0CA00915"/>
    <w:rsid w:val="0CB97866"/>
    <w:rsid w:val="0CC33C1B"/>
    <w:rsid w:val="0CC51AB9"/>
    <w:rsid w:val="0CC66E47"/>
    <w:rsid w:val="0D0C3638"/>
    <w:rsid w:val="0D411B5F"/>
    <w:rsid w:val="0D807166"/>
    <w:rsid w:val="0D955B5A"/>
    <w:rsid w:val="0DA70F48"/>
    <w:rsid w:val="0DB632D8"/>
    <w:rsid w:val="0DED1503"/>
    <w:rsid w:val="0E1704E7"/>
    <w:rsid w:val="0E2221D9"/>
    <w:rsid w:val="0E251251"/>
    <w:rsid w:val="0E7D0968"/>
    <w:rsid w:val="0E8536A2"/>
    <w:rsid w:val="0EAD2BF9"/>
    <w:rsid w:val="0EBA0BD7"/>
    <w:rsid w:val="0EFE5203"/>
    <w:rsid w:val="0EFF77EC"/>
    <w:rsid w:val="0F1D66E0"/>
    <w:rsid w:val="0F276176"/>
    <w:rsid w:val="0F347A4D"/>
    <w:rsid w:val="0F505928"/>
    <w:rsid w:val="0F73627E"/>
    <w:rsid w:val="0F7B2F53"/>
    <w:rsid w:val="0F7C0340"/>
    <w:rsid w:val="0FAE09D7"/>
    <w:rsid w:val="104B58B5"/>
    <w:rsid w:val="10540863"/>
    <w:rsid w:val="107E484D"/>
    <w:rsid w:val="109951E3"/>
    <w:rsid w:val="10D26C79"/>
    <w:rsid w:val="10EC0BF5"/>
    <w:rsid w:val="11314203"/>
    <w:rsid w:val="11673533"/>
    <w:rsid w:val="11C4717C"/>
    <w:rsid w:val="11C75D80"/>
    <w:rsid w:val="11CB36F5"/>
    <w:rsid w:val="11CE096D"/>
    <w:rsid w:val="11DB0E46"/>
    <w:rsid w:val="11DB182B"/>
    <w:rsid w:val="11EA4A7C"/>
    <w:rsid w:val="11FC011F"/>
    <w:rsid w:val="12064013"/>
    <w:rsid w:val="120668A8"/>
    <w:rsid w:val="121F5BBC"/>
    <w:rsid w:val="1227792F"/>
    <w:rsid w:val="125B0538"/>
    <w:rsid w:val="13564902"/>
    <w:rsid w:val="138A175B"/>
    <w:rsid w:val="13C11D06"/>
    <w:rsid w:val="13CB7DA9"/>
    <w:rsid w:val="14270513"/>
    <w:rsid w:val="1455586C"/>
    <w:rsid w:val="14C938C6"/>
    <w:rsid w:val="14E729D5"/>
    <w:rsid w:val="150177FB"/>
    <w:rsid w:val="153B0A5E"/>
    <w:rsid w:val="153D72BB"/>
    <w:rsid w:val="156A35F2"/>
    <w:rsid w:val="15742EBC"/>
    <w:rsid w:val="15946C4E"/>
    <w:rsid w:val="15FB337B"/>
    <w:rsid w:val="16301EEC"/>
    <w:rsid w:val="16560431"/>
    <w:rsid w:val="165C7BB2"/>
    <w:rsid w:val="172D64FB"/>
    <w:rsid w:val="175613C2"/>
    <w:rsid w:val="1773702B"/>
    <w:rsid w:val="178865EF"/>
    <w:rsid w:val="17AD21A0"/>
    <w:rsid w:val="180725A6"/>
    <w:rsid w:val="180E376C"/>
    <w:rsid w:val="18117D55"/>
    <w:rsid w:val="186F0F6F"/>
    <w:rsid w:val="188B0F69"/>
    <w:rsid w:val="18B02996"/>
    <w:rsid w:val="18BC3024"/>
    <w:rsid w:val="18E67433"/>
    <w:rsid w:val="193B777F"/>
    <w:rsid w:val="193C2319"/>
    <w:rsid w:val="194B736B"/>
    <w:rsid w:val="19940776"/>
    <w:rsid w:val="199A305A"/>
    <w:rsid w:val="19C57049"/>
    <w:rsid w:val="19C86B39"/>
    <w:rsid w:val="1A140E24"/>
    <w:rsid w:val="1A420ADE"/>
    <w:rsid w:val="1A790C41"/>
    <w:rsid w:val="1A852FE8"/>
    <w:rsid w:val="1AA80E44"/>
    <w:rsid w:val="1AB22D8F"/>
    <w:rsid w:val="1ADB0CE4"/>
    <w:rsid w:val="1B487F31"/>
    <w:rsid w:val="1B5A4220"/>
    <w:rsid w:val="1B750726"/>
    <w:rsid w:val="1B7C5E2D"/>
    <w:rsid w:val="1B9B2757"/>
    <w:rsid w:val="1B9C0B87"/>
    <w:rsid w:val="1BA47228"/>
    <w:rsid w:val="1BA57132"/>
    <w:rsid w:val="1C1918CE"/>
    <w:rsid w:val="1C9C546B"/>
    <w:rsid w:val="1CAE64BA"/>
    <w:rsid w:val="1CB22554"/>
    <w:rsid w:val="1D0B5C9E"/>
    <w:rsid w:val="1D547D41"/>
    <w:rsid w:val="1D774AFE"/>
    <w:rsid w:val="1D81772B"/>
    <w:rsid w:val="1DBE272D"/>
    <w:rsid w:val="1E676991"/>
    <w:rsid w:val="1E6B7662"/>
    <w:rsid w:val="1E78471F"/>
    <w:rsid w:val="1ED35C11"/>
    <w:rsid w:val="1F0F3A7E"/>
    <w:rsid w:val="1F135208"/>
    <w:rsid w:val="1F3F2BD4"/>
    <w:rsid w:val="1F420C28"/>
    <w:rsid w:val="1F5B6C59"/>
    <w:rsid w:val="1F6B0692"/>
    <w:rsid w:val="2068008A"/>
    <w:rsid w:val="20797944"/>
    <w:rsid w:val="207C68A2"/>
    <w:rsid w:val="20E06E5E"/>
    <w:rsid w:val="211F7986"/>
    <w:rsid w:val="21312B76"/>
    <w:rsid w:val="213D7E0C"/>
    <w:rsid w:val="216A22C7"/>
    <w:rsid w:val="21AF250B"/>
    <w:rsid w:val="21FB7EF3"/>
    <w:rsid w:val="22090649"/>
    <w:rsid w:val="222334A6"/>
    <w:rsid w:val="22250FCC"/>
    <w:rsid w:val="222C2752"/>
    <w:rsid w:val="22327F7E"/>
    <w:rsid w:val="223E7047"/>
    <w:rsid w:val="228D6B72"/>
    <w:rsid w:val="22D87DED"/>
    <w:rsid w:val="23033DBD"/>
    <w:rsid w:val="23674D6D"/>
    <w:rsid w:val="23B21385"/>
    <w:rsid w:val="23BD7835"/>
    <w:rsid w:val="23C83794"/>
    <w:rsid w:val="23C86623"/>
    <w:rsid w:val="23DA2FD5"/>
    <w:rsid w:val="247450D6"/>
    <w:rsid w:val="24A634B4"/>
    <w:rsid w:val="24B30B11"/>
    <w:rsid w:val="24E13A49"/>
    <w:rsid w:val="254944BC"/>
    <w:rsid w:val="258E2EC9"/>
    <w:rsid w:val="259237DE"/>
    <w:rsid w:val="25DD571A"/>
    <w:rsid w:val="26135D17"/>
    <w:rsid w:val="262F0958"/>
    <w:rsid w:val="266F6CBA"/>
    <w:rsid w:val="26B47F5C"/>
    <w:rsid w:val="26B84D63"/>
    <w:rsid w:val="26CA39C8"/>
    <w:rsid w:val="270F0422"/>
    <w:rsid w:val="27A110F5"/>
    <w:rsid w:val="27D914CE"/>
    <w:rsid w:val="28414C92"/>
    <w:rsid w:val="28B74948"/>
    <w:rsid w:val="291B2732"/>
    <w:rsid w:val="29840901"/>
    <w:rsid w:val="29E82F38"/>
    <w:rsid w:val="2A2B739C"/>
    <w:rsid w:val="2A493286"/>
    <w:rsid w:val="2AB2761A"/>
    <w:rsid w:val="2ADA575B"/>
    <w:rsid w:val="2B255B99"/>
    <w:rsid w:val="2B256C86"/>
    <w:rsid w:val="2B5D17D7"/>
    <w:rsid w:val="2B9E193B"/>
    <w:rsid w:val="2BA03472"/>
    <w:rsid w:val="2BDB094E"/>
    <w:rsid w:val="2C1C3440"/>
    <w:rsid w:val="2C3562B0"/>
    <w:rsid w:val="2CC144B8"/>
    <w:rsid w:val="2CCF218E"/>
    <w:rsid w:val="2CDC4F0B"/>
    <w:rsid w:val="2CF27F6B"/>
    <w:rsid w:val="2D1E49DA"/>
    <w:rsid w:val="2D203998"/>
    <w:rsid w:val="2D51573C"/>
    <w:rsid w:val="2DB33E90"/>
    <w:rsid w:val="2DDB2D72"/>
    <w:rsid w:val="2DE25133"/>
    <w:rsid w:val="2DEA30CA"/>
    <w:rsid w:val="2E2C38AF"/>
    <w:rsid w:val="2E951288"/>
    <w:rsid w:val="2E9530F4"/>
    <w:rsid w:val="2EB850CD"/>
    <w:rsid w:val="2F30661B"/>
    <w:rsid w:val="2FB839DF"/>
    <w:rsid w:val="2FCB89C8"/>
    <w:rsid w:val="2FD26D92"/>
    <w:rsid w:val="2FD44032"/>
    <w:rsid w:val="2FEB6CB0"/>
    <w:rsid w:val="30297DFA"/>
    <w:rsid w:val="30A53EC6"/>
    <w:rsid w:val="30A566E4"/>
    <w:rsid w:val="31053404"/>
    <w:rsid w:val="31523460"/>
    <w:rsid w:val="316B1CB8"/>
    <w:rsid w:val="31B56D2D"/>
    <w:rsid w:val="31B616AB"/>
    <w:rsid w:val="32847F41"/>
    <w:rsid w:val="3287425B"/>
    <w:rsid w:val="32C04662"/>
    <w:rsid w:val="32F93FF9"/>
    <w:rsid w:val="33282550"/>
    <w:rsid w:val="334A6CB2"/>
    <w:rsid w:val="3390201E"/>
    <w:rsid w:val="339678D5"/>
    <w:rsid w:val="34101BAC"/>
    <w:rsid w:val="34254E5C"/>
    <w:rsid w:val="342E5110"/>
    <w:rsid w:val="34546879"/>
    <w:rsid w:val="349929E0"/>
    <w:rsid w:val="349F1B61"/>
    <w:rsid w:val="350D28AF"/>
    <w:rsid w:val="353A1D8C"/>
    <w:rsid w:val="353F1F4D"/>
    <w:rsid w:val="353F4BDD"/>
    <w:rsid w:val="35B20971"/>
    <w:rsid w:val="35B87BED"/>
    <w:rsid w:val="35C57746"/>
    <w:rsid w:val="35F969C0"/>
    <w:rsid w:val="363B2715"/>
    <w:rsid w:val="36BA3A34"/>
    <w:rsid w:val="36BE6EA2"/>
    <w:rsid w:val="36F5338D"/>
    <w:rsid w:val="372907BF"/>
    <w:rsid w:val="3741766B"/>
    <w:rsid w:val="376B21FD"/>
    <w:rsid w:val="37AC7588"/>
    <w:rsid w:val="38092132"/>
    <w:rsid w:val="382B2D00"/>
    <w:rsid w:val="38975BFC"/>
    <w:rsid w:val="38BB5C48"/>
    <w:rsid w:val="38DA3D55"/>
    <w:rsid w:val="394A4673"/>
    <w:rsid w:val="3950297B"/>
    <w:rsid w:val="3963760F"/>
    <w:rsid w:val="398754CD"/>
    <w:rsid w:val="39971BB3"/>
    <w:rsid w:val="399C24D8"/>
    <w:rsid w:val="39CD2BE1"/>
    <w:rsid w:val="39DE48D1"/>
    <w:rsid w:val="3A0C5E4C"/>
    <w:rsid w:val="3A184B1B"/>
    <w:rsid w:val="3A3758E9"/>
    <w:rsid w:val="3A4420CD"/>
    <w:rsid w:val="3A505144"/>
    <w:rsid w:val="3A5C5078"/>
    <w:rsid w:val="3AB32867"/>
    <w:rsid w:val="3AD4250E"/>
    <w:rsid w:val="3B1F2779"/>
    <w:rsid w:val="3B2A2D58"/>
    <w:rsid w:val="3B362783"/>
    <w:rsid w:val="3B3F3BC7"/>
    <w:rsid w:val="3B4F27BE"/>
    <w:rsid w:val="3B8620A7"/>
    <w:rsid w:val="3BD43063"/>
    <w:rsid w:val="3BF13876"/>
    <w:rsid w:val="3BF345A7"/>
    <w:rsid w:val="3C153F0B"/>
    <w:rsid w:val="3CE30C5E"/>
    <w:rsid w:val="3D0A5FFD"/>
    <w:rsid w:val="3D845755"/>
    <w:rsid w:val="3DD54363"/>
    <w:rsid w:val="3DEE6D48"/>
    <w:rsid w:val="3E0E1A8B"/>
    <w:rsid w:val="3E473A5B"/>
    <w:rsid w:val="3E4E3201"/>
    <w:rsid w:val="3E5720B6"/>
    <w:rsid w:val="3F3F0C6A"/>
    <w:rsid w:val="3F566213"/>
    <w:rsid w:val="3F794C18"/>
    <w:rsid w:val="3F982986"/>
    <w:rsid w:val="3FA77D0C"/>
    <w:rsid w:val="3FB9302E"/>
    <w:rsid w:val="3FFE121F"/>
    <w:rsid w:val="40223343"/>
    <w:rsid w:val="409E4F91"/>
    <w:rsid w:val="40B21825"/>
    <w:rsid w:val="41436921"/>
    <w:rsid w:val="418C1912"/>
    <w:rsid w:val="419249A3"/>
    <w:rsid w:val="41AE6491"/>
    <w:rsid w:val="41B96BE3"/>
    <w:rsid w:val="41C8714D"/>
    <w:rsid w:val="41D4603F"/>
    <w:rsid w:val="41ED0193"/>
    <w:rsid w:val="42044303"/>
    <w:rsid w:val="425F2FF7"/>
    <w:rsid w:val="426D46D4"/>
    <w:rsid w:val="42862F6A"/>
    <w:rsid w:val="428F3FA1"/>
    <w:rsid w:val="42BD0DA1"/>
    <w:rsid w:val="42C27D1A"/>
    <w:rsid w:val="42D57A4D"/>
    <w:rsid w:val="43923B90"/>
    <w:rsid w:val="439B6B5A"/>
    <w:rsid w:val="43B92D60"/>
    <w:rsid w:val="4411483A"/>
    <w:rsid w:val="44155BDE"/>
    <w:rsid w:val="445138C5"/>
    <w:rsid w:val="44586305"/>
    <w:rsid w:val="44BE2E8F"/>
    <w:rsid w:val="44EA32CA"/>
    <w:rsid w:val="44EC2874"/>
    <w:rsid w:val="452A4BC8"/>
    <w:rsid w:val="45621FA0"/>
    <w:rsid w:val="462140AB"/>
    <w:rsid w:val="463000A3"/>
    <w:rsid w:val="465F41FD"/>
    <w:rsid w:val="46845A12"/>
    <w:rsid w:val="46A92C33"/>
    <w:rsid w:val="46B7003E"/>
    <w:rsid w:val="46F6230E"/>
    <w:rsid w:val="474E3F08"/>
    <w:rsid w:val="476169CD"/>
    <w:rsid w:val="47710F95"/>
    <w:rsid w:val="47A7394B"/>
    <w:rsid w:val="47A75109"/>
    <w:rsid w:val="47B916EB"/>
    <w:rsid w:val="47CC52E4"/>
    <w:rsid w:val="47D810B1"/>
    <w:rsid w:val="47EF2407"/>
    <w:rsid w:val="482E226E"/>
    <w:rsid w:val="48311451"/>
    <w:rsid w:val="48857E09"/>
    <w:rsid w:val="4895744F"/>
    <w:rsid w:val="48B6445C"/>
    <w:rsid w:val="48F055E1"/>
    <w:rsid w:val="48F31A2B"/>
    <w:rsid w:val="491E4050"/>
    <w:rsid w:val="49273145"/>
    <w:rsid w:val="49EF7708"/>
    <w:rsid w:val="49F73462"/>
    <w:rsid w:val="4A6A14C9"/>
    <w:rsid w:val="4A77312C"/>
    <w:rsid w:val="4AB31351"/>
    <w:rsid w:val="4AE271AB"/>
    <w:rsid w:val="4B04003D"/>
    <w:rsid w:val="4B264932"/>
    <w:rsid w:val="4B3F7FAC"/>
    <w:rsid w:val="4B5346F6"/>
    <w:rsid w:val="4B6112DE"/>
    <w:rsid w:val="4B736055"/>
    <w:rsid w:val="4B7F2C4C"/>
    <w:rsid w:val="4C036A2C"/>
    <w:rsid w:val="4C0B3A52"/>
    <w:rsid w:val="4C1627B6"/>
    <w:rsid w:val="4C8B2099"/>
    <w:rsid w:val="4CA0243F"/>
    <w:rsid w:val="4CA24760"/>
    <w:rsid w:val="4CDF5D99"/>
    <w:rsid w:val="4D1F3D9A"/>
    <w:rsid w:val="4DB50BA7"/>
    <w:rsid w:val="4DFB6FB7"/>
    <w:rsid w:val="4E9E64F3"/>
    <w:rsid w:val="4E9E662E"/>
    <w:rsid w:val="4EB81891"/>
    <w:rsid w:val="4F196F13"/>
    <w:rsid w:val="4F351F9F"/>
    <w:rsid w:val="4FB70EC5"/>
    <w:rsid w:val="4FCB5E77"/>
    <w:rsid w:val="500D387F"/>
    <w:rsid w:val="50532420"/>
    <w:rsid w:val="507920AA"/>
    <w:rsid w:val="51167BAE"/>
    <w:rsid w:val="512F0C70"/>
    <w:rsid w:val="513332DD"/>
    <w:rsid w:val="517448D5"/>
    <w:rsid w:val="517D757C"/>
    <w:rsid w:val="51954A31"/>
    <w:rsid w:val="51CA7B3D"/>
    <w:rsid w:val="520B6FE7"/>
    <w:rsid w:val="52237E43"/>
    <w:rsid w:val="52320A18"/>
    <w:rsid w:val="523D1B1A"/>
    <w:rsid w:val="527F2980"/>
    <w:rsid w:val="538452A3"/>
    <w:rsid w:val="53AE7FE3"/>
    <w:rsid w:val="53B55546"/>
    <w:rsid w:val="53E41D23"/>
    <w:rsid w:val="540A3C5A"/>
    <w:rsid w:val="543071C7"/>
    <w:rsid w:val="544B0F37"/>
    <w:rsid w:val="54553489"/>
    <w:rsid w:val="54574A01"/>
    <w:rsid w:val="54BE612B"/>
    <w:rsid w:val="54ED5FEE"/>
    <w:rsid w:val="550B6415"/>
    <w:rsid w:val="553700F3"/>
    <w:rsid w:val="56072502"/>
    <w:rsid w:val="56430BF0"/>
    <w:rsid w:val="565F7902"/>
    <w:rsid w:val="567A0881"/>
    <w:rsid w:val="56821842"/>
    <w:rsid w:val="5698465C"/>
    <w:rsid w:val="56AC6833"/>
    <w:rsid w:val="56B955FB"/>
    <w:rsid w:val="56CE4A87"/>
    <w:rsid w:val="5745564F"/>
    <w:rsid w:val="576E183A"/>
    <w:rsid w:val="5780080A"/>
    <w:rsid w:val="57BB6FA9"/>
    <w:rsid w:val="57C03029"/>
    <w:rsid w:val="57D815CF"/>
    <w:rsid w:val="57E570CD"/>
    <w:rsid w:val="57E95BC9"/>
    <w:rsid w:val="581A02B9"/>
    <w:rsid w:val="58594815"/>
    <w:rsid w:val="586236D9"/>
    <w:rsid w:val="587D6765"/>
    <w:rsid w:val="58922210"/>
    <w:rsid w:val="58965D5F"/>
    <w:rsid w:val="58BB0463"/>
    <w:rsid w:val="58C41BA7"/>
    <w:rsid w:val="58F307D5"/>
    <w:rsid w:val="58F456B6"/>
    <w:rsid w:val="58F714FE"/>
    <w:rsid w:val="596D63DB"/>
    <w:rsid w:val="5A3D658B"/>
    <w:rsid w:val="5AA75554"/>
    <w:rsid w:val="5AB4460B"/>
    <w:rsid w:val="5AB87F28"/>
    <w:rsid w:val="5B01367D"/>
    <w:rsid w:val="5B5E305F"/>
    <w:rsid w:val="5B7230AB"/>
    <w:rsid w:val="5B834092"/>
    <w:rsid w:val="5BDBA784"/>
    <w:rsid w:val="5C514191"/>
    <w:rsid w:val="5CC9313D"/>
    <w:rsid w:val="5CE40B61"/>
    <w:rsid w:val="5D0E2082"/>
    <w:rsid w:val="5D13534B"/>
    <w:rsid w:val="5D2A07FE"/>
    <w:rsid w:val="5D6461CB"/>
    <w:rsid w:val="5DA07EA9"/>
    <w:rsid w:val="5DAA6A7B"/>
    <w:rsid w:val="5DD670DF"/>
    <w:rsid w:val="5E0B46BF"/>
    <w:rsid w:val="5E1D46BC"/>
    <w:rsid w:val="5E860718"/>
    <w:rsid w:val="5EAA5DDA"/>
    <w:rsid w:val="5EB76C0D"/>
    <w:rsid w:val="5EFB78E0"/>
    <w:rsid w:val="5F327935"/>
    <w:rsid w:val="5F7CE59D"/>
    <w:rsid w:val="5F93EFE9"/>
    <w:rsid w:val="5FAD3202"/>
    <w:rsid w:val="5FB82FE0"/>
    <w:rsid w:val="5FF408E0"/>
    <w:rsid w:val="60196ACC"/>
    <w:rsid w:val="60716BAF"/>
    <w:rsid w:val="607F3793"/>
    <w:rsid w:val="60CF5463"/>
    <w:rsid w:val="60F74360"/>
    <w:rsid w:val="610C0AD4"/>
    <w:rsid w:val="611E3B36"/>
    <w:rsid w:val="612F674A"/>
    <w:rsid w:val="614957D2"/>
    <w:rsid w:val="61DB6210"/>
    <w:rsid w:val="61E46F91"/>
    <w:rsid w:val="622F0CF9"/>
    <w:rsid w:val="624A5A0B"/>
    <w:rsid w:val="62773EF0"/>
    <w:rsid w:val="630419FB"/>
    <w:rsid w:val="637C5F97"/>
    <w:rsid w:val="63C82AC9"/>
    <w:rsid w:val="63DF6526"/>
    <w:rsid w:val="63FC1DEC"/>
    <w:rsid w:val="641057BD"/>
    <w:rsid w:val="647C58EE"/>
    <w:rsid w:val="64A07A63"/>
    <w:rsid w:val="64EA5182"/>
    <w:rsid w:val="651C5A73"/>
    <w:rsid w:val="651E2A5A"/>
    <w:rsid w:val="65323396"/>
    <w:rsid w:val="654B227B"/>
    <w:rsid w:val="656D3718"/>
    <w:rsid w:val="658031BA"/>
    <w:rsid w:val="659A6BA8"/>
    <w:rsid w:val="65D05266"/>
    <w:rsid w:val="65E25011"/>
    <w:rsid w:val="66302417"/>
    <w:rsid w:val="663A5F8A"/>
    <w:rsid w:val="66507267"/>
    <w:rsid w:val="666B31A7"/>
    <w:rsid w:val="66C8141C"/>
    <w:rsid w:val="66E82CEE"/>
    <w:rsid w:val="67657800"/>
    <w:rsid w:val="67752B21"/>
    <w:rsid w:val="678B49FB"/>
    <w:rsid w:val="67A7359A"/>
    <w:rsid w:val="680B63D0"/>
    <w:rsid w:val="681E2874"/>
    <w:rsid w:val="6844104D"/>
    <w:rsid w:val="68E057FB"/>
    <w:rsid w:val="68F93BE6"/>
    <w:rsid w:val="68FC7232"/>
    <w:rsid w:val="69494A53"/>
    <w:rsid w:val="69880584"/>
    <w:rsid w:val="698E3834"/>
    <w:rsid w:val="69927259"/>
    <w:rsid w:val="69EA1B0C"/>
    <w:rsid w:val="6A8D564A"/>
    <w:rsid w:val="6ACE4BEC"/>
    <w:rsid w:val="6B186C4D"/>
    <w:rsid w:val="6B207439"/>
    <w:rsid w:val="6B2F7F2E"/>
    <w:rsid w:val="6B3D425E"/>
    <w:rsid w:val="6C0419CA"/>
    <w:rsid w:val="6C241A17"/>
    <w:rsid w:val="6CBB0506"/>
    <w:rsid w:val="6CF40DC4"/>
    <w:rsid w:val="6D005FDA"/>
    <w:rsid w:val="6D0E38A3"/>
    <w:rsid w:val="6D1958A3"/>
    <w:rsid w:val="6D54129A"/>
    <w:rsid w:val="6D841E30"/>
    <w:rsid w:val="6D9C47B6"/>
    <w:rsid w:val="6E0365FF"/>
    <w:rsid w:val="6E4379EC"/>
    <w:rsid w:val="6E6260F4"/>
    <w:rsid w:val="6E901CC9"/>
    <w:rsid w:val="6E9564E4"/>
    <w:rsid w:val="6F286FD3"/>
    <w:rsid w:val="6FCE2827"/>
    <w:rsid w:val="702C500B"/>
    <w:rsid w:val="704A2F79"/>
    <w:rsid w:val="708A15C7"/>
    <w:rsid w:val="70E43226"/>
    <w:rsid w:val="711F57AE"/>
    <w:rsid w:val="717B07C3"/>
    <w:rsid w:val="71A16BC9"/>
    <w:rsid w:val="721011AE"/>
    <w:rsid w:val="723F1B4A"/>
    <w:rsid w:val="72440A0B"/>
    <w:rsid w:val="72497B75"/>
    <w:rsid w:val="724A722B"/>
    <w:rsid w:val="724D0AFE"/>
    <w:rsid w:val="726227FC"/>
    <w:rsid w:val="72DF3E4C"/>
    <w:rsid w:val="7320377D"/>
    <w:rsid w:val="738B09B9"/>
    <w:rsid w:val="73BE6051"/>
    <w:rsid w:val="74213FF1"/>
    <w:rsid w:val="7436190C"/>
    <w:rsid w:val="744E5315"/>
    <w:rsid w:val="746A0C2F"/>
    <w:rsid w:val="74D531C6"/>
    <w:rsid w:val="7503260A"/>
    <w:rsid w:val="750C123C"/>
    <w:rsid w:val="75675252"/>
    <w:rsid w:val="757A723F"/>
    <w:rsid w:val="757D16FB"/>
    <w:rsid w:val="757D212D"/>
    <w:rsid w:val="76050C77"/>
    <w:rsid w:val="762E1AB0"/>
    <w:rsid w:val="764F47CC"/>
    <w:rsid w:val="765406AD"/>
    <w:rsid w:val="76574F25"/>
    <w:rsid w:val="76682D04"/>
    <w:rsid w:val="769BF844"/>
    <w:rsid w:val="76B543CD"/>
    <w:rsid w:val="76BA4DD8"/>
    <w:rsid w:val="76FA0DD4"/>
    <w:rsid w:val="77376ADC"/>
    <w:rsid w:val="77BC29AE"/>
    <w:rsid w:val="77C26231"/>
    <w:rsid w:val="77D959A0"/>
    <w:rsid w:val="780F46E8"/>
    <w:rsid w:val="783D6CA3"/>
    <w:rsid w:val="78AF6EF2"/>
    <w:rsid w:val="78E73A5B"/>
    <w:rsid w:val="791B299E"/>
    <w:rsid w:val="79314D2C"/>
    <w:rsid w:val="79332E67"/>
    <w:rsid w:val="793B3DA7"/>
    <w:rsid w:val="795971E6"/>
    <w:rsid w:val="79732C43"/>
    <w:rsid w:val="797C08AB"/>
    <w:rsid w:val="7A8552D9"/>
    <w:rsid w:val="7ACF4677"/>
    <w:rsid w:val="7B71314D"/>
    <w:rsid w:val="7BA7312C"/>
    <w:rsid w:val="7BB95541"/>
    <w:rsid w:val="7C613431"/>
    <w:rsid w:val="7C780755"/>
    <w:rsid w:val="7C7821C9"/>
    <w:rsid w:val="7D507D22"/>
    <w:rsid w:val="7DD935F2"/>
    <w:rsid w:val="7E25460D"/>
    <w:rsid w:val="7E3A3F7B"/>
    <w:rsid w:val="7E711705"/>
    <w:rsid w:val="7E8768A0"/>
    <w:rsid w:val="7EC54522"/>
    <w:rsid w:val="7ED927D7"/>
    <w:rsid w:val="7EE62061"/>
    <w:rsid w:val="7EF0FCA0"/>
    <w:rsid w:val="7F3A3964"/>
    <w:rsid w:val="7F8C2C66"/>
    <w:rsid w:val="7F9B6AC5"/>
    <w:rsid w:val="7F9E4E03"/>
    <w:rsid w:val="7FDEB3C9"/>
    <w:rsid w:val="9D37A5E0"/>
    <w:rsid w:val="9FBEDBE7"/>
    <w:rsid w:val="D77D9B79"/>
    <w:rsid w:val="F56DD2FB"/>
    <w:rsid w:val="FDF73012"/>
    <w:rsid w:val="FF7FAF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9" w:semiHidden="0" w:name="heading 3"/>
    <w:lsdException w:qFormat="1" w:unhideWhenUsed="0" w:uiPriority="0" w:semiHidden="0" w:name="heading 4"/>
    <w:lsdException w:qFormat="1" w:unhideWhenUsed="0" w:uiPriority="11"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qFormat="1" w:unhideWhenUsed="0" w:uiPriority="0" w:semiHidden="0" w:name="index 4"/>
    <w:lsdException w:uiPriority="99" w:name="index 5"/>
    <w:lsdException w:uiPriority="99" w:name="index 6"/>
    <w:lsdException w:qFormat="1" w:unhideWhenUsed="0" w:uiPriority="0" w:semiHidden="0"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sdException w:qFormat="1" w:unhideWhenUsed="0" w:uiPriority="0" w:name="table of figures"/>
    <w:lsdException w:qFormat="1" w:unhideWhenUsed="0" w:uiPriority="0" w:semiHidden="0" w:name="envelope address"/>
    <w:lsdException w:uiPriority="99" w:name="envelope return"/>
    <w:lsdException w:qFormat="1" w:unhideWhenUsed="0"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uiPriority="99" w:name="macro"/>
    <w:lsdException w:uiPriority="99" w:name="toa heading"/>
    <w:lsdException w:qFormat="1" w:unhideWhenUsed="0" w:uiPriority="0" w:semiHidden="0" w:name="List"/>
    <w:lsdException w:qFormat="1" w:unhideWhenUsed="0" w:uiPriority="0" w:semiHidden="0" w:name="List Bullet"/>
    <w:lsdException w:uiPriority="99" w:name="List Number"/>
    <w:lsdException w:qFormat="1" w:unhideWhenUsed="0" w:uiPriority="0" w:semiHidden="0" w:name="List 2"/>
    <w:lsdException w:qFormat="1" w:unhideWhenUsed="0" w:uiPriority="0" w:semiHidden="0" w:name="List 3"/>
    <w:lsdException w:qFormat="1" w:unhideWhenUsed="0" w:uiPriority="0" w:semiHidden="0" w:name="List 4"/>
    <w:lsdException w:uiPriority="99" w:name="List 5"/>
    <w:lsdException w:uiPriority="99" w:name="List Bullet 2"/>
    <w:lsdException w:uiPriority="99" w:name="List Bullet 3"/>
    <w:lsdException w:qFormat="1" w:unhideWhenUsed="0" w:uiPriority="0" w:semiHidden="0"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6"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99" w:semiHidden="0" w:name="HTML Preformatted"/>
    <w:lsdException w:qFormat="1" w:unhideWhenUsed="0" w:uiPriority="0" w:semiHidden="0" w:name="HTML Sample"/>
    <w:lsdException w:uiPriority="99"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99" w:name="Table Grid"/>
    <w:lsdException w:uiPriority="99" w:name="Table Theme"/>
    <w:lsdException w:qFormat="1" w:unhideWhenUsed="0" w:uiPriority="5"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21" w:semiHidden="0" w:name="Quote"/>
    <w:lsdException w:qFormat="1" w:unhideWhenUsed="0" w:uiPriority="22"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color w:val="000000"/>
      <w:sz w:val="34"/>
      <w:lang w:val="en-US" w:eastAsia="zh-CN" w:bidi="ar-SA"/>
    </w:rPr>
  </w:style>
  <w:style w:type="paragraph" w:styleId="3">
    <w:name w:val="heading 1"/>
    <w:basedOn w:val="1"/>
    <w:next w:val="1"/>
    <w:link w:val="94"/>
    <w:qFormat/>
    <w:uiPriority w:val="0"/>
    <w:pPr>
      <w:keepNext/>
      <w:keepLines/>
      <w:spacing w:before="340" w:after="330" w:line="576" w:lineRule="auto"/>
      <w:outlineLvl w:val="0"/>
    </w:pPr>
    <w:rPr>
      <w:rFonts w:ascii="Times New Roman" w:hAnsi="Times New Roman"/>
      <w:b/>
      <w:sz w:val="44"/>
      <w:szCs w:val="44"/>
    </w:rPr>
  </w:style>
  <w:style w:type="paragraph" w:styleId="4">
    <w:name w:val="heading 2"/>
    <w:basedOn w:val="1"/>
    <w:next w:val="1"/>
    <w:link w:val="95"/>
    <w:qFormat/>
    <w:uiPriority w:val="0"/>
    <w:pPr>
      <w:keepNext/>
      <w:keepLines/>
      <w:spacing w:beforeLines="100" w:afterLines="100" w:line="360" w:lineRule="auto"/>
      <w:outlineLvl w:val="1"/>
    </w:pPr>
    <w:rPr>
      <w:rFonts w:ascii="黑体" w:hAnsi="黑体" w:eastAsia="黑体"/>
      <w:color w:val="auto"/>
      <w:kern w:val="1"/>
      <w:sz w:val="28"/>
      <w:szCs w:val="28"/>
      <w:lang w:val="zh-CN"/>
    </w:rPr>
  </w:style>
  <w:style w:type="paragraph" w:styleId="5">
    <w:name w:val="heading 3"/>
    <w:basedOn w:val="1"/>
    <w:next w:val="1"/>
    <w:link w:val="96"/>
    <w:qFormat/>
    <w:uiPriority w:val="99"/>
    <w:pPr>
      <w:keepNext/>
      <w:keepLines/>
      <w:spacing w:beforeLines="50" w:afterLines="50" w:line="360" w:lineRule="auto"/>
      <w:ind w:firstLine="136"/>
      <w:outlineLvl w:val="2"/>
    </w:pPr>
    <w:rPr>
      <w:rFonts w:ascii="黑体" w:hAnsi="黑体" w:eastAsia="黑体"/>
      <w:color w:val="auto"/>
      <w:kern w:val="1"/>
      <w:sz w:val="28"/>
      <w:szCs w:val="28"/>
      <w:lang w:val="zh-CN"/>
    </w:rPr>
  </w:style>
  <w:style w:type="paragraph" w:styleId="6">
    <w:name w:val="heading 4"/>
    <w:basedOn w:val="1"/>
    <w:next w:val="1"/>
    <w:link w:val="97"/>
    <w:qFormat/>
    <w:uiPriority w:val="0"/>
    <w:pPr>
      <w:keepNext/>
      <w:keepLines/>
      <w:spacing w:before="280" w:after="290" w:line="372" w:lineRule="auto"/>
      <w:outlineLvl w:val="3"/>
    </w:pPr>
    <w:rPr>
      <w:rFonts w:ascii="Arial" w:hAnsi="Arial" w:eastAsia="黑体"/>
      <w:b/>
      <w:sz w:val="28"/>
      <w:szCs w:val="28"/>
    </w:rPr>
  </w:style>
  <w:style w:type="paragraph" w:styleId="7">
    <w:name w:val="heading 5"/>
    <w:basedOn w:val="1"/>
    <w:next w:val="1"/>
    <w:link w:val="98"/>
    <w:qFormat/>
    <w:uiPriority w:val="11"/>
    <w:pPr>
      <w:keepNext/>
      <w:keepLines/>
      <w:widowControl/>
      <w:spacing w:before="120" w:after="120" w:line="360" w:lineRule="auto"/>
      <w:ind w:firstLine="499"/>
      <w:jc w:val="left"/>
      <w:outlineLvl w:val="4"/>
    </w:pPr>
    <w:rPr>
      <w:b/>
      <w:sz w:val="24"/>
      <w:szCs w:val="24"/>
    </w:rPr>
  </w:style>
  <w:style w:type="paragraph" w:styleId="8">
    <w:name w:val="heading 6"/>
    <w:basedOn w:val="1"/>
    <w:next w:val="9"/>
    <w:link w:val="99"/>
    <w:qFormat/>
    <w:uiPriority w:val="0"/>
    <w:pPr>
      <w:keepNext/>
      <w:keepLines/>
      <w:widowControl/>
      <w:tabs>
        <w:tab w:val="left" w:pos="1440"/>
      </w:tabs>
      <w:spacing w:before="240" w:after="64" w:line="317" w:lineRule="auto"/>
      <w:ind w:left="1152" w:hanging="1152"/>
      <w:jc w:val="left"/>
      <w:outlineLvl w:val="5"/>
    </w:pPr>
    <w:rPr>
      <w:rFonts w:ascii="Arial" w:hAnsi="Arial" w:eastAsia="黑体"/>
      <w:b/>
      <w:sz w:val="24"/>
      <w:szCs w:val="24"/>
    </w:rPr>
  </w:style>
  <w:style w:type="paragraph" w:styleId="10">
    <w:name w:val="heading 7"/>
    <w:basedOn w:val="1"/>
    <w:next w:val="1"/>
    <w:link w:val="100"/>
    <w:qFormat/>
    <w:uiPriority w:val="0"/>
    <w:pPr>
      <w:keepNext/>
      <w:keepLines/>
      <w:widowControl/>
      <w:tabs>
        <w:tab w:val="left" w:pos="2520"/>
      </w:tabs>
      <w:spacing w:before="240" w:after="64" w:line="317" w:lineRule="auto"/>
      <w:ind w:left="1296" w:hanging="1296"/>
      <w:jc w:val="left"/>
      <w:outlineLvl w:val="6"/>
    </w:pPr>
    <w:rPr>
      <w:rFonts w:ascii="Times New Roman" w:hAnsi="Times New Roman"/>
      <w:b/>
      <w:sz w:val="24"/>
      <w:szCs w:val="24"/>
    </w:rPr>
  </w:style>
  <w:style w:type="paragraph" w:styleId="11">
    <w:name w:val="heading 8"/>
    <w:basedOn w:val="1"/>
    <w:next w:val="1"/>
    <w:link w:val="101"/>
    <w:qFormat/>
    <w:uiPriority w:val="0"/>
    <w:pPr>
      <w:keepNext/>
      <w:keepLines/>
      <w:widowControl/>
      <w:tabs>
        <w:tab w:val="left" w:pos="1440"/>
      </w:tabs>
      <w:spacing w:before="240" w:after="64" w:line="317" w:lineRule="auto"/>
      <w:ind w:left="1440" w:hanging="1440"/>
      <w:jc w:val="left"/>
      <w:outlineLvl w:val="7"/>
    </w:pPr>
    <w:rPr>
      <w:rFonts w:ascii="Arial" w:hAnsi="Arial" w:eastAsia="黑体"/>
      <w:sz w:val="24"/>
      <w:szCs w:val="24"/>
    </w:rPr>
  </w:style>
  <w:style w:type="paragraph" w:styleId="12">
    <w:name w:val="heading 9"/>
    <w:basedOn w:val="1"/>
    <w:next w:val="1"/>
    <w:link w:val="102"/>
    <w:qFormat/>
    <w:uiPriority w:val="0"/>
    <w:pPr>
      <w:keepNext/>
      <w:keepLines/>
      <w:widowControl/>
      <w:tabs>
        <w:tab w:val="left" w:pos="1584"/>
      </w:tabs>
      <w:spacing w:before="240" w:after="64" w:line="317" w:lineRule="auto"/>
      <w:ind w:left="1584" w:hanging="1584"/>
      <w:jc w:val="left"/>
      <w:outlineLvl w:val="8"/>
    </w:pPr>
    <w:rPr>
      <w:rFonts w:ascii="Arial" w:hAnsi="Arial" w:eastAsia="黑体"/>
      <w:sz w:val="21"/>
      <w:szCs w:val="21"/>
    </w:rPr>
  </w:style>
  <w:style w:type="character" w:default="1" w:styleId="62">
    <w:name w:val="Default Paragraph Font"/>
    <w:semiHidden/>
    <w:unhideWhenUsed/>
    <w:qFormat/>
    <w:uiPriority w:val="1"/>
  </w:style>
  <w:style w:type="table" w:default="1" w:styleId="60">
    <w:name w:val="Normal Table"/>
    <w:semiHidden/>
    <w:unhideWhenUsed/>
    <w:qFormat/>
    <w:uiPriority w:val="99"/>
    <w:tblPr>
      <w:tblCellMar>
        <w:top w:w="0" w:type="dxa"/>
        <w:left w:w="108" w:type="dxa"/>
        <w:bottom w:w="0" w:type="dxa"/>
        <w:right w:w="108" w:type="dxa"/>
      </w:tblCellMar>
    </w:tblPr>
  </w:style>
  <w:style w:type="paragraph" w:customStyle="1" w:styleId="2">
    <w:name w:val="正文缩进1"/>
    <w:basedOn w:val="1"/>
    <w:qFormat/>
    <w:uiPriority w:val="99"/>
    <w:pPr>
      <w:adjustRightInd w:val="0"/>
      <w:spacing w:line="360" w:lineRule="atLeast"/>
      <w:ind w:firstLine="420"/>
    </w:pPr>
    <w:rPr>
      <w:rFonts w:hint="eastAsia"/>
      <w:color w:val="auto"/>
      <w:kern w:val="2"/>
    </w:rPr>
  </w:style>
  <w:style w:type="paragraph" w:styleId="9">
    <w:name w:val="Normal Indent"/>
    <w:basedOn w:val="1"/>
    <w:qFormat/>
    <w:uiPriority w:val="0"/>
    <w:pPr>
      <w:ind w:firstLine="420"/>
    </w:pPr>
    <w:rPr>
      <w:kern w:val="1"/>
    </w:rPr>
  </w:style>
  <w:style w:type="paragraph" w:styleId="13">
    <w:name w:val="List 3"/>
    <w:basedOn w:val="1"/>
    <w:qFormat/>
    <w:uiPriority w:val="0"/>
    <w:pPr>
      <w:spacing w:line="312" w:lineRule="atLeast"/>
      <w:ind w:left="1260" w:hanging="420"/>
    </w:pPr>
  </w:style>
  <w:style w:type="paragraph" w:styleId="14">
    <w:name w:val="toc 7"/>
    <w:basedOn w:val="1"/>
    <w:next w:val="1"/>
    <w:qFormat/>
    <w:uiPriority w:val="39"/>
    <w:pPr>
      <w:ind w:left="1260"/>
      <w:jc w:val="left"/>
    </w:pPr>
    <w:rPr>
      <w:kern w:val="1"/>
      <w:sz w:val="18"/>
      <w:szCs w:val="18"/>
    </w:rPr>
  </w:style>
  <w:style w:type="paragraph" w:styleId="15">
    <w:name w:val="table of authorities"/>
    <w:basedOn w:val="1"/>
    <w:next w:val="1"/>
    <w:qFormat/>
    <w:uiPriority w:val="0"/>
    <w:pPr>
      <w:widowControl/>
      <w:ind w:left="420"/>
      <w:jc w:val="left"/>
    </w:pPr>
    <w:rPr>
      <w:sz w:val="20"/>
      <w:lang w:val="en-GB"/>
    </w:rPr>
  </w:style>
  <w:style w:type="paragraph" w:styleId="16">
    <w:name w:val="List Bullet 4"/>
    <w:basedOn w:val="1"/>
    <w:qFormat/>
    <w:uiPriority w:val="0"/>
    <w:pPr>
      <w:tabs>
        <w:tab w:val="left" w:pos="400"/>
        <w:tab w:val="left" w:pos="1271"/>
      </w:tabs>
      <w:ind w:left="400"/>
    </w:pPr>
    <w:rPr>
      <w:kern w:val="1"/>
    </w:rPr>
  </w:style>
  <w:style w:type="paragraph" w:styleId="17">
    <w:name w:val="caption"/>
    <w:basedOn w:val="1"/>
    <w:next w:val="1"/>
    <w:qFormat/>
    <w:uiPriority w:val="0"/>
    <w:rPr>
      <w:rFonts w:hint="eastAsia" w:ascii="Cambria" w:hAnsi="Cambria" w:eastAsia="黑体"/>
      <w:color w:val="auto"/>
      <w:kern w:val="2"/>
      <w:sz w:val="28"/>
    </w:rPr>
  </w:style>
  <w:style w:type="paragraph" w:styleId="18">
    <w:name w:val="List Bullet"/>
    <w:basedOn w:val="1"/>
    <w:qFormat/>
    <w:uiPriority w:val="0"/>
    <w:pPr>
      <w:widowControl/>
      <w:tabs>
        <w:tab w:val="left" w:pos="944"/>
      </w:tabs>
      <w:ind w:left="944" w:hanging="420"/>
    </w:pPr>
    <w:rPr>
      <w:rFonts w:ascii="Arial" w:hAnsi="Arial" w:eastAsia="Times New Roman"/>
      <w:dstrike/>
      <w:color w:val="auto"/>
      <w:sz w:val="20"/>
    </w:rPr>
  </w:style>
  <w:style w:type="paragraph" w:styleId="19">
    <w:name w:val="envelope address"/>
    <w:basedOn w:val="1"/>
    <w:qFormat/>
    <w:uiPriority w:val="0"/>
    <w:pPr>
      <w:adjustRightInd w:val="0"/>
      <w:snapToGrid w:val="0"/>
      <w:spacing w:line="360" w:lineRule="atLeast"/>
      <w:ind w:left="2880"/>
      <w:textAlignment w:val="baseline"/>
    </w:pPr>
    <w:rPr>
      <w:rFonts w:ascii="Arial" w:hAnsi="Arial"/>
      <w:color w:val="auto"/>
      <w:sz w:val="24"/>
    </w:rPr>
  </w:style>
  <w:style w:type="paragraph" w:styleId="20">
    <w:name w:val="Document Map"/>
    <w:basedOn w:val="1"/>
    <w:link w:val="103"/>
    <w:qFormat/>
    <w:uiPriority w:val="0"/>
    <w:pPr>
      <w:shd w:val="clear" w:color="000000" w:fill="00007F"/>
    </w:pPr>
    <w:rPr>
      <w:rFonts w:ascii="Times New Roman" w:hAnsi="Times New Roman"/>
      <w:kern w:val="1"/>
      <w:sz w:val="21"/>
      <w:szCs w:val="24"/>
    </w:rPr>
  </w:style>
  <w:style w:type="paragraph" w:styleId="21">
    <w:name w:val="annotation text"/>
    <w:basedOn w:val="1"/>
    <w:link w:val="104"/>
    <w:qFormat/>
    <w:uiPriority w:val="0"/>
    <w:pPr>
      <w:jc w:val="left"/>
    </w:pPr>
    <w:rPr>
      <w:rFonts w:ascii="Times New Roman" w:hAnsi="Times New Roman"/>
      <w:kern w:val="1"/>
      <w:sz w:val="21"/>
      <w:szCs w:val="24"/>
    </w:rPr>
  </w:style>
  <w:style w:type="paragraph" w:styleId="22">
    <w:name w:val="Salutation"/>
    <w:basedOn w:val="1"/>
    <w:next w:val="1"/>
    <w:link w:val="105"/>
    <w:qFormat/>
    <w:uiPriority w:val="0"/>
    <w:rPr>
      <w:rFonts w:eastAsia="仿宋"/>
      <w:kern w:val="1"/>
      <w:sz w:val="21"/>
      <w:szCs w:val="24"/>
    </w:rPr>
  </w:style>
  <w:style w:type="paragraph" w:styleId="23">
    <w:name w:val="Body Text 3"/>
    <w:basedOn w:val="1"/>
    <w:link w:val="106"/>
    <w:qFormat/>
    <w:uiPriority w:val="0"/>
    <w:rPr>
      <w:kern w:val="1"/>
      <w:sz w:val="24"/>
      <w:lang w:val="zh-CN"/>
    </w:rPr>
  </w:style>
  <w:style w:type="paragraph" w:styleId="24">
    <w:name w:val="Body Text"/>
    <w:basedOn w:val="1"/>
    <w:next w:val="1"/>
    <w:link w:val="107"/>
    <w:qFormat/>
    <w:uiPriority w:val="0"/>
    <w:pPr>
      <w:spacing w:after="120"/>
    </w:pPr>
    <w:rPr>
      <w:rFonts w:ascii="Times New Roman" w:hAnsi="Times New Roman"/>
      <w:color w:val="auto"/>
      <w:kern w:val="2"/>
      <w:sz w:val="21"/>
    </w:rPr>
  </w:style>
  <w:style w:type="paragraph" w:styleId="25">
    <w:name w:val="Body Text Indent"/>
    <w:basedOn w:val="1"/>
    <w:next w:val="1"/>
    <w:link w:val="92"/>
    <w:qFormat/>
    <w:uiPriority w:val="0"/>
    <w:pPr>
      <w:spacing w:after="120"/>
      <w:ind w:left="420"/>
    </w:pPr>
    <w:rPr>
      <w:rFonts w:ascii="Times New Roman" w:hAnsi="Times New Roman"/>
      <w:kern w:val="1"/>
      <w:sz w:val="21"/>
      <w:szCs w:val="24"/>
    </w:rPr>
  </w:style>
  <w:style w:type="paragraph" w:styleId="26">
    <w:name w:val="List 2"/>
    <w:basedOn w:val="1"/>
    <w:qFormat/>
    <w:uiPriority w:val="0"/>
    <w:pPr>
      <w:spacing w:line="312" w:lineRule="atLeast"/>
      <w:ind w:left="840" w:hanging="420"/>
    </w:pPr>
  </w:style>
  <w:style w:type="paragraph" w:styleId="27">
    <w:name w:val="List Continue"/>
    <w:basedOn w:val="1"/>
    <w:qFormat/>
    <w:uiPriority w:val="0"/>
    <w:pPr>
      <w:spacing w:after="120"/>
      <w:ind w:left="420" w:leftChars="200"/>
    </w:pPr>
    <w:rPr>
      <w:rFonts w:hint="eastAsia"/>
      <w:color w:val="auto"/>
      <w:kern w:val="2"/>
    </w:rPr>
  </w:style>
  <w:style w:type="paragraph" w:styleId="28">
    <w:name w:val="Block Text"/>
    <w:basedOn w:val="1"/>
    <w:qFormat/>
    <w:uiPriority w:val="0"/>
    <w:pPr>
      <w:ind w:left="420" w:right="33"/>
      <w:jc w:val="left"/>
    </w:pPr>
    <w:rPr>
      <w:sz w:val="24"/>
    </w:rPr>
  </w:style>
  <w:style w:type="paragraph" w:styleId="29">
    <w:name w:val="index 4"/>
    <w:basedOn w:val="1"/>
    <w:next w:val="1"/>
    <w:qFormat/>
    <w:uiPriority w:val="0"/>
    <w:pPr>
      <w:ind w:left="600" w:leftChars="600"/>
    </w:pPr>
    <w:rPr>
      <w:rFonts w:hint="eastAsia"/>
      <w:color w:val="auto"/>
      <w:kern w:val="2"/>
    </w:rPr>
  </w:style>
  <w:style w:type="paragraph" w:styleId="30">
    <w:name w:val="toc 5"/>
    <w:basedOn w:val="1"/>
    <w:next w:val="1"/>
    <w:qFormat/>
    <w:uiPriority w:val="39"/>
    <w:pPr>
      <w:ind w:left="840"/>
      <w:jc w:val="left"/>
    </w:pPr>
    <w:rPr>
      <w:kern w:val="1"/>
      <w:sz w:val="18"/>
      <w:szCs w:val="18"/>
    </w:rPr>
  </w:style>
  <w:style w:type="paragraph" w:styleId="31">
    <w:name w:val="toc 3"/>
    <w:basedOn w:val="1"/>
    <w:next w:val="1"/>
    <w:qFormat/>
    <w:uiPriority w:val="39"/>
    <w:pPr>
      <w:ind w:left="420"/>
      <w:jc w:val="left"/>
    </w:pPr>
    <w:rPr>
      <w:kern w:val="1"/>
      <w:sz w:val="20"/>
    </w:rPr>
  </w:style>
  <w:style w:type="paragraph" w:styleId="32">
    <w:name w:val="Plain Text"/>
    <w:basedOn w:val="1"/>
    <w:qFormat/>
    <w:uiPriority w:val="0"/>
    <w:rPr>
      <w:rFonts w:cs="Courier New"/>
      <w:kern w:val="1"/>
    </w:rPr>
  </w:style>
  <w:style w:type="paragraph" w:styleId="33">
    <w:name w:val="toc 8"/>
    <w:basedOn w:val="1"/>
    <w:next w:val="1"/>
    <w:qFormat/>
    <w:uiPriority w:val="39"/>
    <w:pPr>
      <w:ind w:left="1470"/>
      <w:jc w:val="left"/>
    </w:pPr>
    <w:rPr>
      <w:kern w:val="1"/>
      <w:sz w:val="18"/>
      <w:szCs w:val="18"/>
    </w:rPr>
  </w:style>
  <w:style w:type="paragraph" w:styleId="34">
    <w:name w:val="Date"/>
    <w:basedOn w:val="1"/>
    <w:next w:val="1"/>
    <w:link w:val="108"/>
    <w:qFormat/>
    <w:uiPriority w:val="0"/>
    <w:rPr>
      <w:rFonts w:ascii="Times New Roman" w:hAnsi="Times New Roman"/>
      <w:kern w:val="1"/>
      <w:sz w:val="24"/>
      <w:lang w:val="zh-CN"/>
    </w:rPr>
  </w:style>
  <w:style w:type="paragraph" w:styleId="35">
    <w:name w:val="Body Text Indent 2"/>
    <w:basedOn w:val="1"/>
    <w:link w:val="109"/>
    <w:qFormat/>
    <w:uiPriority w:val="0"/>
    <w:pPr>
      <w:widowControl/>
      <w:spacing w:line="360" w:lineRule="auto"/>
      <w:ind w:firstLine="555"/>
    </w:pPr>
    <w:rPr>
      <w:spacing w:val="12"/>
      <w:kern w:val="1"/>
      <w:sz w:val="24"/>
      <w:szCs w:val="24"/>
    </w:rPr>
  </w:style>
  <w:style w:type="paragraph" w:styleId="36">
    <w:name w:val="endnote text"/>
    <w:basedOn w:val="1"/>
    <w:link w:val="110"/>
    <w:qFormat/>
    <w:uiPriority w:val="0"/>
    <w:pPr>
      <w:widowControl/>
      <w:jc w:val="left"/>
    </w:pPr>
    <w:rPr>
      <w:rFonts w:ascii="Times New Roman" w:hAnsi="Times New Roman"/>
      <w:kern w:val="1"/>
      <w:sz w:val="21"/>
      <w:szCs w:val="24"/>
    </w:rPr>
  </w:style>
  <w:style w:type="paragraph" w:styleId="37">
    <w:name w:val="Balloon Text"/>
    <w:basedOn w:val="1"/>
    <w:link w:val="111"/>
    <w:qFormat/>
    <w:uiPriority w:val="0"/>
    <w:rPr>
      <w:rFonts w:ascii="Times New Roman" w:hAnsi="Times New Roman"/>
      <w:kern w:val="1"/>
      <w:sz w:val="18"/>
      <w:szCs w:val="18"/>
      <w:lang w:val="zh-CN"/>
    </w:rPr>
  </w:style>
  <w:style w:type="paragraph" w:styleId="38">
    <w:name w:val="footer"/>
    <w:basedOn w:val="1"/>
    <w:link w:val="112"/>
    <w:qFormat/>
    <w:uiPriority w:val="99"/>
    <w:pPr>
      <w:tabs>
        <w:tab w:val="center" w:pos="4153"/>
        <w:tab w:val="right" w:pos="8305"/>
      </w:tabs>
      <w:jc w:val="left"/>
    </w:pPr>
    <w:rPr>
      <w:rFonts w:ascii="Times New Roman" w:hAnsi="Times New Roman"/>
      <w:kern w:val="1"/>
      <w:sz w:val="18"/>
      <w:szCs w:val="18"/>
    </w:rPr>
  </w:style>
  <w:style w:type="paragraph" w:styleId="39">
    <w:name w:val="header"/>
    <w:basedOn w:val="1"/>
    <w:link w:val="113"/>
    <w:qFormat/>
    <w:uiPriority w:val="99"/>
    <w:pPr>
      <w:tabs>
        <w:tab w:val="center" w:pos="4153"/>
        <w:tab w:val="right" w:pos="8305"/>
      </w:tabs>
      <w:jc w:val="center"/>
    </w:pPr>
    <w:rPr>
      <w:rFonts w:ascii="Times New Roman" w:hAnsi="Times New Roman"/>
      <w:kern w:val="1"/>
      <w:sz w:val="18"/>
      <w:szCs w:val="18"/>
      <w:lang w:val="zh-CN"/>
    </w:rPr>
  </w:style>
  <w:style w:type="paragraph" w:styleId="40">
    <w:name w:val="toc 1"/>
    <w:basedOn w:val="1"/>
    <w:next w:val="1"/>
    <w:qFormat/>
    <w:uiPriority w:val="39"/>
    <w:pPr>
      <w:spacing w:before="120" w:after="120"/>
      <w:jc w:val="left"/>
    </w:pPr>
    <w:rPr>
      <w:b/>
      <w:caps/>
      <w:kern w:val="1"/>
      <w:sz w:val="20"/>
    </w:rPr>
  </w:style>
  <w:style w:type="paragraph" w:styleId="41">
    <w:name w:val="toc 4"/>
    <w:basedOn w:val="1"/>
    <w:next w:val="1"/>
    <w:qFormat/>
    <w:uiPriority w:val="39"/>
    <w:pPr>
      <w:ind w:left="630"/>
      <w:jc w:val="left"/>
    </w:pPr>
    <w:rPr>
      <w:kern w:val="1"/>
      <w:sz w:val="18"/>
      <w:szCs w:val="18"/>
    </w:rPr>
  </w:style>
  <w:style w:type="paragraph" w:styleId="42">
    <w:name w:val="Subtitle"/>
    <w:basedOn w:val="1"/>
    <w:next w:val="1"/>
    <w:link w:val="114"/>
    <w:qFormat/>
    <w:uiPriority w:val="16"/>
    <w:pPr>
      <w:spacing w:before="240" w:after="60" w:line="312" w:lineRule="auto"/>
      <w:jc w:val="center"/>
      <w:outlineLvl w:val="1"/>
    </w:pPr>
    <w:rPr>
      <w:rFonts w:ascii="Cambria" w:hAnsi="Cambria" w:eastAsia="Times New Roman"/>
      <w:b/>
      <w:bCs/>
      <w:color w:val="auto"/>
      <w:kern w:val="28"/>
      <w:sz w:val="32"/>
      <w:szCs w:val="32"/>
    </w:rPr>
  </w:style>
  <w:style w:type="paragraph" w:styleId="43">
    <w:name w:val="List"/>
    <w:basedOn w:val="1"/>
    <w:qFormat/>
    <w:uiPriority w:val="0"/>
    <w:pPr>
      <w:spacing w:line="312" w:lineRule="atLeast"/>
      <w:ind w:left="420" w:hanging="420"/>
    </w:pPr>
  </w:style>
  <w:style w:type="paragraph" w:styleId="44">
    <w:name w:val="footnote text"/>
    <w:basedOn w:val="1"/>
    <w:link w:val="115"/>
    <w:qFormat/>
    <w:uiPriority w:val="0"/>
    <w:pPr>
      <w:spacing w:line="312" w:lineRule="atLeast"/>
      <w:jc w:val="left"/>
    </w:pPr>
    <w:rPr>
      <w:rFonts w:ascii="Times New Roman" w:hAnsi="Times New Roman"/>
      <w:kern w:val="1"/>
      <w:sz w:val="18"/>
      <w:szCs w:val="24"/>
    </w:rPr>
  </w:style>
  <w:style w:type="paragraph" w:styleId="45">
    <w:name w:val="toc 6"/>
    <w:basedOn w:val="1"/>
    <w:next w:val="1"/>
    <w:qFormat/>
    <w:uiPriority w:val="39"/>
    <w:pPr>
      <w:ind w:left="1050"/>
      <w:jc w:val="left"/>
    </w:pPr>
    <w:rPr>
      <w:kern w:val="1"/>
      <w:sz w:val="18"/>
      <w:szCs w:val="18"/>
    </w:rPr>
  </w:style>
  <w:style w:type="paragraph" w:styleId="46">
    <w:name w:val="Body Text Indent 3"/>
    <w:basedOn w:val="1"/>
    <w:link w:val="116"/>
    <w:qFormat/>
    <w:uiPriority w:val="0"/>
    <w:pPr>
      <w:spacing w:after="120"/>
      <w:ind w:left="420"/>
    </w:pPr>
    <w:rPr>
      <w:rFonts w:ascii="Times New Roman" w:hAnsi="Times New Roman"/>
      <w:kern w:val="1"/>
      <w:sz w:val="16"/>
      <w:szCs w:val="16"/>
      <w:lang w:val="zh-CN"/>
    </w:rPr>
  </w:style>
  <w:style w:type="paragraph" w:styleId="47">
    <w:name w:val="index 7"/>
    <w:next w:val="1"/>
    <w:qFormat/>
    <w:uiPriority w:val="0"/>
    <w:pPr>
      <w:widowControl w:val="0"/>
      <w:adjustRightInd w:val="0"/>
      <w:spacing w:line="360" w:lineRule="atLeast"/>
      <w:ind w:left="2518" w:hanging="2020"/>
      <w:textAlignment w:val="baseline"/>
    </w:pPr>
    <w:rPr>
      <w:rFonts w:ascii="Times New Roman" w:hAnsi="Times New Roman" w:eastAsia="宋体" w:cs="Times New Roman"/>
      <w:lang w:val="en-US" w:eastAsia="zh-CN" w:bidi="ar-SA"/>
    </w:rPr>
  </w:style>
  <w:style w:type="paragraph" w:styleId="48">
    <w:name w:val="table of figures"/>
    <w:basedOn w:val="1"/>
    <w:next w:val="1"/>
    <w:semiHidden/>
    <w:qFormat/>
    <w:uiPriority w:val="0"/>
    <w:pPr>
      <w:ind w:left="200" w:leftChars="200" w:hanging="200" w:hangingChars="200"/>
    </w:pPr>
    <w:rPr>
      <w:color w:val="auto"/>
      <w:kern w:val="2"/>
    </w:rPr>
  </w:style>
  <w:style w:type="paragraph" w:styleId="49">
    <w:name w:val="toc 2"/>
    <w:basedOn w:val="1"/>
    <w:next w:val="1"/>
    <w:qFormat/>
    <w:uiPriority w:val="39"/>
    <w:pPr>
      <w:ind w:left="210"/>
      <w:jc w:val="left"/>
    </w:pPr>
    <w:rPr>
      <w:smallCaps/>
      <w:kern w:val="1"/>
      <w:sz w:val="20"/>
    </w:rPr>
  </w:style>
  <w:style w:type="paragraph" w:styleId="50">
    <w:name w:val="toc 9"/>
    <w:basedOn w:val="1"/>
    <w:next w:val="1"/>
    <w:qFormat/>
    <w:uiPriority w:val="39"/>
    <w:pPr>
      <w:ind w:left="1680"/>
      <w:jc w:val="left"/>
    </w:pPr>
    <w:rPr>
      <w:kern w:val="1"/>
      <w:sz w:val="18"/>
      <w:szCs w:val="18"/>
    </w:rPr>
  </w:style>
  <w:style w:type="paragraph" w:styleId="51">
    <w:name w:val="Body Text 2"/>
    <w:basedOn w:val="1"/>
    <w:link w:val="117"/>
    <w:qFormat/>
    <w:uiPriority w:val="0"/>
    <w:pPr>
      <w:widowControl/>
      <w:spacing w:line="640" w:lineRule="exact"/>
      <w:jc w:val="center"/>
    </w:pPr>
    <w:rPr>
      <w:rFonts w:ascii="仿宋_GB2312" w:hAnsi="仿宋_GB2312" w:eastAsia="仿宋"/>
      <w:spacing w:val="40"/>
      <w:kern w:val="1"/>
      <w:sz w:val="44"/>
      <w:szCs w:val="24"/>
    </w:rPr>
  </w:style>
  <w:style w:type="paragraph" w:styleId="52">
    <w:name w:val="List 4"/>
    <w:basedOn w:val="1"/>
    <w:qFormat/>
    <w:uiPriority w:val="0"/>
    <w:pPr>
      <w:spacing w:line="312" w:lineRule="atLeast"/>
      <w:ind w:left="1680" w:hanging="420"/>
    </w:pPr>
  </w:style>
  <w:style w:type="paragraph" w:styleId="53">
    <w:name w:val="HTML Preformatted"/>
    <w:basedOn w:val="1"/>
    <w:link w:val="118"/>
    <w:qFormat/>
    <w:uiPriority w:val="99"/>
    <w:pPr>
      <w:widowControl/>
      <w:tabs>
        <w:tab w:val="left" w:pos="916"/>
        <w:tab w:val="left" w:pos="1832"/>
        <w:tab w:val="left" w:pos="2748"/>
        <w:tab w:val="left" w:pos="3664"/>
        <w:tab w:val="left" w:pos="4580"/>
        <w:tab w:val="left" w:pos="5496"/>
        <w:tab w:val="left" w:pos="6412"/>
        <w:tab w:val="left" w:pos="7328"/>
        <w:tab w:val="left" w:pos="8244"/>
        <w:tab w:val="left" w:pos="8305"/>
        <w:tab w:val="left" w:pos="10076"/>
        <w:tab w:val="left" w:pos="10992"/>
        <w:tab w:val="left" w:pos="11908"/>
        <w:tab w:val="left" w:pos="12824"/>
        <w:tab w:val="left" w:pos="13740"/>
        <w:tab w:val="left" w:pos="14656"/>
      </w:tabs>
      <w:spacing w:line="330" w:lineRule="atLeast"/>
      <w:jc w:val="left"/>
    </w:pPr>
    <w:rPr>
      <w:rFonts w:ascii="Arial" w:hAnsi="Arial" w:cs="Arial"/>
      <w:kern w:val="1"/>
      <w:sz w:val="24"/>
      <w:szCs w:val="21"/>
      <w:lang w:eastAsia="en-US" w:bidi="en-US"/>
    </w:rPr>
  </w:style>
  <w:style w:type="paragraph" w:styleId="54">
    <w:name w:val="Normal (Web)"/>
    <w:basedOn w:val="1"/>
    <w:qFormat/>
    <w:uiPriority w:val="0"/>
    <w:pPr>
      <w:widowControl/>
      <w:spacing w:before="100" w:beforeAutospacing="1" w:after="100" w:afterAutospacing="1"/>
      <w:jc w:val="left"/>
    </w:pPr>
    <w:rPr>
      <w:rFonts w:cs="宋体"/>
      <w:kern w:val="1"/>
      <w:sz w:val="24"/>
    </w:rPr>
  </w:style>
  <w:style w:type="paragraph" w:styleId="55">
    <w:name w:val="index 1"/>
    <w:basedOn w:val="1"/>
    <w:next w:val="1"/>
    <w:qFormat/>
    <w:uiPriority w:val="0"/>
    <w:pPr>
      <w:spacing w:line="220" w:lineRule="exact"/>
      <w:jc w:val="center"/>
    </w:pPr>
    <w:rPr>
      <w:rFonts w:ascii="仿宋_GB2312" w:hAnsi="仿宋_GB2312" w:eastAsia="仿宋"/>
      <w:kern w:val="1"/>
      <w:szCs w:val="21"/>
    </w:rPr>
  </w:style>
  <w:style w:type="paragraph" w:styleId="56">
    <w:name w:val="Title"/>
    <w:basedOn w:val="1"/>
    <w:link w:val="119"/>
    <w:qFormat/>
    <w:uiPriority w:val="0"/>
    <w:pPr>
      <w:spacing w:before="240" w:after="60" w:line="420" w:lineRule="atLeast"/>
      <w:jc w:val="center"/>
      <w:outlineLvl w:val="0"/>
    </w:pPr>
    <w:rPr>
      <w:rFonts w:ascii="Arial" w:hAnsi="Arial"/>
      <w:b/>
      <w:kern w:val="1"/>
      <w:sz w:val="32"/>
      <w:szCs w:val="24"/>
    </w:rPr>
  </w:style>
  <w:style w:type="paragraph" w:styleId="57">
    <w:name w:val="annotation subject"/>
    <w:basedOn w:val="21"/>
    <w:next w:val="21"/>
    <w:link w:val="120"/>
    <w:qFormat/>
    <w:uiPriority w:val="0"/>
    <w:pPr>
      <w:jc w:val="both"/>
    </w:pPr>
    <w:rPr>
      <w:b/>
    </w:rPr>
  </w:style>
  <w:style w:type="paragraph" w:styleId="58">
    <w:name w:val="Body Text First Indent"/>
    <w:basedOn w:val="1"/>
    <w:link w:val="121"/>
    <w:qFormat/>
    <w:uiPriority w:val="0"/>
    <w:pPr>
      <w:spacing w:line="312" w:lineRule="auto"/>
      <w:ind w:firstLine="420"/>
    </w:pPr>
    <w:rPr>
      <w:rFonts w:ascii="Times New Roman" w:hAnsi="Times New Roman"/>
      <w:kern w:val="1"/>
      <w:sz w:val="21"/>
      <w:szCs w:val="24"/>
    </w:rPr>
  </w:style>
  <w:style w:type="paragraph" w:styleId="59">
    <w:name w:val="Body Text First Indent 2"/>
    <w:basedOn w:val="25"/>
    <w:link w:val="93"/>
    <w:qFormat/>
    <w:uiPriority w:val="0"/>
    <w:pPr>
      <w:spacing w:line="312" w:lineRule="atLeast"/>
      <w:ind w:firstLine="420"/>
    </w:pPr>
  </w:style>
  <w:style w:type="table" w:styleId="61">
    <w:name w:val="Table Grid"/>
    <w:basedOn w:val="60"/>
    <w:semiHidden/>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3">
    <w:name w:val="Strong"/>
    <w:qFormat/>
    <w:uiPriority w:val="0"/>
    <w:rPr>
      <w:b/>
    </w:rPr>
  </w:style>
  <w:style w:type="character" w:styleId="64">
    <w:name w:val="endnote reference"/>
    <w:qFormat/>
    <w:uiPriority w:val="0"/>
    <w:rPr>
      <w:position w:val="-2"/>
      <w:vertAlign w:val="superscript"/>
    </w:rPr>
  </w:style>
  <w:style w:type="character" w:styleId="65">
    <w:name w:val="page number"/>
    <w:basedOn w:val="62"/>
    <w:qFormat/>
    <w:uiPriority w:val="0"/>
  </w:style>
  <w:style w:type="character" w:styleId="66">
    <w:name w:val="FollowedHyperlink"/>
    <w:qFormat/>
    <w:uiPriority w:val="0"/>
    <w:rPr>
      <w:color w:val="7F007F"/>
      <w:u w:val="single"/>
    </w:rPr>
  </w:style>
  <w:style w:type="character" w:styleId="67">
    <w:name w:val="Emphasis"/>
    <w:qFormat/>
    <w:uiPriority w:val="0"/>
    <w:rPr>
      <w:color w:val="CC0000"/>
    </w:rPr>
  </w:style>
  <w:style w:type="character" w:styleId="68">
    <w:name w:val="HTML Definition"/>
    <w:qFormat/>
    <w:uiPriority w:val="0"/>
    <w:rPr>
      <w:rFonts w:cs="Times New Roman"/>
    </w:rPr>
  </w:style>
  <w:style w:type="character" w:styleId="69">
    <w:name w:val="HTML Variable"/>
    <w:qFormat/>
    <w:uiPriority w:val="0"/>
    <w:rPr>
      <w:rFonts w:cs="Times New Roman"/>
    </w:rPr>
  </w:style>
  <w:style w:type="character" w:styleId="70">
    <w:name w:val="Hyperlink"/>
    <w:qFormat/>
    <w:uiPriority w:val="99"/>
    <w:rPr>
      <w:color w:val="0000FF"/>
      <w:u w:val="none"/>
    </w:rPr>
  </w:style>
  <w:style w:type="character" w:styleId="71">
    <w:name w:val="HTML Code"/>
    <w:qFormat/>
    <w:uiPriority w:val="0"/>
    <w:rPr>
      <w:rFonts w:ascii="couriernew" w:hAnsi="couriernew" w:eastAsia="Times New Roman" w:cs="couriernew"/>
      <w:sz w:val="20"/>
    </w:rPr>
  </w:style>
  <w:style w:type="character" w:styleId="72">
    <w:name w:val="annotation reference"/>
    <w:basedOn w:val="62"/>
    <w:qFormat/>
    <w:uiPriority w:val="0"/>
    <w:rPr>
      <w:sz w:val="21"/>
      <w:szCs w:val="21"/>
    </w:rPr>
  </w:style>
  <w:style w:type="character" w:styleId="73">
    <w:name w:val="HTML Cite"/>
    <w:qFormat/>
    <w:uiPriority w:val="0"/>
    <w:rPr>
      <w:rFonts w:cs="Times New Roman"/>
    </w:rPr>
  </w:style>
  <w:style w:type="character" w:styleId="74">
    <w:name w:val="footnote reference"/>
    <w:basedOn w:val="62"/>
    <w:qFormat/>
    <w:uiPriority w:val="0"/>
    <w:rPr>
      <w:position w:val="-2"/>
      <w:vertAlign w:val="superscript"/>
    </w:rPr>
  </w:style>
  <w:style w:type="character" w:styleId="75">
    <w:name w:val="HTML Keyboard"/>
    <w:qFormat/>
    <w:uiPriority w:val="0"/>
    <w:rPr>
      <w:rFonts w:ascii="couriernew" w:hAnsi="couriernew" w:eastAsia="Times New Roman" w:cs="couriernew"/>
      <w:sz w:val="20"/>
    </w:rPr>
  </w:style>
  <w:style w:type="character" w:styleId="76">
    <w:name w:val="HTML Sample"/>
    <w:qFormat/>
    <w:uiPriority w:val="0"/>
    <w:rPr>
      <w:rFonts w:ascii="couriernew" w:hAnsi="couriernew" w:eastAsia="Times New Roman" w:cs="couriernew"/>
    </w:rPr>
  </w:style>
  <w:style w:type="paragraph" w:customStyle="1" w:styleId="77">
    <w:name w:val="样式 标题 3 + (中文) 黑体 小四 非加粗 段前: 7.8 磅 段后: 0 磅 行距: 固定值 20 磅_1"/>
    <w:basedOn w:val="78"/>
    <w:qFormat/>
    <w:uiPriority w:val="0"/>
    <w:pPr>
      <w:spacing w:before="0" w:after="0" w:line="400" w:lineRule="exact"/>
    </w:pPr>
    <w:rPr>
      <w:rFonts w:ascii="Times New Roman" w:hAnsi="Times New Roman" w:eastAsia="黑体" w:cs="宋体"/>
      <w:b w:val="0"/>
      <w:bCs w:val="0"/>
      <w:sz w:val="21"/>
      <w:szCs w:val="20"/>
    </w:rPr>
  </w:style>
  <w:style w:type="paragraph" w:customStyle="1" w:styleId="78">
    <w:name w:val="标题 3_1"/>
    <w:basedOn w:val="79"/>
    <w:next w:val="79"/>
    <w:unhideWhenUsed/>
    <w:qFormat/>
    <w:uiPriority w:val="0"/>
    <w:pPr>
      <w:keepNext/>
      <w:keepLines/>
      <w:spacing w:before="260" w:after="260" w:line="416" w:lineRule="auto"/>
      <w:outlineLvl w:val="2"/>
    </w:pPr>
    <w:rPr>
      <w:b/>
      <w:bCs/>
      <w:sz w:val="32"/>
      <w:szCs w:val="32"/>
    </w:rPr>
  </w:style>
  <w:style w:type="paragraph" w:customStyle="1" w:styleId="79">
    <w:name w:val="正文_0"/>
    <w:basedOn w:val="1"/>
    <w:next w:val="80"/>
    <w:qFormat/>
    <w:uiPriority w:val="0"/>
    <w:rPr>
      <w:rFonts w:ascii="Calibri" w:hAnsi="Calibri"/>
      <w:color w:val="auto"/>
      <w:kern w:val="2"/>
      <w:szCs w:val="22"/>
    </w:rPr>
  </w:style>
  <w:style w:type="paragraph" w:customStyle="1" w:styleId="80">
    <w:name w:val="正文首行缩进 21"/>
    <w:basedOn w:val="81"/>
    <w:next w:val="88"/>
    <w:qFormat/>
    <w:uiPriority w:val="0"/>
    <w:pPr>
      <w:ind w:firstLine="420" w:firstLineChars="200"/>
    </w:pPr>
  </w:style>
  <w:style w:type="paragraph" w:customStyle="1" w:styleId="81">
    <w:name w:val="正文文本缩进1"/>
    <w:basedOn w:val="82"/>
    <w:next w:val="83"/>
    <w:qFormat/>
    <w:uiPriority w:val="0"/>
    <w:pPr>
      <w:spacing w:after="120"/>
      <w:ind w:left="420" w:leftChars="200"/>
    </w:pPr>
    <w:rPr>
      <w:sz w:val="20"/>
    </w:rPr>
  </w:style>
  <w:style w:type="paragraph" w:customStyle="1" w:styleId="82">
    <w:name w:val="正文1"/>
    <w:basedOn w:val="1"/>
    <w:next w:val="80"/>
    <w:qFormat/>
    <w:uiPriority w:val="0"/>
    <w:pPr>
      <w:spacing w:line="312" w:lineRule="atLeast"/>
    </w:pPr>
  </w:style>
  <w:style w:type="paragraph" w:customStyle="1" w:styleId="83">
    <w:name w:val="样式 标题 3 + (中文) 黑体 小四 非加粗 段前: 7.8 磅 段后: 0 磅 行距: 固定值 20 磅_0"/>
    <w:basedOn w:val="84"/>
    <w:qFormat/>
    <w:uiPriority w:val="0"/>
    <w:pPr>
      <w:spacing w:line="400" w:lineRule="exact"/>
    </w:pPr>
    <w:rPr>
      <w:sz w:val="24"/>
    </w:rPr>
  </w:style>
  <w:style w:type="paragraph" w:customStyle="1" w:styleId="84">
    <w:name w:val="标题 31"/>
    <w:basedOn w:val="85"/>
    <w:next w:val="85"/>
    <w:qFormat/>
    <w:uiPriority w:val="0"/>
    <w:rPr>
      <w:rFonts w:ascii="Times New Roman" w:hAnsi="Times New Roman"/>
      <w:color w:val="auto"/>
      <w:kern w:val="2"/>
      <w:sz w:val="21"/>
      <w:szCs w:val="24"/>
    </w:rPr>
  </w:style>
  <w:style w:type="paragraph" w:customStyle="1" w:styleId="85">
    <w:name w:val="正文2"/>
    <w:next w:val="86"/>
    <w:qFormat/>
    <w:uiPriority w:val="0"/>
    <w:pPr>
      <w:widowControl w:val="0"/>
      <w:spacing w:line="360" w:lineRule="atLeast"/>
    </w:pPr>
    <w:rPr>
      <w:rFonts w:ascii="宋体" w:hAnsi="宋体" w:eastAsia="宋体" w:cs="Times New Roman"/>
      <w:color w:val="000000"/>
      <w:sz w:val="28"/>
      <w:lang w:val="en-US" w:eastAsia="zh-CN" w:bidi="ar-SA"/>
    </w:rPr>
  </w:style>
  <w:style w:type="paragraph" w:customStyle="1" w:styleId="86">
    <w:name w:val="正文首行缩进 22"/>
    <w:basedOn w:val="87"/>
    <w:next w:val="83"/>
    <w:unhideWhenUsed/>
    <w:qFormat/>
    <w:uiPriority w:val="99"/>
    <w:pPr>
      <w:ind w:firstLine="420" w:firstLineChars="200"/>
    </w:pPr>
  </w:style>
  <w:style w:type="paragraph" w:customStyle="1" w:styleId="87">
    <w:name w:val="正文文本缩进2"/>
    <w:basedOn w:val="85"/>
    <w:next w:val="83"/>
    <w:unhideWhenUsed/>
    <w:qFormat/>
    <w:uiPriority w:val="99"/>
    <w:pPr>
      <w:spacing w:after="120"/>
      <w:ind w:left="420" w:leftChars="200"/>
    </w:pPr>
  </w:style>
  <w:style w:type="paragraph" w:customStyle="1" w:styleId="88">
    <w:name w:val="样式 标题 3 + (中文) 黑体 小四 非加粗 段前: 7.8 磅 段后: 0 磅 行距: 固定值 20 磅_0_0"/>
    <w:basedOn w:val="89"/>
    <w:qFormat/>
    <w:uiPriority w:val="0"/>
    <w:pPr>
      <w:spacing w:before="0" w:after="0" w:line="400" w:lineRule="exact"/>
    </w:pPr>
    <w:rPr>
      <w:rFonts w:ascii="Times New Roman" w:hAnsi="Times New Roman" w:eastAsia="黑体" w:cs="宋体"/>
      <w:b w:val="0"/>
      <w:bCs w:val="0"/>
      <w:sz w:val="21"/>
      <w:szCs w:val="20"/>
    </w:rPr>
  </w:style>
  <w:style w:type="paragraph" w:customStyle="1" w:styleId="89">
    <w:name w:val="标题 3_0"/>
    <w:basedOn w:val="79"/>
    <w:next w:val="90"/>
    <w:qFormat/>
    <w:uiPriority w:val="0"/>
    <w:pPr>
      <w:keepNext/>
      <w:keepLines/>
      <w:spacing w:before="260" w:after="260" w:line="416" w:lineRule="auto"/>
      <w:outlineLvl w:val="2"/>
    </w:pPr>
    <w:rPr>
      <w:b/>
      <w:bCs/>
      <w:sz w:val="32"/>
      <w:szCs w:val="32"/>
    </w:rPr>
  </w:style>
  <w:style w:type="paragraph" w:customStyle="1" w:styleId="90">
    <w:name w:val="正文_1"/>
    <w:next w:val="8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91">
    <w:name w:val="1.正文"/>
    <w:basedOn w:val="1"/>
    <w:qFormat/>
    <w:uiPriority w:val="0"/>
    <w:rPr>
      <w:rFonts w:ascii="仿宋_GB2312" w:cs="仿宋_GB2312"/>
      <w:szCs w:val="21"/>
    </w:rPr>
  </w:style>
  <w:style w:type="character" w:customStyle="1" w:styleId="92">
    <w:name w:val="正文文本缩进 Char"/>
    <w:link w:val="25"/>
    <w:qFormat/>
    <w:uiPriority w:val="0"/>
    <w:rPr>
      <w:color w:val="000000"/>
      <w:kern w:val="1"/>
      <w:sz w:val="21"/>
      <w:szCs w:val="24"/>
    </w:rPr>
  </w:style>
  <w:style w:type="character" w:customStyle="1" w:styleId="93">
    <w:name w:val="正文首行缩进 2 Char"/>
    <w:link w:val="59"/>
    <w:qFormat/>
    <w:uiPriority w:val="0"/>
    <w:rPr>
      <w:color w:val="000000"/>
      <w:kern w:val="1"/>
      <w:sz w:val="21"/>
      <w:szCs w:val="24"/>
    </w:rPr>
  </w:style>
  <w:style w:type="character" w:customStyle="1" w:styleId="94">
    <w:name w:val="标题 1 Char"/>
    <w:link w:val="3"/>
    <w:qFormat/>
    <w:uiPriority w:val="0"/>
    <w:rPr>
      <w:b/>
      <w:color w:val="000000"/>
      <w:sz w:val="44"/>
      <w:szCs w:val="44"/>
    </w:rPr>
  </w:style>
  <w:style w:type="character" w:customStyle="1" w:styleId="95">
    <w:name w:val="标题 2 Char"/>
    <w:link w:val="4"/>
    <w:qFormat/>
    <w:uiPriority w:val="0"/>
    <w:rPr>
      <w:rFonts w:ascii="黑体" w:hAnsi="黑体" w:eastAsia="黑体" w:cs="宋体"/>
      <w:kern w:val="1"/>
      <w:sz w:val="28"/>
      <w:szCs w:val="28"/>
      <w:lang w:val="zh-CN"/>
    </w:rPr>
  </w:style>
  <w:style w:type="character" w:customStyle="1" w:styleId="96">
    <w:name w:val="标题 3 Char"/>
    <w:link w:val="5"/>
    <w:qFormat/>
    <w:uiPriority w:val="99"/>
    <w:rPr>
      <w:rFonts w:ascii="黑体" w:hAnsi="黑体" w:eastAsia="黑体"/>
      <w:kern w:val="1"/>
      <w:sz w:val="28"/>
      <w:szCs w:val="28"/>
      <w:lang w:val="zh-CN"/>
    </w:rPr>
  </w:style>
  <w:style w:type="character" w:customStyle="1" w:styleId="97">
    <w:name w:val="标题 4 Char"/>
    <w:link w:val="6"/>
    <w:qFormat/>
    <w:uiPriority w:val="0"/>
    <w:rPr>
      <w:rFonts w:ascii="Arial" w:hAnsi="Arial" w:eastAsia="黑体" w:cs="Arial"/>
      <w:b/>
      <w:color w:val="000000"/>
      <w:sz w:val="28"/>
      <w:szCs w:val="28"/>
    </w:rPr>
  </w:style>
  <w:style w:type="character" w:customStyle="1" w:styleId="98">
    <w:name w:val="标题 5 Char"/>
    <w:link w:val="7"/>
    <w:qFormat/>
    <w:uiPriority w:val="11"/>
    <w:rPr>
      <w:rFonts w:ascii="宋体" w:hAnsi="宋体" w:cs="宋体"/>
      <w:b/>
      <w:color w:val="000000"/>
      <w:sz w:val="24"/>
      <w:szCs w:val="24"/>
    </w:rPr>
  </w:style>
  <w:style w:type="character" w:customStyle="1" w:styleId="99">
    <w:name w:val="标题 6 Char"/>
    <w:link w:val="8"/>
    <w:qFormat/>
    <w:uiPriority w:val="0"/>
    <w:rPr>
      <w:rFonts w:ascii="Arial" w:hAnsi="Arial" w:eastAsia="黑体" w:cs="Arial"/>
      <w:b/>
      <w:color w:val="000000"/>
      <w:sz w:val="24"/>
      <w:szCs w:val="24"/>
      <w:lang w:val="en-US" w:eastAsia="zh-CN"/>
    </w:rPr>
  </w:style>
  <w:style w:type="character" w:customStyle="1" w:styleId="100">
    <w:name w:val="标题 7 Char"/>
    <w:link w:val="10"/>
    <w:qFormat/>
    <w:uiPriority w:val="0"/>
    <w:rPr>
      <w:b/>
      <w:color w:val="000000"/>
      <w:sz w:val="24"/>
      <w:szCs w:val="24"/>
      <w:lang w:val="en-US" w:eastAsia="zh-CN"/>
    </w:rPr>
  </w:style>
  <w:style w:type="character" w:customStyle="1" w:styleId="101">
    <w:name w:val="标题 8 Char"/>
    <w:link w:val="11"/>
    <w:qFormat/>
    <w:uiPriority w:val="0"/>
    <w:rPr>
      <w:rFonts w:ascii="Arial" w:hAnsi="Arial" w:eastAsia="黑体" w:cs="Arial"/>
      <w:color w:val="000000"/>
      <w:sz w:val="24"/>
      <w:szCs w:val="24"/>
      <w:lang w:val="en-US" w:eastAsia="zh-CN"/>
    </w:rPr>
  </w:style>
  <w:style w:type="character" w:customStyle="1" w:styleId="102">
    <w:name w:val="标题 9 Char"/>
    <w:link w:val="12"/>
    <w:qFormat/>
    <w:uiPriority w:val="0"/>
    <w:rPr>
      <w:rFonts w:ascii="Arial" w:hAnsi="Arial" w:eastAsia="黑体" w:cs="Arial"/>
      <w:color w:val="000000"/>
      <w:sz w:val="21"/>
      <w:szCs w:val="21"/>
      <w:lang w:val="en-US" w:eastAsia="zh-CN"/>
    </w:rPr>
  </w:style>
  <w:style w:type="character" w:customStyle="1" w:styleId="103">
    <w:name w:val="文档结构图 Char"/>
    <w:link w:val="20"/>
    <w:qFormat/>
    <w:uiPriority w:val="0"/>
    <w:rPr>
      <w:color w:val="000000"/>
      <w:kern w:val="1"/>
      <w:sz w:val="21"/>
      <w:szCs w:val="24"/>
      <w:shd w:val="clear" w:color="000000" w:fill="00007F"/>
    </w:rPr>
  </w:style>
  <w:style w:type="character" w:customStyle="1" w:styleId="104">
    <w:name w:val="批注文字 Char"/>
    <w:link w:val="21"/>
    <w:qFormat/>
    <w:uiPriority w:val="0"/>
    <w:rPr>
      <w:color w:val="000000"/>
      <w:kern w:val="1"/>
      <w:sz w:val="21"/>
      <w:szCs w:val="24"/>
    </w:rPr>
  </w:style>
  <w:style w:type="character" w:customStyle="1" w:styleId="105">
    <w:name w:val="称呼 Char"/>
    <w:link w:val="22"/>
    <w:qFormat/>
    <w:uiPriority w:val="0"/>
    <w:rPr>
      <w:rFonts w:ascii="宋体" w:hAnsi="宋体" w:eastAsia="仿宋"/>
      <w:color w:val="000000"/>
      <w:kern w:val="1"/>
      <w:sz w:val="21"/>
      <w:szCs w:val="24"/>
    </w:rPr>
  </w:style>
  <w:style w:type="character" w:customStyle="1" w:styleId="106">
    <w:name w:val="正文文本 3 Char"/>
    <w:link w:val="23"/>
    <w:qFormat/>
    <w:uiPriority w:val="0"/>
    <w:rPr>
      <w:rFonts w:ascii="宋体" w:hAnsi="宋体"/>
      <w:color w:val="000000"/>
      <w:kern w:val="1"/>
      <w:sz w:val="24"/>
      <w:lang w:val="zh-CN"/>
    </w:rPr>
  </w:style>
  <w:style w:type="character" w:customStyle="1" w:styleId="107">
    <w:name w:val="正文文本 Char"/>
    <w:link w:val="24"/>
    <w:qFormat/>
    <w:uiPriority w:val="0"/>
    <w:rPr>
      <w:rFonts w:eastAsia="宋体"/>
      <w:kern w:val="2"/>
      <w:sz w:val="21"/>
      <w:lang w:val="en-US" w:eastAsia="zh-CN" w:bidi="ar-SA"/>
    </w:rPr>
  </w:style>
  <w:style w:type="character" w:customStyle="1" w:styleId="108">
    <w:name w:val="日期 Char"/>
    <w:link w:val="34"/>
    <w:qFormat/>
    <w:uiPriority w:val="0"/>
    <w:rPr>
      <w:color w:val="000000"/>
      <w:kern w:val="1"/>
      <w:sz w:val="24"/>
      <w:lang w:val="zh-CN"/>
    </w:rPr>
  </w:style>
  <w:style w:type="character" w:customStyle="1" w:styleId="109">
    <w:name w:val="正文文本缩进 2 Char"/>
    <w:link w:val="35"/>
    <w:qFormat/>
    <w:uiPriority w:val="0"/>
    <w:rPr>
      <w:rFonts w:ascii="宋体" w:hAnsi="宋体" w:cs="Arial"/>
      <w:color w:val="000000"/>
      <w:spacing w:val="12"/>
      <w:kern w:val="1"/>
      <w:sz w:val="24"/>
      <w:szCs w:val="24"/>
    </w:rPr>
  </w:style>
  <w:style w:type="character" w:customStyle="1" w:styleId="110">
    <w:name w:val="尾注文本 Char"/>
    <w:link w:val="36"/>
    <w:qFormat/>
    <w:uiPriority w:val="0"/>
    <w:rPr>
      <w:color w:val="000000"/>
      <w:kern w:val="1"/>
      <w:sz w:val="21"/>
      <w:szCs w:val="24"/>
    </w:rPr>
  </w:style>
  <w:style w:type="character" w:customStyle="1" w:styleId="111">
    <w:name w:val="批注框文本 Char"/>
    <w:link w:val="37"/>
    <w:qFormat/>
    <w:uiPriority w:val="0"/>
    <w:rPr>
      <w:color w:val="000000"/>
      <w:kern w:val="1"/>
      <w:sz w:val="18"/>
      <w:szCs w:val="18"/>
      <w:lang w:val="zh-CN"/>
    </w:rPr>
  </w:style>
  <w:style w:type="character" w:customStyle="1" w:styleId="112">
    <w:name w:val="页脚 Char"/>
    <w:link w:val="38"/>
    <w:qFormat/>
    <w:uiPriority w:val="99"/>
    <w:rPr>
      <w:color w:val="000000"/>
      <w:kern w:val="1"/>
      <w:sz w:val="18"/>
      <w:szCs w:val="18"/>
    </w:rPr>
  </w:style>
  <w:style w:type="character" w:customStyle="1" w:styleId="113">
    <w:name w:val="页眉 Char"/>
    <w:link w:val="39"/>
    <w:qFormat/>
    <w:uiPriority w:val="99"/>
    <w:rPr>
      <w:color w:val="000000"/>
      <w:kern w:val="1"/>
      <w:sz w:val="18"/>
      <w:szCs w:val="18"/>
      <w:lang w:val="zh-CN"/>
    </w:rPr>
  </w:style>
  <w:style w:type="character" w:customStyle="1" w:styleId="114">
    <w:name w:val="副标题 Char"/>
    <w:link w:val="42"/>
    <w:qFormat/>
    <w:uiPriority w:val="16"/>
    <w:rPr>
      <w:rFonts w:ascii="Cambria" w:hAnsi="Cambria" w:eastAsia="Times New Roman"/>
      <w:b/>
      <w:bCs/>
      <w:kern w:val="28"/>
      <w:sz w:val="32"/>
      <w:szCs w:val="32"/>
    </w:rPr>
  </w:style>
  <w:style w:type="character" w:customStyle="1" w:styleId="115">
    <w:name w:val="脚注文本 Char"/>
    <w:link w:val="44"/>
    <w:qFormat/>
    <w:uiPriority w:val="0"/>
    <w:rPr>
      <w:color w:val="000000"/>
      <w:kern w:val="1"/>
      <w:sz w:val="18"/>
      <w:szCs w:val="24"/>
    </w:rPr>
  </w:style>
  <w:style w:type="character" w:customStyle="1" w:styleId="116">
    <w:name w:val="正文文本缩进 3 Char"/>
    <w:link w:val="46"/>
    <w:qFormat/>
    <w:uiPriority w:val="0"/>
    <w:rPr>
      <w:color w:val="000000"/>
      <w:kern w:val="1"/>
      <w:sz w:val="16"/>
      <w:szCs w:val="16"/>
      <w:lang w:val="zh-CN"/>
    </w:rPr>
  </w:style>
  <w:style w:type="character" w:customStyle="1" w:styleId="117">
    <w:name w:val="正文文本 2 Char"/>
    <w:link w:val="51"/>
    <w:qFormat/>
    <w:uiPriority w:val="0"/>
    <w:rPr>
      <w:rFonts w:ascii="仿宋_GB2312" w:hAnsi="仿宋_GB2312" w:eastAsia="仿宋"/>
      <w:color w:val="000000"/>
      <w:spacing w:val="40"/>
      <w:kern w:val="1"/>
      <w:sz w:val="44"/>
      <w:szCs w:val="24"/>
    </w:rPr>
  </w:style>
  <w:style w:type="character" w:customStyle="1" w:styleId="118">
    <w:name w:val="HTML 预设格式 Char"/>
    <w:link w:val="53"/>
    <w:qFormat/>
    <w:uiPriority w:val="99"/>
    <w:rPr>
      <w:rFonts w:ascii="Arial" w:hAnsi="Arial" w:cs="Arial"/>
      <w:color w:val="000000"/>
      <w:kern w:val="1"/>
      <w:sz w:val="24"/>
      <w:szCs w:val="21"/>
      <w:lang w:eastAsia="en-US" w:bidi="en-US"/>
    </w:rPr>
  </w:style>
  <w:style w:type="character" w:customStyle="1" w:styleId="119">
    <w:name w:val="标题 Char"/>
    <w:link w:val="56"/>
    <w:qFormat/>
    <w:uiPriority w:val="0"/>
    <w:rPr>
      <w:rFonts w:ascii="Arial" w:hAnsi="Arial" w:cs="Arial"/>
      <w:b/>
      <w:color w:val="000000"/>
      <w:kern w:val="1"/>
      <w:sz w:val="32"/>
      <w:szCs w:val="24"/>
    </w:rPr>
  </w:style>
  <w:style w:type="character" w:customStyle="1" w:styleId="120">
    <w:name w:val="批注主题 Char"/>
    <w:link w:val="57"/>
    <w:qFormat/>
    <w:uiPriority w:val="0"/>
    <w:rPr>
      <w:b/>
      <w:color w:val="000000"/>
      <w:kern w:val="1"/>
      <w:sz w:val="21"/>
      <w:szCs w:val="24"/>
    </w:rPr>
  </w:style>
  <w:style w:type="character" w:customStyle="1" w:styleId="121">
    <w:name w:val="正文首行缩进 Char"/>
    <w:link w:val="58"/>
    <w:qFormat/>
    <w:uiPriority w:val="0"/>
    <w:rPr>
      <w:color w:val="000000"/>
      <w:kern w:val="1"/>
      <w:sz w:val="21"/>
      <w:szCs w:val="24"/>
    </w:rPr>
  </w:style>
  <w:style w:type="character" w:customStyle="1" w:styleId="122">
    <w:name w:val="l-btn-left"/>
    <w:qFormat/>
    <w:uiPriority w:val="0"/>
    <w:rPr>
      <w:rFonts w:cs="Times New Roman"/>
    </w:rPr>
  </w:style>
  <w:style w:type="character" w:customStyle="1" w:styleId="123">
    <w:name w:val="纯文本 Char1"/>
    <w:qFormat/>
    <w:uiPriority w:val="0"/>
    <w:rPr>
      <w:rFonts w:ascii="宋体" w:hAnsi="宋体"/>
      <w:kern w:val="1"/>
      <w:sz w:val="21"/>
    </w:rPr>
  </w:style>
  <w:style w:type="character" w:customStyle="1" w:styleId="124">
    <w:name w:val="正文文本缩进 2 Char Char"/>
    <w:qFormat/>
    <w:uiPriority w:val="0"/>
    <w:rPr>
      <w:rFonts w:ascii="宋体" w:hAnsi="宋体"/>
      <w:spacing w:val="12"/>
      <w:sz w:val="24"/>
    </w:rPr>
  </w:style>
  <w:style w:type="character" w:customStyle="1" w:styleId="125">
    <w:name w:val="curr"/>
    <w:qFormat/>
    <w:uiPriority w:val="0"/>
    <w:rPr>
      <w:rFonts w:cs="Times New Roman"/>
      <w:color w:val="FFFFFF"/>
      <w:bdr w:val="single" w:color="287AC7" w:sz="4" w:space="0"/>
      <w:shd w:val="clear" w:color="auto" w:fill="287AC7"/>
    </w:rPr>
  </w:style>
  <w:style w:type="character" w:customStyle="1" w:styleId="126">
    <w:name w:val="标题 2 Char Char"/>
    <w:qFormat/>
    <w:uiPriority w:val="0"/>
    <w:rPr>
      <w:rFonts w:ascii="宋体" w:hAnsi="宋体" w:eastAsia="宋体"/>
      <w:b/>
      <w:kern w:val="1"/>
      <w:sz w:val="32"/>
      <w:szCs w:val="32"/>
    </w:rPr>
  </w:style>
  <w:style w:type="character" w:customStyle="1" w:styleId="127">
    <w:name w:val="正文文本缩进 2 Char1"/>
    <w:qFormat/>
    <w:uiPriority w:val="0"/>
  </w:style>
  <w:style w:type="character" w:customStyle="1" w:styleId="128">
    <w:name w:val="标题 Char Char"/>
    <w:qFormat/>
    <w:uiPriority w:val="0"/>
    <w:rPr>
      <w:rFonts w:ascii="Arial" w:hAnsi="Arial"/>
      <w:b/>
      <w:sz w:val="32"/>
    </w:rPr>
  </w:style>
  <w:style w:type="character" w:customStyle="1" w:styleId="129">
    <w:name w:val="不明显强调1"/>
    <w:qFormat/>
    <w:uiPriority w:val="0"/>
    <w:rPr>
      <w:i/>
      <w:iCs/>
      <w:color w:val="808080"/>
    </w:rPr>
  </w:style>
  <w:style w:type="character" w:customStyle="1" w:styleId="130">
    <w:name w:val="ca-101"/>
    <w:qFormat/>
    <w:uiPriority w:val="0"/>
    <w:rPr>
      <w:rFonts w:hint="eastAsia" w:ascii="宋体" w:hAnsi="宋体" w:eastAsia="宋体"/>
      <w:b/>
      <w:bCs/>
      <w:spacing w:val="-20"/>
      <w:sz w:val="24"/>
      <w:szCs w:val="24"/>
    </w:rPr>
  </w:style>
  <w:style w:type="character" w:customStyle="1" w:styleId="131">
    <w:name w:val="纯文本 Char Char"/>
    <w:qFormat/>
    <w:uiPriority w:val="0"/>
    <w:rPr>
      <w:rFonts w:ascii="宋体" w:hAnsi="宋体"/>
      <w:kern w:val="1"/>
      <w:sz w:val="21"/>
    </w:rPr>
  </w:style>
  <w:style w:type="character" w:customStyle="1" w:styleId="132">
    <w:name w:val="z-窗体底端 Char"/>
    <w:link w:val="133"/>
    <w:qFormat/>
    <w:locked/>
    <w:uiPriority w:val="0"/>
    <w:rPr>
      <w:rFonts w:ascii="Arial"/>
      <w:vanish/>
      <w:sz w:val="24"/>
      <w:szCs w:val="24"/>
    </w:rPr>
  </w:style>
  <w:style w:type="paragraph" w:customStyle="1" w:styleId="133">
    <w:name w:val="z-窗体底端1"/>
    <w:basedOn w:val="1"/>
    <w:next w:val="1"/>
    <w:link w:val="132"/>
    <w:qFormat/>
    <w:uiPriority w:val="0"/>
    <w:pPr>
      <w:pBdr>
        <w:top w:val="single" w:color="auto" w:sz="6" w:space="1"/>
      </w:pBdr>
      <w:jc w:val="center"/>
    </w:pPr>
    <w:rPr>
      <w:rFonts w:ascii="Arial" w:hAnsi="Times New Roman"/>
      <w:vanish/>
      <w:color w:val="auto"/>
      <w:sz w:val="24"/>
      <w:szCs w:val="24"/>
    </w:rPr>
  </w:style>
  <w:style w:type="character" w:customStyle="1" w:styleId="134">
    <w:name w:val="批注主题 Char Char"/>
    <w:qFormat/>
    <w:uiPriority w:val="0"/>
    <w:rPr>
      <w:rFonts w:eastAsia="宋体"/>
      <w:b/>
      <w:kern w:val="1"/>
      <w:sz w:val="21"/>
      <w:szCs w:val="24"/>
      <w:lang w:val="en-US" w:eastAsia="zh-CN" w:bidi="ar-SA"/>
    </w:rPr>
  </w:style>
  <w:style w:type="character" w:customStyle="1" w:styleId="135">
    <w:name w:val="正文缩进 Char"/>
    <w:qFormat/>
    <w:uiPriority w:val="0"/>
    <w:rPr>
      <w:kern w:val="1"/>
      <w:sz w:val="21"/>
      <w:szCs w:val="24"/>
    </w:rPr>
  </w:style>
  <w:style w:type="character" w:customStyle="1" w:styleId="136">
    <w:name w:val="书籍标题1"/>
    <w:qFormat/>
    <w:uiPriority w:val="25"/>
    <w:rPr>
      <w:b/>
      <w:bCs/>
      <w:smallCaps/>
      <w:spacing w:val="5"/>
    </w:rPr>
  </w:style>
  <w:style w:type="character" w:customStyle="1" w:styleId="137">
    <w:name w:val="正文首行缩进 Char1"/>
    <w:qFormat/>
    <w:uiPriority w:val="0"/>
    <w:rPr>
      <w:rFonts w:eastAsia="宋体"/>
      <w:kern w:val="1"/>
      <w:sz w:val="21"/>
      <w:lang w:val="en-US" w:eastAsia="zh-CN" w:bidi="ar-SA"/>
    </w:rPr>
  </w:style>
  <w:style w:type="character" w:customStyle="1" w:styleId="138">
    <w:name w:val="正文文本 (3)_"/>
    <w:link w:val="139"/>
    <w:qFormat/>
    <w:uiPriority w:val="0"/>
    <w:rPr>
      <w:rFonts w:ascii="MingLiU" w:hAnsi="MingLiU" w:eastAsia="MingLiU"/>
      <w:b/>
      <w:sz w:val="23"/>
      <w:szCs w:val="23"/>
      <w:shd w:val="clear" w:color="000000" w:fill="FFFFFF"/>
    </w:rPr>
  </w:style>
  <w:style w:type="paragraph" w:customStyle="1" w:styleId="139">
    <w:name w:val="正文文本 (3)"/>
    <w:basedOn w:val="1"/>
    <w:link w:val="138"/>
    <w:qFormat/>
    <w:uiPriority w:val="0"/>
    <w:pPr>
      <w:widowControl/>
      <w:shd w:val="clear" w:color="000000" w:fill="FFFFFF"/>
      <w:jc w:val="distribute"/>
    </w:pPr>
    <w:rPr>
      <w:rFonts w:ascii="MingLiU" w:hAnsi="MingLiU" w:eastAsia="MingLiU"/>
      <w:b/>
      <w:color w:val="auto"/>
      <w:sz w:val="23"/>
      <w:szCs w:val="23"/>
    </w:rPr>
  </w:style>
  <w:style w:type="character" w:customStyle="1" w:styleId="140">
    <w:name w:val="标题 7 Char1"/>
    <w:qFormat/>
    <w:uiPriority w:val="0"/>
    <w:rPr>
      <w:b/>
      <w:sz w:val="24"/>
      <w:szCs w:val="24"/>
    </w:rPr>
  </w:style>
  <w:style w:type="character" w:customStyle="1" w:styleId="141">
    <w:name w:val="副标题 Char1"/>
    <w:qFormat/>
    <w:uiPriority w:val="11"/>
    <w:rPr>
      <w:rFonts w:ascii="Cambria" w:hAnsi="Cambria" w:eastAsia="宋体" w:cs="Times New Roman"/>
      <w:b/>
      <w:bCs/>
      <w:color w:val="000000"/>
      <w:kern w:val="28"/>
      <w:sz w:val="32"/>
      <w:szCs w:val="32"/>
    </w:rPr>
  </w:style>
  <w:style w:type="character" w:customStyle="1" w:styleId="142">
    <w:name w:val="20"/>
    <w:qFormat/>
    <w:uiPriority w:val="0"/>
    <w:rPr>
      <w:rFonts w:hint="default" w:ascii="Times New Roman" w:hAnsi="Times New Roman" w:cs="Times New Roman"/>
    </w:rPr>
  </w:style>
  <w:style w:type="character" w:customStyle="1" w:styleId="143">
    <w:name w:val="l-btn-icon-left"/>
    <w:qFormat/>
    <w:uiPriority w:val="0"/>
    <w:rPr>
      <w:rFonts w:cs="Times New Roman"/>
    </w:rPr>
  </w:style>
  <w:style w:type="character" w:customStyle="1" w:styleId="144">
    <w:name w:val="正文文本 2 Char Char"/>
    <w:qFormat/>
    <w:uiPriority w:val="0"/>
    <w:rPr>
      <w:rFonts w:ascii="仿宋_GB2312" w:hAnsi="仿宋_GB2312" w:eastAsia="仿宋"/>
      <w:spacing w:val="40"/>
      <w:sz w:val="44"/>
    </w:rPr>
  </w:style>
  <w:style w:type="character" w:customStyle="1" w:styleId="145">
    <w:name w:val="c_name1"/>
    <w:qFormat/>
    <w:uiPriority w:val="0"/>
    <w:rPr>
      <w:rFonts w:hint="eastAsia" w:ascii="黑体" w:eastAsia="黑体"/>
      <w:color w:val="000000"/>
      <w:sz w:val="54"/>
      <w:szCs w:val="54"/>
    </w:rPr>
  </w:style>
  <w:style w:type="character" w:customStyle="1" w:styleId="146">
    <w:name w:val="列出段落 Char Char"/>
    <w:qFormat/>
    <w:uiPriority w:val="0"/>
    <w:rPr>
      <w:rFonts w:ascii="Calibri" w:hAnsi="Calibri"/>
      <w:szCs w:val="22"/>
    </w:rPr>
  </w:style>
  <w:style w:type="character" w:customStyle="1" w:styleId="147">
    <w:name w:val="样式 正文缩进特点ALT+Z表正文正文非缩进四号段1Normal Indent Char2Normal Inde..."/>
    <w:qFormat/>
    <w:uiPriority w:val="0"/>
    <w:rPr>
      <w:rFonts w:ascii="宋体" w:hAnsi="宋体"/>
      <w:b/>
      <w:sz w:val="44"/>
    </w:rPr>
  </w:style>
  <w:style w:type="character" w:customStyle="1" w:styleId="148">
    <w:name w:val="标题 1 Char Char"/>
    <w:qFormat/>
    <w:uiPriority w:val="0"/>
    <w:rPr>
      <w:rFonts w:eastAsia="宋体"/>
      <w:b/>
      <w:kern w:val="1"/>
      <w:sz w:val="44"/>
      <w:szCs w:val="44"/>
      <w:lang w:val="en-US" w:eastAsia="zh-CN" w:bidi="ar-SA"/>
    </w:rPr>
  </w:style>
  <w:style w:type="character" w:customStyle="1" w:styleId="149">
    <w:name w:val="次小点说明 Char"/>
    <w:qFormat/>
    <w:uiPriority w:val="0"/>
    <w:rPr>
      <w:rFonts w:eastAsia="宋体"/>
      <w:kern w:val="1"/>
      <w:sz w:val="21"/>
      <w:szCs w:val="24"/>
      <w:lang w:val="en-US" w:eastAsia="zh-CN" w:bidi="ar-SA"/>
    </w:rPr>
  </w:style>
  <w:style w:type="character" w:customStyle="1" w:styleId="150">
    <w:name w:val="font61"/>
    <w:qFormat/>
    <w:uiPriority w:val="0"/>
    <w:rPr>
      <w:rFonts w:ascii="宋体" w:hAnsi="宋体" w:eastAsia="宋体" w:cs="宋体"/>
      <w:b/>
      <w:color w:val="000000"/>
      <w:sz w:val="22"/>
      <w:szCs w:val="22"/>
      <w:u w:val="none"/>
    </w:rPr>
  </w:style>
  <w:style w:type="character" w:customStyle="1" w:styleId="151">
    <w:name w:val="批注文字 字符"/>
    <w:qFormat/>
    <w:uiPriority w:val="0"/>
    <w:rPr>
      <w:rFonts w:ascii="Times New Roman" w:hAnsi="Times New Roman" w:eastAsia="宋体" w:cs="Times New Roman"/>
      <w:szCs w:val="24"/>
    </w:rPr>
  </w:style>
  <w:style w:type="character" w:customStyle="1" w:styleId="152">
    <w:name w:val="fontstyle11"/>
    <w:qFormat/>
    <w:uiPriority w:val="0"/>
    <w:rPr>
      <w:rFonts w:hint="default" w:ascii="TimesNewRomanPSMT" w:hAnsi="TimesNewRomanPSMT"/>
      <w:color w:val="000000"/>
      <w:sz w:val="22"/>
      <w:szCs w:val="22"/>
    </w:rPr>
  </w:style>
  <w:style w:type="character" w:customStyle="1" w:styleId="153">
    <w:name w:val="标题 1 Char1"/>
    <w:qFormat/>
    <w:uiPriority w:val="0"/>
    <w:rPr>
      <w:b/>
      <w:kern w:val="1"/>
      <w:sz w:val="44"/>
      <w:szCs w:val="44"/>
    </w:rPr>
  </w:style>
  <w:style w:type="character" w:customStyle="1" w:styleId="154">
    <w:name w:val="文档正文 Char Char"/>
    <w:link w:val="155"/>
    <w:qFormat/>
    <w:uiPriority w:val="0"/>
    <w:rPr>
      <w:rFonts w:ascii="仿宋_GB2312" w:eastAsia="仿宋_GB2312"/>
      <w:sz w:val="21"/>
    </w:rPr>
  </w:style>
  <w:style w:type="paragraph" w:customStyle="1" w:styleId="155">
    <w:name w:val="文档正文"/>
    <w:basedOn w:val="1"/>
    <w:link w:val="154"/>
    <w:qFormat/>
    <w:uiPriority w:val="0"/>
    <w:pPr>
      <w:adjustRightInd w:val="0"/>
      <w:spacing w:line="480" w:lineRule="atLeast"/>
      <w:ind w:firstLine="567"/>
      <w:textAlignment w:val="baseline"/>
    </w:pPr>
    <w:rPr>
      <w:rFonts w:ascii="仿宋_GB2312" w:hAnsi="Times New Roman" w:eastAsia="仿宋_GB2312"/>
      <w:color w:val="auto"/>
      <w:sz w:val="21"/>
    </w:rPr>
  </w:style>
  <w:style w:type="character" w:customStyle="1" w:styleId="156">
    <w:name w:val="不明显参考1"/>
    <w:qFormat/>
    <w:uiPriority w:val="0"/>
    <w:rPr>
      <w:smallCaps/>
      <w:color w:val="C0504D"/>
      <w:u w:val="single"/>
    </w:rPr>
  </w:style>
  <w:style w:type="character" w:customStyle="1" w:styleId="157">
    <w:name w:val="font31"/>
    <w:qFormat/>
    <w:uiPriority w:val="0"/>
    <w:rPr>
      <w:rFonts w:hint="eastAsia" w:ascii="宋体" w:hAnsi="宋体" w:eastAsia="宋体" w:cs="宋体"/>
      <w:color w:val="FF0000"/>
      <w:sz w:val="21"/>
      <w:szCs w:val="21"/>
      <w:u w:val="none"/>
    </w:rPr>
  </w:style>
  <w:style w:type="character" w:customStyle="1" w:styleId="158">
    <w:name w:val="页脚 Char Char"/>
    <w:qFormat/>
    <w:uiPriority w:val="0"/>
    <w:rPr>
      <w:rFonts w:eastAsia="宋体"/>
      <w:kern w:val="1"/>
      <w:sz w:val="18"/>
      <w:szCs w:val="18"/>
      <w:lang w:val="en-US" w:eastAsia="zh-CN" w:bidi="ar-SA"/>
    </w:rPr>
  </w:style>
  <w:style w:type="character" w:customStyle="1" w:styleId="159">
    <w:name w:val="正文文本 2 Char1"/>
    <w:qFormat/>
    <w:uiPriority w:val="0"/>
  </w:style>
  <w:style w:type="character" w:customStyle="1" w:styleId="160">
    <w:name w:val="font51"/>
    <w:qFormat/>
    <w:uiPriority w:val="0"/>
    <w:rPr>
      <w:rFonts w:hint="default" w:ascii="Times New Roman" w:hAnsi="Times New Roman" w:cs="Times New Roman"/>
      <w:b/>
      <w:color w:val="000000"/>
      <w:sz w:val="20"/>
      <w:szCs w:val="20"/>
      <w:u w:val="none"/>
    </w:rPr>
  </w:style>
  <w:style w:type="character" w:customStyle="1" w:styleId="161">
    <w:name w:val="明显参考1"/>
    <w:qFormat/>
    <w:uiPriority w:val="24"/>
    <w:rPr>
      <w:b/>
      <w:bCs/>
      <w:smallCaps/>
      <w:color w:val="C0504D"/>
      <w:spacing w:val="5"/>
      <w:u w:val="single"/>
    </w:rPr>
  </w:style>
  <w:style w:type="character" w:customStyle="1" w:styleId="162">
    <w:name w:val="正文文本缩进 Char Char"/>
    <w:qFormat/>
    <w:uiPriority w:val="0"/>
    <w:rPr>
      <w:kern w:val="1"/>
      <w:sz w:val="21"/>
      <w:szCs w:val="24"/>
    </w:rPr>
  </w:style>
  <w:style w:type="character" w:customStyle="1" w:styleId="163">
    <w:name w:val="Body text|9 + 11 pt"/>
    <w:qFormat/>
    <w:uiPriority w:val="0"/>
    <w:rPr>
      <w:rFonts w:ascii="PMingLiU" w:hAnsi="PMingLiU" w:eastAsia="PMingLiU"/>
      <w:color w:val="000000"/>
      <w:spacing w:val="10"/>
      <w:w w:val="100"/>
      <w:position w:val="0"/>
      <w:sz w:val="22"/>
      <w:u w:val="single"/>
      <w:lang w:val="en-US" w:eastAsia="en-US"/>
    </w:rPr>
  </w:style>
  <w:style w:type="character" w:customStyle="1" w:styleId="164">
    <w:name w:val="标题 2 字符"/>
    <w:qFormat/>
    <w:uiPriority w:val="8"/>
    <w:rPr>
      <w:rFonts w:ascii="Arial" w:hAnsi="Arial"/>
      <w:b/>
      <w:color w:val="FF0000"/>
      <w:sz w:val="28"/>
      <w:szCs w:val="32"/>
    </w:rPr>
  </w:style>
  <w:style w:type="character" w:customStyle="1" w:styleId="165">
    <w:name w:val="标题 Char3"/>
    <w:qFormat/>
    <w:uiPriority w:val="10"/>
    <w:rPr>
      <w:rFonts w:ascii="Cambria" w:hAnsi="Cambria" w:eastAsia="宋体" w:cs="Times New Roman"/>
      <w:b/>
      <w:bCs/>
      <w:color w:val="000000"/>
      <w:kern w:val="0"/>
      <w:sz w:val="32"/>
      <w:szCs w:val="32"/>
    </w:rPr>
  </w:style>
  <w:style w:type="character" w:customStyle="1" w:styleId="166">
    <w:name w:val="文章正文(F5) Char Char Char"/>
    <w:link w:val="167"/>
    <w:qFormat/>
    <w:uiPriority w:val="0"/>
    <w:rPr>
      <w:rFonts w:ascii="宋体" w:hAnsi="宋体" w:cs="宋体"/>
      <w:color w:val="000000"/>
      <w:kern w:val="1"/>
      <w:sz w:val="24"/>
      <w:szCs w:val="24"/>
      <w:lang w:val="zh-CN"/>
    </w:rPr>
  </w:style>
  <w:style w:type="paragraph" w:customStyle="1" w:styleId="167">
    <w:name w:val="文章正文(F5)"/>
    <w:basedOn w:val="1"/>
    <w:link w:val="166"/>
    <w:qFormat/>
    <w:uiPriority w:val="0"/>
    <w:pPr>
      <w:spacing w:before="156" w:after="156" w:line="360" w:lineRule="auto"/>
      <w:ind w:firstLine="480"/>
    </w:pPr>
    <w:rPr>
      <w:kern w:val="1"/>
      <w:sz w:val="24"/>
      <w:szCs w:val="24"/>
      <w:lang w:val="zh-CN"/>
    </w:rPr>
  </w:style>
  <w:style w:type="character" w:customStyle="1" w:styleId="168">
    <w:name w:val="font11"/>
    <w:qFormat/>
    <w:uiPriority w:val="0"/>
    <w:rPr>
      <w:rFonts w:ascii="Arial" w:hAnsi="Arial" w:eastAsia="Arial"/>
      <w:color w:val="000000"/>
      <w:w w:val="100"/>
      <w:sz w:val="20"/>
      <w:szCs w:val="20"/>
      <w:u w:val="none"/>
      <w:shd w:val="clear" w:color="auto" w:fill="auto"/>
    </w:rPr>
  </w:style>
  <w:style w:type="character" w:customStyle="1" w:styleId="169">
    <w:name w:val="hover5"/>
    <w:qFormat/>
    <w:uiPriority w:val="0"/>
    <w:rPr>
      <w:rFonts w:cs="Times New Roman"/>
      <w:shd w:val="clear" w:color="auto" w:fill="EEEEEE"/>
    </w:rPr>
  </w:style>
  <w:style w:type="character" w:customStyle="1" w:styleId="170">
    <w:name w:val="l-btn-icon-right"/>
    <w:qFormat/>
    <w:uiPriority w:val="0"/>
    <w:rPr>
      <w:rFonts w:cs="Times New Roman"/>
    </w:rPr>
  </w:style>
  <w:style w:type="character" w:customStyle="1" w:styleId="171">
    <w:name w:val="正文（首行缩进两字） Char1"/>
    <w:qFormat/>
    <w:uiPriority w:val="0"/>
    <w:rPr>
      <w:kern w:val="2"/>
      <w:sz w:val="21"/>
    </w:rPr>
  </w:style>
  <w:style w:type="character" w:customStyle="1" w:styleId="172">
    <w:name w:val="16"/>
    <w:qFormat/>
    <w:uiPriority w:val="0"/>
    <w:rPr>
      <w:rFonts w:hint="default" w:ascii="Times New Roman" w:hAnsi="Times New Roman" w:cs="Times New Roman"/>
      <w:sz w:val="18"/>
      <w:szCs w:val="18"/>
    </w:rPr>
  </w:style>
  <w:style w:type="character" w:customStyle="1" w:styleId="173">
    <w:name w:val="列出段落 Char"/>
    <w:link w:val="174"/>
    <w:qFormat/>
    <w:uiPriority w:val="0"/>
    <w:rPr>
      <w:rFonts w:ascii="Calibri" w:hAnsi="Calibri" w:cs="Calibri"/>
      <w:color w:val="000000"/>
      <w:szCs w:val="22"/>
      <w:lang w:val="zh-CN"/>
    </w:rPr>
  </w:style>
  <w:style w:type="paragraph" w:styleId="174">
    <w:name w:val="List Paragraph"/>
    <w:basedOn w:val="1"/>
    <w:link w:val="173"/>
    <w:qFormat/>
    <w:uiPriority w:val="0"/>
    <w:pPr>
      <w:widowControl/>
      <w:ind w:firstLine="420"/>
      <w:jc w:val="left"/>
    </w:pPr>
    <w:rPr>
      <w:rFonts w:ascii="Calibri" w:hAnsi="Calibri"/>
      <w:sz w:val="20"/>
      <w:szCs w:val="22"/>
      <w:lang w:val="zh-CN"/>
    </w:rPr>
  </w:style>
  <w:style w:type="character" w:customStyle="1" w:styleId="175">
    <w:name w:val="ca-210"/>
    <w:qFormat/>
    <w:uiPriority w:val="0"/>
    <w:rPr>
      <w:rFonts w:hint="eastAsia" w:ascii="宋体" w:hAnsi="宋体" w:eastAsia="宋体"/>
      <w:color w:val="000000"/>
      <w:sz w:val="24"/>
      <w:szCs w:val="24"/>
    </w:rPr>
  </w:style>
  <w:style w:type="character" w:customStyle="1" w:styleId="176">
    <w:name w:val="脚注文本 Char1"/>
    <w:qFormat/>
    <w:uiPriority w:val="0"/>
    <w:rPr>
      <w:sz w:val="18"/>
      <w:szCs w:val="18"/>
    </w:rPr>
  </w:style>
  <w:style w:type="character" w:customStyle="1" w:styleId="177">
    <w:name w:val="批注框文本 字符1"/>
    <w:semiHidden/>
    <w:qFormat/>
    <w:uiPriority w:val="99"/>
    <w:rPr>
      <w:kern w:val="2"/>
      <w:sz w:val="18"/>
      <w:szCs w:val="18"/>
    </w:rPr>
  </w:style>
  <w:style w:type="character" w:customStyle="1" w:styleId="178">
    <w:name w:val="明显强调2"/>
    <w:qFormat/>
    <w:uiPriority w:val="0"/>
    <w:rPr>
      <w:b/>
      <w:bCs/>
      <w:i/>
      <w:iCs/>
      <w:color w:val="4F81BD"/>
    </w:rPr>
  </w:style>
  <w:style w:type="character" w:customStyle="1" w:styleId="179">
    <w:name w:val="标题 3 Char1"/>
    <w:qFormat/>
    <w:uiPriority w:val="0"/>
    <w:rPr>
      <w:b/>
      <w:sz w:val="32"/>
      <w:szCs w:val="32"/>
    </w:rPr>
  </w:style>
  <w:style w:type="character" w:customStyle="1" w:styleId="180">
    <w:name w:val="Body text|9 + 8.5 pt"/>
    <w:qFormat/>
    <w:uiPriority w:val="0"/>
    <w:rPr>
      <w:rFonts w:ascii="PMingLiU" w:hAnsi="PMingLiU" w:eastAsia="PMingLiU"/>
      <w:color w:val="000000"/>
      <w:spacing w:val="0"/>
      <w:w w:val="100"/>
      <w:position w:val="0"/>
      <w:sz w:val="17"/>
      <w:u w:val="single"/>
      <w:lang w:val="zh-CN" w:eastAsia="zh-CN"/>
    </w:rPr>
  </w:style>
  <w:style w:type="character" w:customStyle="1" w:styleId="181">
    <w:name w:val="invalid"/>
    <w:qFormat/>
    <w:uiPriority w:val="0"/>
    <w:rPr>
      <w:rFonts w:cs="Times New Roman"/>
      <w:color w:val="FFFFFF"/>
      <w:shd w:val="clear" w:color="auto" w:fill="316C96"/>
    </w:rPr>
  </w:style>
  <w:style w:type="character" w:customStyle="1" w:styleId="182">
    <w:name w:val="Intense Emphasis"/>
    <w:qFormat/>
    <w:uiPriority w:val="0"/>
    <w:rPr>
      <w:rFonts w:eastAsia="仿宋_GB2312"/>
      <w:bCs/>
      <w:iCs/>
      <w:color w:val="auto"/>
      <w:sz w:val="32"/>
    </w:rPr>
  </w:style>
  <w:style w:type="character" w:customStyle="1" w:styleId="183">
    <w:name w:val="lemmatitleh11"/>
    <w:qFormat/>
    <w:uiPriority w:val="0"/>
  </w:style>
  <w:style w:type="character" w:customStyle="1" w:styleId="184">
    <w:name w:val="图片居中 Char Char"/>
    <w:link w:val="185"/>
    <w:qFormat/>
    <w:uiPriority w:val="0"/>
    <w:rPr>
      <w:color w:val="000000"/>
      <w:sz w:val="21"/>
      <w:szCs w:val="24"/>
    </w:rPr>
  </w:style>
  <w:style w:type="paragraph" w:customStyle="1" w:styleId="185">
    <w:name w:val="图片居中"/>
    <w:basedOn w:val="1"/>
    <w:next w:val="1"/>
    <w:link w:val="184"/>
    <w:qFormat/>
    <w:uiPriority w:val="0"/>
    <w:pPr>
      <w:jc w:val="center"/>
    </w:pPr>
    <w:rPr>
      <w:rFonts w:ascii="Times New Roman" w:hAnsi="Times New Roman"/>
      <w:sz w:val="21"/>
      <w:szCs w:val="24"/>
    </w:rPr>
  </w:style>
  <w:style w:type="character" w:customStyle="1" w:styleId="186">
    <w:name w:val="标题 8 Char1"/>
    <w:qFormat/>
    <w:uiPriority w:val="0"/>
    <w:rPr>
      <w:rFonts w:ascii="Cambria" w:hAnsi="Cambria" w:eastAsia="宋体" w:cs="Times New Roman"/>
      <w:sz w:val="24"/>
      <w:szCs w:val="24"/>
    </w:rPr>
  </w:style>
  <w:style w:type="character" w:customStyle="1" w:styleId="187">
    <w:name w:val="标题 4 Char Char"/>
    <w:qFormat/>
    <w:uiPriority w:val="0"/>
    <w:rPr>
      <w:rFonts w:ascii="Arial" w:hAnsi="Arial" w:eastAsia="黑体"/>
      <w:b/>
      <w:kern w:val="1"/>
      <w:sz w:val="28"/>
      <w:szCs w:val="28"/>
      <w:lang w:val="en-US" w:eastAsia="zh-CN" w:bidi="ar-SA"/>
    </w:rPr>
  </w:style>
  <w:style w:type="character" w:customStyle="1" w:styleId="188">
    <w:name w:val="Heading 3 Char"/>
    <w:qFormat/>
    <w:locked/>
    <w:uiPriority w:val="0"/>
    <w:rPr>
      <w:rFonts w:ascii="黑体" w:hAnsi="宋体" w:eastAsia="黑体" w:cs="Times New Roman"/>
      <w:bCs/>
      <w:sz w:val="28"/>
      <w:szCs w:val="28"/>
    </w:rPr>
  </w:style>
  <w:style w:type="character" w:customStyle="1" w:styleId="189">
    <w:name w:val="称呼 Char Char"/>
    <w:qFormat/>
    <w:uiPriority w:val="0"/>
    <w:rPr>
      <w:rFonts w:ascii="宋体" w:hAnsi="宋体" w:eastAsia="仿宋"/>
      <w:kern w:val="1"/>
      <w:sz w:val="21"/>
    </w:rPr>
  </w:style>
  <w:style w:type="character" w:customStyle="1" w:styleId="190">
    <w:name w:val="尾注文本 Char Char"/>
    <w:qFormat/>
    <w:uiPriority w:val="0"/>
  </w:style>
  <w:style w:type="character" w:customStyle="1" w:styleId="191">
    <w:name w:val="批注文字 Char Char"/>
    <w:qFormat/>
    <w:uiPriority w:val="0"/>
    <w:rPr>
      <w:rFonts w:eastAsia="宋体"/>
      <w:kern w:val="1"/>
      <w:sz w:val="21"/>
      <w:szCs w:val="24"/>
      <w:lang w:val="en-US" w:eastAsia="zh-CN" w:bidi="ar-SA"/>
    </w:rPr>
  </w:style>
  <w:style w:type="character" w:customStyle="1" w:styleId="192">
    <w:name w:val="批注框文本 Char Char"/>
    <w:qFormat/>
    <w:uiPriority w:val="0"/>
    <w:rPr>
      <w:kern w:val="1"/>
      <w:sz w:val="18"/>
      <w:szCs w:val="18"/>
    </w:rPr>
  </w:style>
  <w:style w:type="character" w:customStyle="1" w:styleId="193">
    <w:name w:val="正文首行缩进 Char Char"/>
    <w:qFormat/>
    <w:uiPriority w:val="0"/>
  </w:style>
  <w:style w:type="character" w:customStyle="1" w:styleId="194">
    <w:name w:val="font1"/>
    <w:qFormat/>
    <w:uiPriority w:val="0"/>
  </w:style>
  <w:style w:type="character" w:customStyle="1" w:styleId="195">
    <w:name w:val="first-child1"/>
    <w:qFormat/>
    <w:uiPriority w:val="0"/>
    <w:rPr>
      <w:rFonts w:cs="Times New Roman"/>
    </w:rPr>
  </w:style>
  <w:style w:type="character" w:customStyle="1" w:styleId="196">
    <w:name w:val="日期 Char Char"/>
    <w:qFormat/>
    <w:uiPriority w:val="0"/>
    <w:rPr>
      <w:kern w:val="1"/>
      <w:sz w:val="24"/>
    </w:rPr>
  </w:style>
  <w:style w:type="character" w:customStyle="1" w:styleId="197">
    <w:name w:val="old"/>
    <w:qFormat/>
    <w:uiPriority w:val="0"/>
    <w:rPr>
      <w:rFonts w:cs="Times New Roman"/>
      <w:color w:val="999999"/>
    </w:rPr>
  </w:style>
  <w:style w:type="character" w:customStyle="1" w:styleId="198">
    <w:name w:val="font71"/>
    <w:qFormat/>
    <w:uiPriority w:val="0"/>
    <w:rPr>
      <w:rFonts w:hint="eastAsia" w:ascii="宋体" w:hAnsi="宋体" w:eastAsia="宋体" w:cs="宋体"/>
      <w:b/>
      <w:color w:val="FF0000"/>
      <w:sz w:val="20"/>
      <w:szCs w:val="20"/>
      <w:u w:val="none"/>
    </w:rPr>
  </w:style>
  <w:style w:type="character" w:customStyle="1" w:styleId="199">
    <w:name w:val="明显强调1"/>
    <w:qFormat/>
    <w:uiPriority w:val="0"/>
    <w:rPr>
      <w:b/>
      <w:bCs/>
      <w:i/>
      <w:iCs/>
      <w:color w:val="4F81BD"/>
    </w:rPr>
  </w:style>
  <w:style w:type="character" w:customStyle="1" w:styleId="200">
    <w:name w:val="标题 2 Char1"/>
    <w:qFormat/>
    <w:uiPriority w:val="0"/>
    <w:rPr>
      <w:rFonts w:ascii="Cambria" w:hAnsi="Cambria" w:eastAsia="宋体" w:cs="Times New Roman"/>
      <w:b/>
      <w:sz w:val="32"/>
      <w:szCs w:val="32"/>
    </w:rPr>
  </w:style>
  <w:style w:type="character" w:customStyle="1" w:styleId="201">
    <w:name w:val="正文文本 + 6 pt"/>
    <w:qFormat/>
    <w:uiPriority w:val="0"/>
    <w:rPr>
      <w:rFonts w:ascii="MingLiU" w:hAnsi="MingLiU" w:eastAsia="MingLiU"/>
      <w:i/>
      <w:color w:val="000000"/>
      <w:w w:val="100"/>
      <w:sz w:val="12"/>
      <w:szCs w:val="12"/>
      <w:u w:val="none"/>
      <w:shd w:val="clear" w:color="auto" w:fill="auto"/>
    </w:rPr>
  </w:style>
  <w:style w:type="character" w:customStyle="1" w:styleId="202">
    <w:name w:val="小点说明 Char"/>
    <w:qFormat/>
    <w:uiPriority w:val="0"/>
    <w:rPr>
      <w:rFonts w:eastAsia="宋体"/>
      <w:kern w:val="1"/>
      <w:sz w:val="24"/>
      <w:szCs w:val="24"/>
      <w:lang w:val="en-US" w:eastAsia="zh-CN" w:bidi="ar-SA"/>
    </w:rPr>
  </w:style>
  <w:style w:type="character" w:customStyle="1" w:styleId="203">
    <w:name w:val="标题 6 Char Char"/>
    <w:qFormat/>
    <w:uiPriority w:val="0"/>
    <w:rPr>
      <w:rFonts w:ascii="Arial" w:hAnsi="Arial" w:eastAsia="黑体"/>
      <w:b/>
      <w:sz w:val="24"/>
      <w:szCs w:val="24"/>
    </w:rPr>
  </w:style>
  <w:style w:type="character" w:customStyle="1" w:styleId="204">
    <w:name w:val="纯文本 字符"/>
    <w:qFormat/>
    <w:uiPriority w:val="0"/>
    <w:rPr>
      <w:rFonts w:ascii="宋体" w:hAnsi="Courier New" w:cs="Courier New"/>
      <w:sz w:val="24"/>
      <w:szCs w:val="24"/>
    </w:rPr>
  </w:style>
  <w:style w:type="character" w:customStyle="1" w:styleId="205">
    <w:name w:val="标题 9 Char1"/>
    <w:qFormat/>
    <w:uiPriority w:val="0"/>
    <w:rPr>
      <w:rFonts w:ascii="Cambria" w:hAnsi="Cambria" w:eastAsia="宋体" w:cs="Times New Roman"/>
      <w:sz w:val="21"/>
      <w:szCs w:val="21"/>
    </w:rPr>
  </w:style>
  <w:style w:type="character" w:customStyle="1" w:styleId="206">
    <w:name w:val="标题 3 Char Char"/>
    <w:qFormat/>
    <w:uiPriority w:val="0"/>
    <w:rPr>
      <w:rFonts w:ascii="宋体" w:hAnsi="宋体" w:eastAsia="宋体"/>
      <w:kern w:val="1"/>
      <w:sz w:val="28"/>
      <w:szCs w:val="28"/>
    </w:rPr>
  </w:style>
  <w:style w:type="character" w:customStyle="1" w:styleId="207">
    <w:name w:val="标题 Char1"/>
    <w:qFormat/>
    <w:uiPriority w:val="0"/>
    <w:rPr>
      <w:rFonts w:ascii="Cambria" w:hAnsi="Cambria" w:cs="Times New Roman"/>
      <w:b/>
      <w:sz w:val="32"/>
      <w:szCs w:val="32"/>
    </w:rPr>
  </w:style>
  <w:style w:type="character" w:customStyle="1" w:styleId="208">
    <w:name w:val="fontstyle01"/>
    <w:qFormat/>
    <w:uiPriority w:val="0"/>
    <w:rPr>
      <w:rFonts w:hint="eastAsia" w:ascii="宋体" w:hAnsi="宋体" w:eastAsia="宋体"/>
      <w:color w:val="000000"/>
      <w:sz w:val="22"/>
      <w:szCs w:val="22"/>
    </w:rPr>
  </w:style>
  <w:style w:type="character" w:customStyle="1" w:styleId="209">
    <w:name w:val="biaoti1"/>
    <w:qFormat/>
    <w:uiPriority w:val="0"/>
    <w:rPr>
      <w:rFonts w:ascii="宋体" w:hAnsi="宋体" w:eastAsia="宋体"/>
      <w:sz w:val="32"/>
      <w:u w:val="none"/>
    </w:rPr>
  </w:style>
  <w:style w:type="character" w:customStyle="1" w:styleId="210">
    <w:name w:val="a0011"/>
    <w:qFormat/>
    <w:uiPriority w:val="0"/>
    <w:rPr>
      <w:rFonts w:ascii="Tahoma" w:hAnsi="Tahoma" w:cs="Tahoma"/>
      <w:color w:val="333333"/>
      <w:sz w:val="17"/>
      <w:szCs w:val="17"/>
      <w:u w:val="none"/>
    </w:rPr>
  </w:style>
  <w:style w:type="character" w:customStyle="1" w:styleId="211">
    <w:name w:val="批注主题 Char1"/>
    <w:qFormat/>
    <w:uiPriority w:val="0"/>
    <w:rPr>
      <w:b/>
    </w:rPr>
  </w:style>
  <w:style w:type="character" w:customStyle="1" w:styleId="212">
    <w:name w:val="正文文本 字符1"/>
    <w:semiHidden/>
    <w:qFormat/>
    <w:uiPriority w:val="99"/>
    <w:rPr>
      <w:kern w:val="2"/>
      <w:sz w:val="21"/>
      <w:szCs w:val="24"/>
    </w:rPr>
  </w:style>
  <w:style w:type="character" w:customStyle="1" w:styleId="213">
    <w:name w:val="文档结构图 Char Char"/>
    <w:qFormat/>
    <w:uiPriority w:val="0"/>
    <w:rPr>
      <w:rFonts w:eastAsia="宋体"/>
      <w:kern w:val="1"/>
      <w:sz w:val="21"/>
      <w:szCs w:val="24"/>
      <w:lang w:val="en-US" w:eastAsia="zh-CN" w:bidi="ar-SA"/>
    </w:rPr>
  </w:style>
  <w:style w:type="character" w:customStyle="1" w:styleId="214">
    <w:name w:val="正 文 1 Char"/>
    <w:qFormat/>
    <w:uiPriority w:val="99"/>
    <w:rPr>
      <w:rFonts w:ascii="宋体" w:hAnsi="宋体" w:eastAsia="宋体"/>
      <w:kern w:val="1"/>
      <w:sz w:val="22"/>
      <w:lang w:val="en-US" w:eastAsia="zh-CN" w:bidi="ar-SA"/>
    </w:rPr>
  </w:style>
  <w:style w:type="character" w:customStyle="1" w:styleId="215">
    <w:name w:val="red"/>
    <w:qFormat/>
    <w:uiPriority w:val="0"/>
    <w:rPr>
      <w:color w:val="DF2212"/>
    </w:rPr>
  </w:style>
  <w:style w:type="character" w:customStyle="1" w:styleId="216">
    <w:name w:val="15"/>
    <w:qFormat/>
    <w:uiPriority w:val="0"/>
    <w:rPr>
      <w:rFonts w:hint="default" w:ascii="Times New Roman" w:hAnsi="Times New Roman" w:cs="Times New Roman"/>
    </w:rPr>
  </w:style>
  <w:style w:type="character" w:customStyle="1" w:styleId="217">
    <w:name w:val="17"/>
    <w:qFormat/>
    <w:uiPriority w:val="0"/>
    <w:rPr>
      <w:rFonts w:hint="default" w:ascii="Times New Roman" w:hAnsi="Times New Roman" w:cs="Times New Roman"/>
      <w:sz w:val="18"/>
      <w:szCs w:val="18"/>
    </w:rPr>
  </w:style>
  <w:style w:type="character" w:customStyle="1" w:styleId="218">
    <w:name w:val="标题 8 Char Char"/>
    <w:qFormat/>
    <w:uiPriority w:val="0"/>
    <w:rPr>
      <w:rFonts w:ascii="Arial" w:hAnsi="Arial" w:eastAsia="黑体"/>
      <w:sz w:val="24"/>
      <w:szCs w:val="24"/>
    </w:rPr>
  </w:style>
  <w:style w:type="character" w:customStyle="1" w:styleId="219">
    <w:name w:val="标题 7 Char Char"/>
    <w:qFormat/>
    <w:uiPriority w:val="0"/>
    <w:rPr>
      <w:b/>
      <w:sz w:val="24"/>
      <w:szCs w:val="24"/>
    </w:rPr>
  </w:style>
  <w:style w:type="character" w:customStyle="1" w:styleId="220">
    <w:name w:val="正文首行缩进 2 Char1"/>
    <w:qFormat/>
    <w:uiPriority w:val="0"/>
  </w:style>
  <w:style w:type="character" w:customStyle="1" w:styleId="221">
    <w:name w:val="明显引用 Char"/>
    <w:link w:val="222"/>
    <w:qFormat/>
    <w:uiPriority w:val="22"/>
    <w:rPr>
      <w:rFonts w:eastAsia="Times New Roman"/>
      <w:i/>
      <w:color w:val="5B9BD5"/>
      <w:sz w:val="21"/>
      <w:szCs w:val="21"/>
      <w:lang w:val="en-US" w:eastAsia="zh-CN" w:bidi="ar-SA"/>
    </w:rPr>
  </w:style>
  <w:style w:type="paragraph" w:styleId="222">
    <w:name w:val="Intense Quote"/>
    <w:link w:val="221"/>
    <w:qFormat/>
    <w:uiPriority w:val="22"/>
    <w:pPr>
      <w:ind w:left="950" w:right="950"/>
      <w:jc w:val="center"/>
    </w:pPr>
    <w:rPr>
      <w:rFonts w:ascii="Times New Roman" w:hAnsi="Times New Roman" w:eastAsia="Times New Roman" w:cs="Times New Roman"/>
      <w:i/>
      <w:color w:val="5B9BD5"/>
      <w:sz w:val="21"/>
      <w:szCs w:val="21"/>
      <w:lang w:val="en-US" w:eastAsia="zh-CN" w:bidi="ar-SA"/>
    </w:rPr>
  </w:style>
  <w:style w:type="character" w:customStyle="1" w:styleId="223">
    <w:name w:val="textcontents"/>
    <w:qFormat/>
    <w:uiPriority w:val="0"/>
    <w:rPr>
      <w:rFonts w:cs="Times New Roman"/>
      <w:lang w:bidi="ar-SA"/>
    </w:rPr>
  </w:style>
  <w:style w:type="character" w:customStyle="1" w:styleId="224">
    <w:name w:val="正文文本缩进 3 Char Char"/>
    <w:qFormat/>
    <w:uiPriority w:val="0"/>
    <w:rPr>
      <w:kern w:val="1"/>
      <w:sz w:val="16"/>
      <w:szCs w:val="16"/>
    </w:rPr>
  </w:style>
  <w:style w:type="character" w:customStyle="1" w:styleId="225">
    <w:name w:val="Char Char3"/>
    <w:qFormat/>
    <w:uiPriority w:val="99"/>
    <w:rPr>
      <w:rFonts w:ascii="宋体" w:hAnsi="Courier New" w:eastAsia="宋体" w:cs="Times New Roman"/>
      <w:kern w:val="2"/>
      <w:sz w:val="21"/>
      <w:lang w:val="en-US" w:eastAsia="zh-CN" w:bidi="ar-SA"/>
    </w:rPr>
  </w:style>
  <w:style w:type="character" w:customStyle="1" w:styleId="226">
    <w:name w:val="标题 Char2"/>
    <w:qFormat/>
    <w:uiPriority w:val="10"/>
    <w:rPr>
      <w:rFonts w:ascii="Cambria" w:hAnsi="Cambria" w:eastAsia="宋体" w:cs="Times New Roman"/>
      <w:b/>
      <w:bCs/>
      <w:color w:val="000000"/>
      <w:kern w:val="0"/>
      <w:sz w:val="32"/>
      <w:szCs w:val="32"/>
    </w:rPr>
  </w:style>
  <w:style w:type="character" w:customStyle="1" w:styleId="227">
    <w:name w:val="链接"/>
    <w:qFormat/>
    <w:uiPriority w:val="0"/>
    <w:rPr>
      <w:rFonts w:ascii="Times New Roman" w:hAnsi="Times New Roman" w:eastAsia="宋体"/>
      <w:color w:val="0000FF"/>
      <w:position w:val="0"/>
      <w:sz w:val="21"/>
      <w:u w:val="single"/>
      <w:vertAlign w:val="baseline"/>
      <w:lang w:val="en-US" w:eastAsia="zh-CN"/>
    </w:rPr>
  </w:style>
  <w:style w:type="character" w:customStyle="1" w:styleId="228">
    <w:name w:val="副标题 字符"/>
    <w:qFormat/>
    <w:uiPriority w:val="11"/>
    <w:rPr>
      <w:rFonts w:ascii="Cambria" w:hAnsi="Cambria" w:eastAsia="宋体" w:cs="Times New Roman"/>
      <w:b/>
      <w:bCs/>
      <w:kern w:val="28"/>
      <w:sz w:val="32"/>
      <w:szCs w:val="32"/>
    </w:rPr>
  </w:style>
  <w:style w:type="character" w:customStyle="1" w:styleId="229">
    <w:name w:val="fontstyle31"/>
    <w:qFormat/>
    <w:uiPriority w:val="0"/>
    <w:rPr>
      <w:rFonts w:hint="default" w:ascii="Times New Roman" w:hAnsi="Times New Roman" w:cs="Times New Roman"/>
      <w:b/>
      <w:bCs/>
      <w:color w:val="000000"/>
      <w:sz w:val="24"/>
      <w:szCs w:val="24"/>
    </w:rPr>
  </w:style>
  <w:style w:type="character" w:customStyle="1" w:styleId="230">
    <w:name w:val="Para head"/>
    <w:qFormat/>
    <w:uiPriority w:val="0"/>
    <w:rPr>
      <w:rFonts w:ascii="Arial" w:hAnsi="Arial" w:eastAsia="Times New Roman"/>
      <w:sz w:val="20"/>
    </w:rPr>
  </w:style>
  <w:style w:type="character" w:customStyle="1" w:styleId="231">
    <w:name w:val="页脚 Char1"/>
    <w:qFormat/>
    <w:uiPriority w:val="99"/>
    <w:rPr>
      <w:sz w:val="18"/>
      <w:szCs w:val="18"/>
    </w:rPr>
  </w:style>
  <w:style w:type="character" w:customStyle="1" w:styleId="232">
    <w:name w:val="批注主题 字符1"/>
    <w:semiHidden/>
    <w:qFormat/>
    <w:uiPriority w:val="99"/>
    <w:rPr>
      <w:b/>
      <w:bCs/>
      <w:color w:val="000000"/>
      <w:kern w:val="2"/>
      <w:sz w:val="21"/>
      <w:szCs w:val="24"/>
    </w:rPr>
  </w:style>
  <w:style w:type="character" w:customStyle="1" w:styleId="233">
    <w:name w:val="HTML 预设格式 Char Char"/>
    <w:qFormat/>
    <w:uiPriority w:val="0"/>
    <w:rPr>
      <w:rFonts w:ascii="Arial" w:hAnsi="Arial" w:cs="Arial"/>
      <w:sz w:val="24"/>
      <w:szCs w:val="21"/>
      <w:lang w:eastAsia="en-US" w:bidi="en-US"/>
    </w:rPr>
  </w:style>
  <w:style w:type="character" w:customStyle="1" w:styleId="234">
    <w:name w:val="10"/>
    <w:qFormat/>
    <w:uiPriority w:val="0"/>
    <w:rPr>
      <w:rFonts w:hint="default" w:ascii="Times New Roman" w:hAnsi="Times New Roman" w:cs="Times New Roman"/>
    </w:rPr>
  </w:style>
  <w:style w:type="character" w:customStyle="1" w:styleId="235">
    <w:name w:val="页眉 Char Char"/>
    <w:qFormat/>
    <w:uiPriority w:val="0"/>
    <w:rPr>
      <w:kern w:val="1"/>
      <w:sz w:val="18"/>
      <w:szCs w:val="18"/>
    </w:rPr>
  </w:style>
  <w:style w:type="character" w:customStyle="1" w:styleId="236">
    <w:name w:val="19"/>
    <w:qFormat/>
    <w:uiPriority w:val="0"/>
    <w:rPr>
      <w:rFonts w:hint="eastAsia" w:ascii="宋体" w:hAnsi="宋体" w:eastAsia="宋体" w:cs="宋体"/>
      <w:b/>
      <w:color w:val="000000"/>
      <w:spacing w:val="40"/>
      <w:sz w:val="24"/>
      <w:szCs w:val="24"/>
    </w:rPr>
  </w:style>
  <w:style w:type="character" w:customStyle="1" w:styleId="237">
    <w:name w:val="页脚 字符1"/>
    <w:qFormat/>
    <w:uiPriority w:val="0"/>
    <w:rPr>
      <w:rFonts w:cs="Times New Roman"/>
      <w:kern w:val="2"/>
      <w:sz w:val="18"/>
      <w:szCs w:val="18"/>
    </w:rPr>
  </w:style>
  <w:style w:type="character" w:customStyle="1" w:styleId="238">
    <w:name w:val="正文文本_"/>
    <w:link w:val="239"/>
    <w:qFormat/>
    <w:uiPriority w:val="0"/>
    <w:rPr>
      <w:rFonts w:ascii="MingLiU" w:hAnsi="MingLiU" w:eastAsia="MingLiU"/>
      <w:spacing w:val="20"/>
      <w:shd w:val="clear" w:color="000000" w:fill="FFFFFF"/>
    </w:rPr>
  </w:style>
  <w:style w:type="paragraph" w:customStyle="1" w:styleId="239">
    <w:name w:val="正文文本2"/>
    <w:basedOn w:val="1"/>
    <w:link w:val="238"/>
    <w:qFormat/>
    <w:uiPriority w:val="0"/>
    <w:pPr>
      <w:widowControl/>
      <w:shd w:val="clear" w:color="000000" w:fill="FFFFFF"/>
      <w:jc w:val="distribute"/>
    </w:pPr>
    <w:rPr>
      <w:rFonts w:ascii="MingLiU" w:hAnsi="MingLiU" w:eastAsia="MingLiU"/>
      <w:color w:val="auto"/>
      <w:spacing w:val="20"/>
      <w:sz w:val="20"/>
    </w:rPr>
  </w:style>
  <w:style w:type="character" w:customStyle="1" w:styleId="240">
    <w:name w:val="Unresolved Mention"/>
    <w:unhideWhenUsed/>
    <w:qFormat/>
    <w:uiPriority w:val="99"/>
    <w:rPr>
      <w:color w:val="605E5C"/>
      <w:shd w:val="clear" w:color="auto" w:fill="E1DFDD"/>
    </w:rPr>
  </w:style>
  <w:style w:type="character" w:customStyle="1" w:styleId="241">
    <w:name w:val="正文文本 Char1"/>
    <w:qFormat/>
    <w:uiPriority w:val="0"/>
  </w:style>
  <w:style w:type="character" w:customStyle="1" w:styleId="242">
    <w:name w:val="Body text|9 + Times New Roman"/>
    <w:qFormat/>
    <w:uiPriority w:val="0"/>
    <w:rPr>
      <w:rFonts w:ascii="Times New Roman" w:hAnsi="Times New Roman"/>
      <w:color w:val="000000"/>
      <w:spacing w:val="10"/>
      <w:w w:val="100"/>
      <w:position w:val="0"/>
      <w:sz w:val="21"/>
      <w:u w:val="single"/>
      <w:lang w:val="zh-CN" w:eastAsia="zh-CN"/>
    </w:rPr>
  </w:style>
  <w:style w:type="character" w:customStyle="1" w:styleId="243">
    <w:name w:val="font161"/>
    <w:qFormat/>
    <w:uiPriority w:val="0"/>
    <w:rPr>
      <w:b/>
      <w:sz w:val="32"/>
      <w:szCs w:val="32"/>
    </w:rPr>
  </w:style>
  <w:style w:type="character" w:customStyle="1" w:styleId="244">
    <w:name w:val="font01"/>
    <w:qFormat/>
    <w:uiPriority w:val="0"/>
    <w:rPr>
      <w:rFonts w:hint="eastAsia" w:ascii="宋体" w:hAnsi="宋体" w:eastAsia="宋体" w:cs="宋体"/>
      <w:color w:val="FF0000"/>
      <w:sz w:val="18"/>
      <w:szCs w:val="18"/>
      <w:u w:val="none"/>
    </w:rPr>
  </w:style>
  <w:style w:type="character" w:customStyle="1" w:styleId="245">
    <w:name w:val="标题 3 字符"/>
    <w:qFormat/>
    <w:uiPriority w:val="0"/>
    <w:rPr>
      <w:rFonts w:ascii="Times New Roman" w:hAnsi="Times New Roman" w:eastAsia="宋体" w:cs="Times New Roman"/>
      <w:b/>
      <w:bCs/>
      <w:sz w:val="32"/>
      <w:szCs w:val="32"/>
    </w:rPr>
  </w:style>
  <w:style w:type="character" w:customStyle="1" w:styleId="246">
    <w:name w:val="文档结构图 Char1"/>
    <w:qFormat/>
    <w:uiPriority w:val="0"/>
    <w:rPr>
      <w:rFonts w:ascii="宋体" w:hAnsi="宋体"/>
      <w:sz w:val="18"/>
      <w:szCs w:val="18"/>
    </w:rPr>
  </w:style>
  <w:style w:type="character" w:customStyle="1" w:styleId="247">
    <w:name w:val="标题 5 Char Char"/>
    <w:qFormat/>
    <w:uiPriority w:val="0"/>
    <w:rPr>
      <w:rFonts w:ascii="宋体" w:hAnsi="宋体"/>
      <w:b/>
      <w:sz w:val="24"/>
    </w:rPr>
  </w:style>
  <w:style w:type="character" w:customStyle="1" w:styleId="248">
    <w:name w:val="正文文本 (3) + 12 pt"/>
    <w:qFormat/>
    <w:uiPriority w:val="0"/>
    <w:rPr>
      <w:rFonts w:ascii="MingLiU" w:hAnsi="MingLiU" w:eastAsia="MingLiU"/>
      <w:b/>
      <w:color w:val="000000"/>
      <w:w w:val="100"/>
      <w:sz w:val="24"/>
      <w:szCs w:val="24"/>
      <w:u w:val="none"/>
      <w:shd w:val="clear" w:color="auto" w:fill="auto"/>
    </w:rPr>
  </w:style>
  <w:style w:type="character" w:customStyle="1" w:styleId="249">
    <w:name w:val="正文文本 Char Char"/>
    <w:qFormat/>
    <w:uiPriority w:val="0"/>
    <w:rPr>
      <w:rFonts w:eastAsia="宋体"/>
      <w:kern w:val="1"/>
      <w:sz w:val="21"/>
      <w:szCs w:val="24"/>
      <w:lang w:val="en-US" w:eastAsia="zh-CN" w:bidi="ar-SA"/>
    </w:rPr>
  </w:style>
  <w:style w:type="character" w:customStyle="1" w:styleId="250">
    <w:name w:val="表格缩进2字符 Char Char"/>
    <w:link w:val="251"/>
    <w:qFormat/>
    <w:uiPriority w:val="0"/>
    <w:rPr>
      <w:color w:val="000000"/>
      <w:sz w:val="21"/>
    </w:rPr>
  </w:style>
  <w:style w:type="paragraph" w:customStyle="1" w:styleId="251">
    <w:name w:val="表格缩进2字符"/>
    <w:basedOn w:val="252"/>
    <w:link w:val="250"/>
    <w:qFormat/>
    <w:uiPriority w:val="0"/>
    <w:pPr>
      <w:ind w:firstLine="420" w:firstLineChars="200"/>
      <w:jc w:val="both"/>
    </w:pPr>
    <w:rPr>
      <w:rFonts w:ascii="Times New Roman" w:hAnsi="Times New Roman" w:cs="Times New Roman"/>
      <w:sz w:val="21"/>
      <w:szCs w:val="20"/>
    </w:rPr>
  </w:style>
  <w:style w:type="paragraph" w:customStyle="1" w:styleId="252">
    <w:name w:val="表格 居中"/>
    <w:basedOn w:val="1"/>
    <w:qFormat/>
    <w:uiPriority w:val="0"/>
    <w:pPr>
      <w:jc w:val="center"/>
    </w:pPr>
    <w:rPr>
      <w:rFonts w:cs="宋体"/>
      <w:szCs w:val="21"/>
    </w:rPr>
  </w:style>
  <w:style w:type="character" w:customStyle="1" w:styleId="253">
    <w:name w:val="页眉 Char1"/>
    <w:qFormat/>
    <w:uiPriority w:val="99"/>
    <w:rPr>
      <w:sz w:val="18"/>
      <w:szCs w:val="18"/>
    </w:rPr>
  </w:style>
  <w:style w:type="character" w:customStyle="1" w:styleId="254">
    <w:name w:val="正文文本 3 Char Char"/>
    <w:qFormat/>
    <w:uiPriority w:val="0"/>
    <w:rPr>
      <w:rFonts w:ascii="宋体" w:hAnsi="宋体"/>
      <w:kern w:val="1"/>
      <w:sz w:val="24"/>
    </w:rPr>
  </w:style>
  <w:style w:type="character" w:customStyle="1" w:styleId="255">
    <w:name w:val="不明显强调11"/>
    <w:qFormat/>
    <w:uiPriority w:val="17"/>
    <w:rPr>
      <w:i/>
      <w:iCs/>
      <w:color w:val="808080"/>
    </w:rPr>
  </w:style>
  <w:style w:type="character" w:customStyle="1" w:styleId="256">
    <w:name w:val="grame"/>
    <w:qFormat/>
    <w:uiPriority w:val="0"/>
  </w:style>
  <w:style w:type="character" w:customStyle="1" w:styleId="257">
    <w:name w:val="标题 9 Char Char"/>
    <w:qFormat/>
    <w:uiPriority w:val="0"/>
    <w:rPr>
      <w:rFonts w:ascii="Arial" w:hAnsi="Arial" w:eastAsia="黑体"/>
      <w:sz w:val="21"/>
      <w:szCs w:val="21"/>
    </w:rPr>
  </w:style>
  <w:style w:type="character" w:customStyle="1" w:styleId="258">
    <w:name w:val="font41"/>
    <w:qFormat/>
    <w:uiPriority w:val="0"/>
    <w:rPr>
      <w:rFonts w:hint="eastAsia" w:ascii="宋体" w:hAnsi="宋体" w:eastAsia="宋体" w:cs="宋体"/>
      <w:color w:val="FF0000"/>
      <w:sz w:val="18"/>
      <w:szCs w:val="18"/>
      <w:u w:val="none"/>
    </w:rPr>
  </w:style>
  <w:style w:type="character" w:customStyle="1" w:styleId="259">
    <w:name w:val="l-btn-empty"/>
    <w:qFormat/>
    <w:uiPriority w:val="0"/>
    <w:rPr>
      <w:rFonts w:cs="Times New Roman"/>
    </w:rPr>
  </w:style>
  <w:style w:type="character" w:customStyle="1" w:styleId="260">
    <w:name w:val="23"/>
    <w:qFormat/>
    <w:uiPriority w:val="0"/>
    <w:rPr>
      <w:rFonts w:hint="default" w:ascii="Times New Roman" w:hAnsi="Times New Roman" w:cs="Times New Roman"/>
    </w:rPr>
  </w:style>
  <w:style w:type="character" w:customStyle="1" w:styleId="261">
    <w:name w:val="日期 Char1"/>
    <w:qFormat/>
    <w:uiPriority w:val="0"/>
  </w:style>
  <w:style w:type="character" w:customStyle="1" w:styleId="262">
    <w:name w:val="缩进小标题4（一页纸） Char Char"/>
    <w:qFormat/>
    <w:uiPriority w:val="0"/>
    <w:rPr>
      <w:rFonts w:ascii="Arial" w:hAnsi="Arial" w:eastAsia="微软雅黑"/>
      <w:sz w:val="18"/>
      <w:szCs w:val="24"/>
    </w:rPr>
  </w:style>
  <w:style w:type="character" w:customStyle="1" w:styleId="263">
    <w:name w:val="正文首行缩进 2 Char Char"/>
    <w:qFormat/>
    <w:uiPriority w:val="0"/>
  </w:style>
  <w:style w:type="character" w:customStyle="1" w:styleId="264">
    <w:name w:val="引用 Char"/>
    <w:link w:val="265"/>
    <w:qFormat/>
    <w:uiPriority w:val="21"/>
    <w:rPr>
      <w:rFonts w:eastAsia="Times New Roman"/>
      <w:i/>
      <w:color w:val="404040"/>
      <w:sz w:val="21"/>
      <w:szCs w:val="21"/>
      <w:lang w:val="en-US" w:eastAsia="zh-CN" w:bidi="ar-SA"/>
    </w:rPr>
  </w:style>
  <w:style w:type="paragraph" w:styleId="265">
    <w:name w:val="Quote"/>
    <w:link w:val="264"/>
    <w:qFormat/>
    <w:uiPriority w:val="21"/>
    <w:pPr>
      <w:ind w:left="864" w:right="864"/>
      <w:jc w:val="center"/>
    </w:pPr>
    <w:rPr>
      <w:rFonts w:ascii="Times New Roman" w:hAnsi="Times New Roman" w:eastAsia="Times New Roman" w:cs="Times New Roman"/>
      <w:i/>
      <w:color w:val="404040"/>
      <w:sz w:val="21"/>
      <w:szCs w:val="21"/>
      <w:lang w:val="en-US" w:eastAsia="zh-CN" w:bidi="ar-SA"/>
    </w:rPr>
  </w:style>
  <w:style w:type="character" w:customStyle="1" w:styleId="266">
    <w:name w:val="文章正文(F5) Char Char"/>
    <w:qFormat/>
    <w:uiPriority w:val="0"/>
    <w:rPr>
      <w:rFonts w:ascii="宋体" w:hAnsi="宋体"/>
      <w:color w:val="000000"/>
      <w:kern w:val="1"/>
      <w:sz w:val="24"/>
      <w:szCs w:val="24"/>
    </w:rPr>
  </w:style>
  <w:style w:type="character" w:customStyle="1" w:styleId="267">
    <w:name w:val="正文文本缩进 Char1"/>
    <w:qFormat/>
    <w:uiPriority w:val="0"/>
  </w:style>
  <w:style w:type="character" w:customStyle="1" w:styleId="268">
    <w:name w:val="l-btn-left1"/>
    <w:qFormat/>
    <w:uiPriority w:val="0"/>
    <w:rPr>
      <w:rFonts w:cs="Times New Roman"/>
    </w:rPr>
  </w:style>
  <w:style w:type="character" w:customStyle="1" w:styleId="269">
    <w:name w:val="hour_am"/>
    <w:qFormat/>
    <w:uiPriority w:val="0"/>
    <w:rPr>
      <w:rFonts w:cs="Times New Roman"/>
    </w:rPr>
  </w:style>
  <w:style w:type="character" w:customStyle="1" w:styleId="270">
    <w:name w:val="red1"/>
    <w:qFormat/>
    <w:uiPriority w:val="0"/>
    <w:rPr>
      <w:color w:val="E62328"/>
    </w:rPr>
  </w:style>
  <w:style w:type="character" w:customStyle="1" w:styleId="271">
    <w:name w:val="脚注文本 Char Char"/>
    <w:qFormat/>
    <w:uiPriority w:val="0"/>
    <w:rPr>
      <w:sz w:val="18"/>
    </w:rPr>
  </w:style>
  <w:style w:type="character" w:customStyle="1" w:styleId="272">
    <w:name w:val="z-窗体顶端 Char"/>
    <w:link w:val="273"/>
    <w:qFormat/>
    <w:locked/>
    <w:uiPriority w:val="0"/>
    <w:rPr>
      <w:rFonts w:ascii="Arial"/>
      <w:vanish/>
      <w:sz w:val="24"/>
      <w:szCs w:val="24"/>
    </w:rPr>
  </w:style>
  <w:style w:type="paragraph" w:customStyle="1" w:styleId="273">
    <w:name w:val="z-窗体顶端1"/>
    <w:basedOn w:val="1"/>
    <w:next w:val="1"/>
    <w:link w:val="272"/>
    <w:qFormat/>
    <w:uiPriority w:val="0"/>
    <w:pPr>
      <w:pBdr>
        <w:bottom w:val="single" w:color="auto" w:sz="6" w:space="1"/>
      </w:pBdr>
      <w:jc w:val="center"/>
    </w:pPr>
    <w:rPr>
      <w:rFonts w:ascii="Arial" w:hAnsi="Times New Roman"/>
      <w:vanish/>
      <w:color w:val="auto"/>
      <w:sz w:val="24"/>
      <w:szCs w:val="24"/>
    </w:rPr>
  </w:style>
  <w:style w:type="character" w:customStyle="1" w:styleId="274">
    <w:name w:val="普通(网站) Char"/>
    <w:qFormat/>
    <w:uiPriority w:val="0"/>
    <w:rPr>
      <w:rFonts w:ascii="宋体" w:hAnsi="宋体"/>
      <w:sz w:val="24"/>
      <w:szCs w:val="24"/>
    </w:rPr>
  </w:style>
  <w:style w:type="character" w:customStyle="1" w:styleId="275">
    <w:name w:val="Body text|9 + MingLiU"/>
    <w:qFormat/>
    <w:uiPriority w:val="0"/>
    <w:rPr>
      <w:rFonts w:ascii="MingLiU" w:hAnsi="MingLiU" w:eastAsia="MingLiU"/>
      <w:color w:val="000000"/>
      <w:spacing w:val="0"/>
      <w:w w:val="100"/>
      <w:position w:val="0"/>
      <w:sz w:val="19"/>
      <w:u w:val="single"/>
      <w:lang w:val="en-US" w:eastAsia="en-US"/>
    </w:rPr>
  </w:style>
  <w:style w:type="character" w:customStyle="1" w:styleId="276">
    <w:name w:val="infodetail"/>
    <w:qFormat/>
    <w:uiPriority w:val="0"/>
  </w:style>
  <w:style w:type="character" w:customStyle="1" w:styleId="277">
    <w:name w:val="style6"/>
    <w:qFormat/>
    <w:uiPriority w:val="0"/>
  </w:style>
  <w:style w:type="character" w:customStyle="1" w:styleId="278">
    <w:name w:val="标题 4 Char1"/>
    <w:qFormat/>
    <w:uiPriority w:val="0"/>
    <w:rPr>
      <w:rFonts w:ascii="Cambria" w:hAnsi="Cambria" w:eastAsia="宋体" w:cs="Times New Roman"/>
      <w:b/>
      <w:sz w:val="28"/>
      <w:szCs w:val="28"/>
    </w:rPr>
  </w:style>
  <w:style w:type="character" w:customStyle="1" w:styleId="279">
    <w:name w:val="font21"/>
    <w:qFormat/>
    <w:uiPriority w:val="0"/>
    <w:rPr>
      <w:b/>
      <w:sz w:val="21"/>
      <w:szCs w:val="21"/>
      <w:u w:val="single"/>
    </w:rPr>
  </w:style>
  <w:style w:type="character" w:customStyle="1" w:styleId="280">
    <w:name w:val="样式 正文缩进正文（首行缩进两字）特点ALT+Z表正文正文非缩进四号段1Normal Indent Char2... Char Char"/>
    <w:link w:val="281"/>
    <w:qFormat/>
    <w:uiPriority w:val="0"/>
    <w:rPr>
      <w:rFonts w:ascii="宋体" w:hAnsi="宋体" w:eastAsia="黑体"/>
      <w:b/>
      <w:sz w:val="32"/>
      <w:lang w:val="en-US" w:eastAsia="zh-CN" w:bidi="ar-SA"/>
    </w:rPr>
  </w:style>
  <w:style w:type="paragraph" w:customStyle="1" w:styleId="281">
    <w:name w:val="样式 正文缩进正文（首行缩进两字）特点ALT+Z表正文正文非缩进四号段1Normal Indent Char2..."/>
    <w:next w:val="5"/>
    <w:link w:val="280"/>
    <w:qFormat/>
    <w:uiPriority w:val="0"/>
    <w:pPr>
      <w:keepNext/>
      <w:keepLines/>
      <w:widowControl w:val="0"/>
      <w:numPr>
        <w:ilvl w:val="1"/>
        <w:numId w:val="1"/>
      </w:numPr>
      <w:adjustRightInd w:val="0"/>
      <w:spacing w:before="260" w:after="260" w:line="416" w:lineRule="atLeast"/>
      <w:ind w:firstLine="624"/>
      <w:jc w:val="both"/>
      <w:textAlignment w:val="baseline"/>
      <w:outlineLvl w:val="1"/>
    </w:pPr>
    <w:rPr>
      <w:rFonts w:ascii="宋体" w:hAnsi="宋体" w:eastAsia="黑体" w:cs="Times New Roman"/>
      <w:b/>
      <w:sz w:val="32"/>
      <w:lang w:val="en-US" w:eastAsia="zh-CN" w:bidi="ar-SA"/>
    </w:rPr>
  </w:style>
  <w:style w:type="character" w:customStyle="1" w:styleId="282">
    <w:name w:val="首行缩进 Char Char"/>
    <w:link w:val="283"/>
    <w:qFormat/>
    <w:uiPriority w:val="0"/>
    <w:rPr>
      <w:kern w:val="1"/>
      <w:sz w:val="24"/>
      <w:szCs w:val="24"/>
    </w:rPr>
  </w:style>
  <w:style w:type="paragraph" w:customStyle="1" w:styleId="283">
    <w:name w:val="首行缩进"/>
    <w:basedOn w:val="1"/>
    <w:link w:val="282"/>
    <w:qFormat/>
    <w:uiPriority w:val="0"/>
    <w:pPr>
      <w:spacing w:line="360" w:lineRule="auto"/>
      <w:ind w:firstLine="480"/>
    </w:pPr>
    <w:rPr>
      <w:rFonts w:ascii="Times New Roman" w:hAnsi="Times New Roman"/>
      <w:color w:val="auto"/>
      <w:kern w:val="1"/>
      <w:sz w:val="24"/>
      <w:szCs w:val="24"/>
    </w:rPr>
  </w:style>
  <w:style w:type="character" w:customStyle="1" w:styleId="284">
    <w:name w:val="明显参考2"/>
    <w:qFormat/>
    <w:uiPriority w:val="0"/>
    <w:rPr>
      <w:b/>
      <w:bCs/>
      <w:smallCaps/>
      <w:color w:val="C0504D"/>
      <w:spacing w:val="5"/>
      <w:u w:val="single"/>
    </w:rPr>
  </w:style>
  <w:style w:type="character" w:customStyle="1" w:styleId="285">
    <w:name w:val="明显强调11"/>
    <w:qFormat/>
    <w:uiPriority w:val="19"/>
    <w:rPr>
      <w:b/>
      <w:bCs/>
      <w:i/>
      <w:iCs/>
      <w:color w:val="4F81BD"/>
    </w:rPr>
  </w:style>
  <w:style w:type="character" w:customStyle="1" w:styleId="286">
    <w:name w:val="apple-converted-space"/>
    <w:qFormat/>
    <w:uiPriority w:val="0"/>
  </w:style>
  <w:style w:type="character" w:customStyle="1" w:styleId="287">
    <w:name w:val="表格(五号) Char Char"/>
    <w:link w:val="288"/>
    <w:qFormat/>
    <w:uiPriority w:val="0"/>
    <w:rPr>
      <w:sz w:val="21"/>
      <w:lang w:val="en-US" w:eastAsia="zh-CN"/>
    </w:rPr>
  </w:style>
  <w:style w:type="paragraph" w:customStyle="1" w:styleId="288">
    <w:name w:val="表格(五号)"/>
    <w:basedOn w:val="1"/>
    <w:link w:val="287"/>
    <w:qFormat/>
    <w:uiPriority w:val="0"/>
    <w:pPr>
      <w:spacing w:line="60" w:lineRule="atLeast"/>
      <w:jc w:val="center"/>
    </w:pPr>
    <w:rPr>
      <w:rFonts w:ascii="Times New Roman" w:hAnsi="Times New Roman"/>
      <w:color w:val="auto"/>
      <w:sz w:val="21"/>
    </w:rPr>
  </w:style>
  <w:style w:type="character" w:customStyle="1" w:styleId="289">
    <w:name w:val="18"/>
    <w:qFormat/>
    <w:uiPriority w:val="0"/>
    <w:rPr>
      <w:rFonts w:hint="default" w:ascii="Times New Roman" w:hAnsi="Times New Roman" w:cs="Times New Roman"/>
      <w:b/>
    </w:rPr>
  </w:style>
  <w:style w:type="character" w:customStyle="1" w:styleId="290">
    <w:name w:val="glyphicon2"/>
    <w:qFormat/>
    <w:uiPriority w:val="0"/>
    <w:rPr>
      <w:rFonts w:cs="Times New Roman"/>
    </w:rPr>
  </w:style>
  <w:style w:type="character" w:customStyle="1" w:styleId="291">
    <w:name w:val="正文文本缩进 3 Char1"/>
    <w:qFormat/>
    <w:uiPriority w:val="0"/>
    <w:rPr>
      <w:sz w:val="16"/>
      <w:szCs w:val="16"/>
    </w:rPr>
  </w:style>
  <w:style w:type="character" w:customStyle="1" w:styleId="292">
    <w:name w:val="Body text|9"/>
    <w:qFormat/>
    <w:uiPriority w:val="0"/>
    <w:rPr>
      <w:rFonts w:ascii="PMingLiU" w:hAnsi="PMingLiU" w:eastAsia="PMingLiU"/>
      <w:color w:val="000000"/>
      <w:spacing w:val="10"/>
      <w:w w:val="100"/>
      <w:position w:val="0"/>
      <w:sz w:val="19"/>
      <w:u w:val="single"/>
      <w:lang w:val="zh-CN" w:eastAsia="zh-CN"/>
    </w:rPr>
  </w:style>
  <w:style w:type="character" w:customStyle="1" w:styleId="293">
    <w:name w:val="unnamed11"/>
    <w:qFormat/>
    <w:uiPriority w:val="0"/>
  </w:style>
  <w:style w:type="character" w:customStyle="1" w:styleId="294">
    <w:name w:val="C3+正文 Char Char"/>
    <w:link w:val="295"/>
    <w:qFormat/>
    <w:locked/>
    <w:uiPriority w:val="0"/>
    <w:rPr>
      <w:rFonts w:ascii="宋体" w:cs="宋体"/>
      <w:sz w:val="24"/>
      <w:szCs w:val="24"/>
      <w:lang w:val="en-US" w:eastAsia="zh-CN" w:bidi="ar-SA"/>
    </w:rPr>
  </w:style>
  <w:style w:type="paragraph" w:customStyle="1" w:styleId="295">
    <w:name w:val="C3+正文"/>
    <w:link w:val="294"/>
    <w:qFormat/>
    <w:uiPriority w:val="0"/>
    <w:pPr>
      <w:widowControl w:val="0"/>
      <w:adjustRightInd w:val="0"/>
      <w:snapToGrid w:val="0"/>
      <w:spacing w:line="420" w:lineRule="atLeast"/>
      <w:ind w:firstLine="200" w:firstLineChars="200"/>
    </w:pPr>
    <w:rPr>
      <w:rFonts w:ascii="宋体" w:hAnsi="Times New Roman" w:eastAsia="宋体" w:cs="宋体"/>
      <w:sz w:val="24"/>
      <w:szCs w:val="24"/>
      <w:lang w:val="en-US" w:eastAsia="zh-CN" w:bidi="ar-SA"/>
    </w:rPr>
  </w:style>
  <w:style w:type="character" w:customStyle="1" w:styleId="296">
    <w:name w:val="批注文字 Char1"/>
    <w:qFormat/>
    <w:uiPriority w:val="0"/>
  </w:style>
  <w:style w:type="character" w:customStyle="1" w:styleId="297">
    <w:name w:val="ca-111"/>
    <w:qFormat/>
    <w:uiPriority w:val="0"/>
    <w:rPr>
      <w:rFonts w:hint="eastAsia" w:ascii="宋体" w:hAnsi="宋体" w:eastAsia="宋体"/>
      <w:sz w:val="24"/>
      <w:szCs w:val="24"/>
    </w:rPr>
  </w:style>
  <w:style w:type="character" w:customStyle="1" w:styleId="298">
    <w:name w:val="21"/>
    <w:qFormat/>
    <w:uiPriority w:val="0"/>
    <w:rPr>
      <w:rFonts w:hint="default" w:ascii="Times New Roman" w:hAnsi="Times New Roman" w:cs="Times New Roman"/>
    </w:rPr>
  </w:style>
  <w:style w:type="character" w:customStyle="1" w:styleId="299">
    <w:name w:val="22"/>
    <w:qFormat/>
    <w:uiPriority w:val="0"/>
    <w:rPr>
      <w:rFonts w:hint="eastAsia" w:ascii="宋体" w:hAnsi="宋体" w:eastAsia="宋体" w:cs="宋体"/>
      <w:sz w:val="18"/>
      <w:szCs w:val="18"/>
    </w:rPr>
  </w:style>
  <w:style w:type="character" w:customStyle="1" w:styleId="300">
    <w:name w:val="gonggao-downline"/>
    <w:qFormat/>
    <w:uiPriority w:val="0"/>
  </w:style>
  <w:style w:type="character" w:customStyle="1" w:styleId="301">
    <w:name w:val="批注框文本 Char1"/>
    <w:qFormat/>
    <w:uiPriority w:val="0"/>
    <w:rPr>
      <w:sz w:val="18"/>
      <w:szCs w:val="18"/>
    </w:rPr>
  </w:style>
  <w:style w:type="character" w:customStyle="1" w:styleId="302">
    <w:name w:val="书籍标题2"/>
    <w:qFormat/>
    <w:uiPriority w:val="0"/>
    <w:rPr>
      <w:b/>
      <w:bCs/>
      <w:smallCaps/>
      <w:spacing w:val="5"/>
    </w:rPr>
  </w:style>
  <w:style w:type="character" w:customStyle="1" w:styleId="303">
    <w:name w:val="方案正文 Char Char"/>
    <w:link w:val="304"/>
    <w:qFormat/>
    <w:uiPriority w:val="0"/>
    <w:rPr>
      <w:kern w:val="2"/>
      <w:sz w:val="24"/>
      <w:szCs w:val="24"/>
      <w:lang w:val="en-US" w:eastAsia="zh-CN" w:bidi="ar-SA"/>
    </w:rPr>
  </w:style>
  <w:style w:type="paragraph" w:customStyle="1" w:styleId="304">
    <w:name w:val="方案正文"/>
    <w:next w:val="1"/>
    <w:link w:val="303"/>
    <w:qFormat/>
    <w:uiPriority w:val="0"/>
    <w:pPr>
      <w:widowControl w:val="0"/>
      <w:spacing w:line="360" w:lineRule="auto"/>
      <w:ind w:firstLine="480" w:firstLineChars="200"/>
      <w:jc w:val="both"/>
    </w:pPr>
    <w:rPr>
      <w:rFonts w:ascii="Times New Roman" w:hAnsi="Times New Roman" w:eastAsia="宋体" w:cs="Times New Roman"/>
      <w:kern w:val="2"/>
      <w:sz w:val="24"/>
      <w:szCs w:val="24"/>
      <w:lang w:val="en-US" w:eastAsia="zh-CN" w:bidi="ar-SA"/>
    </w:rPr>
  </w:style>
  <w:style w:type="character" w:customStyle="1" w:styleId="305">
    <w:name w:val="l-btn-text"/>
    <w:qFormat/>
    <w:uiPriority w:val="0"/>
    <w:rPr>
      <w:rFonts w:cs="Times New Roman"/>
    </w:rPr>
  </w:style>
  <w:style w:type="character" w:customStyle="1" w:styleId="306">
    <w:name w:val="不明显参考11"/>
    <w:qFormat/>
    <w:uiPriority w:val="23"/>
    <w:rPr>
      <w:smallCaps/>
      <w:color w:val="C0504D"/>
      <w:u w:val="single"/>
    </w:rPr>
  </w:style>
  <w:style w:type="character" w:customStyle="1" w:styleId="307">
    <w:name w:val="l-btn-left3"/>
    <w:qFormat/>
    <w:uiPriority w:val="0"/>
    <w:rPr>
      <w:rFonts w:cs="Times New Roman"/>
    </w:rPr>
  </w:style>
  <w:style w:type="character" w:customStyle="1" w:styleId="308">
    <w:name w:val="Default Char Char"/>
    <w:qFormat/>
    <w:uiPriority w:val="0"/>
    <w:rPr>
      <w:rFonts w:ascii="宋体" w:hAnsi="宋体" w:cs="宋体"/>
      <w:color w:val="000000"/>
      <w:sz w:val="24"/>
      <w:szCs w:val="24"/>
      <w:lang w:val="en-US" w:eastAsia="zh-CN" w:bidi="ar-SA"/>
    </w:rPr>
  </w:style>
  <w:style w:type="character" w:customStyle="1" w:styleId="309">
    <w:name w:val="表格居中 Char"/>
    <w:link w:val="310"/>
    <w:qFormat/>
    <w:uiPriority w:val="0"/>
    <w:rPr>
      <w:kern w:val="2"/>
      <w:sz w:val="21"/>
      <w:szCs w:val="21"/>
      <w:lang w:val="en-US" w:eastAsia="zh-CN" w:bidi="ar-SA"/>
    </w:rPr>
  </w:style>
  <w:style w:type="paragraph" w:customStyle="1" w:styleId="310">
    <w:name w:val="表格居中"/>
    <w:next w:val="1"/>
    <w:link w:val="309"/>
    <w:qFormat/>
    <w:uiPriority w:val="0"/>
    <w:pPr>
      <w:widowControl w:val="0"/>
      <w:spacing w:line="360" w:lineRule="auto"/>
      <w:jc w:val="center"/>
    </w:pPr>
    <w:rPr>
      <w:rFonts w:ascii="Times New Roman" w:hAnsi="Times New Roman" w:eastAsia="宋体" w:cs="Times New Roman"/>
      <w:kern w:val="2"/>
      <w:sz w:val="21"/>
      <w:szCs w:val="21"/>
      <w:lang w:val="en-US" w:eastAsia="zh-CN" w:bidi="ar-SA"/>
    </w:rPr>
  </w:style>
  <w:style w:type="character" w:customStyle="1" w:styleId="311">
    <w:name w:val="页眉 字符"/>
    <w:qFormat/>
    <w:uiPriority w:val="99"/>
    <w:rPr>
      <w:sz w:val="18"/>
      <w:szCs w:val="18"/>
    </w:rPr>
  </w:style>
  <w:style w:type="character" w:customStyle="1" w:styleId="312">
    <w:name w:val="fontstyle21"/>
    <w:qFormat/>
    <w:uiPriority w:val="0"/>
    <w:rPr>
      <w:rFonts w:hint="default" w:ascii="Times New Roman" w:hAnsi="Times New Roman" w:cs="Times New Roman"/>
      <w:color w:val="000000"/>
      <w:sz w:val="24"/>
      <w:szCs w:val="24"/>
    </w:rPr>
  </w:style>
  <w:style w:type="character" w:customStyle="1" w:styleId="313">
    <w:name w:val="hour_pm"/>
    <w:qFormat/>
    <w:uiPriority w:val="0"/>
    <w:rPr>
      <w:rFonts w:cs="Times New Roman"/>
    </w:rPr>
  </w:style>
  <w:style w:type="character" w:customStyle="1" w:styleId="314">
    <w:name w:val="l-btn-left2"/>
    <w:qFormat/>
    <w:uiPriority w:val="0"/>
    <w:rPr>
      <w:rFonts w:cs="Times New Roman"/>
    </w:rPr>
  </w:style>
  <w:style w:type="character" w:customStyle="1" w:styleId="315">
    <w:name w:val="标题 1 字符"/>
    <w:qFormat/>
    <w:uiPriority w:val="9"/>
    <w:rPr>
      <w:rFonts w:ascii="宋体" w:hAnsi="宋体" w:eastAsia="宋体" w:cs="宋体"/>
      <w:b/>
      <w:bCs/>
      <w:kern w:val="36"/>
      <w:sz w:val="48"/>
      <w:szCs w:val="48"/>
    </w:rPr>
  </w:style>
  <w:style w:type="character" w:customStyle="1" w:styleId="316">
    <w:name w:val="页脚 字符"/>
    <w:qFormat/>
    <w:uiPriority w:val="99"/>
    <w:rPr>
      <w:sz w:val="18"/>
      <w:szCs w:val="18"/>
    </w:rPr>
  </w:style>
  <w:style w:type="character" w:customStyle="1" w:styleId="317">
    <w:name w:val="副标题 Char2"/>
    <w:qFormat/>
    <w:uiPriority w:val="11"/>
    <w:rPr>
      <w:rFonts w:ascii="Cambria" w:hAnsi="Cambria" w:eastAsia="宋体" w:cs="Times New Roman"/>
      <w:b/>
      <w:bCs/>
      <w:color w:val="000000"/>
      <w:kern w:val="28"/>
      <w:sz w:val="32"/>
      <w:szCs w:val="32"/>
    </w:rPr>
  </w:style>
  <w:style w:type="character" w:customStyle="1" w:styleId="318">
    <w:name w:val="font91"/>
    <w:qFormat/>
    <w:uiPriority w:val="0"/>
    <w:rPr>
      <w:rFonts w:hint="default" w:ascii="Times New Roman" w:hAnsi="Times New Roman" w:cs="Times New Roman"/>
      <w:b/>
      <w:color w:val="000000"/>
      <w:sz w:val="20"/>
      <w:szCs w:val="20"/>
      <w:u w:val="none"/>
    </w:rPr>
  </w:style>
  <w:style w:type="character" w:customStyle="1" w:styleId="319">
    <w:name w:val="普通(网站) Char1"/>
    <w:qFormat/>
    <w:uiPriority w:val="0"/>
    <w:rPr>
      <w:sz w:val="18"/>
    </w:rPr>
  </w:style>
  <w:style w:type="character" w:customStyle="1" w:styleId="320">
    <w:name w:val="正文文本 3 Char1"/>
    <w:qFormat/>
    <w:uiPriority w:val="0"/>
    <w:rPr>
      <w:sz w:val="16"/>
      <w:szCs w:val="16"/>
    </w:rPr>
  </w:style>
  <w:style w:type="character" w:customStyle="1" w:styleId="321">
    <w:name w:val="样式 正文缩进正文（首行缩进两字）特点ALT+Z表正文正文非缩进四号段1Normal Indent Char2... Char Char Char"/>
    <w:qFormat/>
    <w:uiPriority w:val="0"/>
    <w:rPr>
      <w:rFonts w:ascii="宋体" w:hAnsi="宋体"/>
      <w:b/>
      <w:sz w:val="32"/>
      <w:lang w:val="en-US" w:eastAsia="zh-CN" w:bidi="ar-SA"/>
    </w:rPr>
  </w:style>
  <w:style w:type="paragraph" w:customStyle="1" w:styleId="322">
    <w:name w:val="分项"/>
    <w:basedOn w:val="1"/>
    <w:next w:val="1"/>
    <w:qFormat/>
    <w:uiPriority w:val="0"/>
    <w:pPr>
      <w:widowControl/>
      <w:ind w:left="852"/>
    </w:pPr>
    <w:rPr>
      <w:rFonts w:ascii="Calibri" w:hAnsi="Calibri" w:eastAsia="Times New Roman"/>
      <w:color w:val="auto"/>
      <w:sz w:val="20"/>
    </w:rPr>
  </w:style>
  <w:style w:type="paragraph" w:customStyle="1" w:styleId="323">
    <w:name w:val="xl79"/>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cs="宋体"/>
      <w:sz w:val="20"/>
    </w:rPr>
  </w:style>
  <w:style w:type="paragraph" w:customStyle="1" w:styleId="324">
    <w:name w:val="H2"/>
    <w:qFormat/>
    <w:uiPriority w:val="99"/>
    <w:pPr>
      <w:widowControl w:val="0"/>
      <w:adjustRightInd w:val="0"/>
      <w:spacing w:after="240" w:line="0" w:lineRule="atLeast"/>
      <w:textAlignment w:val="baseline"/>
    </w:pPr>
    <w:rPr>
      <w:rFonts w:ascii="Times New Roman" w:hAnsi="Times New Roman" w:eastAsia="全真中明體" w:cs="Times New Roman"/>
      <w:b/>
      <w:color w:val="000000"/>
      <w:spacing w:val="30"/>
      <w:sz w:val="24"/>
      <w:lang w:val="en-GB" w:eastAsia="zh-TW" w:bidi="ar-SA"/>
    </w:rPr>
  </w:style>
  <w:style w:type="paragraph" w:customStyle="1" w:styleId="325">
    <w:name w:val="Char1 Char Char Char Char Char Char Char Char Char1 Char2"/>
    <w:basedOn w:val="1"/>
    <w:qFormat/>
    <w:uiPriority w:val="0"/>
    <w:rPr>
      <w:rFonts w:ascii="Tahoma" w:hAnsi="Tahoma" w:cs="Tahoma"/>
      <w:kern w:val="1"/>
      <w:sz w:val="24"/>
    </w:rPr>
  </w:style>
  <w:style w:type="paragraph" w:customStyle="1" w:styleId="326">
    <w:name w:val="xl65"/>
    <w:basedOn w:val="1"/>
    <w:qFormat/>
    <w:uiPriority w:val="0"/>
    <w:pPr>
      <w:widowControl/>
      <w:pBdr>
        <w:bottom w:val="single" w:color="auto" w:sz="4" w:space="0"/>
      </w:pBdr>
      <w:spacing w:before="100" w:beforeAutospacing="1" w:after="100" w:afterAutospacing="1"/>
      <w:jc w:val="center"/>
    </w:pPr>
    <w:rPr>
      <w:rFonts w:cs="宋体"/>
      <w:b/>
      <w:bCs/>
      <w:color w:val="auto"/>
      <w:sz w:val="24"/>
    </w:rPr>
  </w:style>
  <w:style w:type="paragraph" w:customStyle="1" w:styleId="327">
    <w:name w:val="CM49"/>
    <w:basedOn w:val="328"/>
    <w:next w:val="328"/>
    <w:qFormat/>
    <w:uiPriority w:val="0"/>
    <w:pPr>
      <w:autoSpaceDE w:val="0"/>
      <w:autoSpaceDN w:val="0"/>
      <w:adjustRightInd w:val="0"/>
      <w:spacing w:line="440" w:lineRule="atLeast"/>
    </w:pPr>
    <w:rPr>
      <w:rFonts w:hAnsi="Times New Roman" w:cs="Times New Roman"/>
      <w:color w:val="auto"/>
      <w:szCs w:val="20"/>
    </w:rPr>
  </w:style>
  <w:style w:type="paragraph" w:customStyle="1" w:styleId="328">
    <w:name w:val="Default"/>
    <w:qFormat/>
    <w:uiPriority w:val="0"/>
    <w:pPr>
      <w:widowControl w:val="0"/>
    </w:pPr>
    <w:rPr>
      <w:rFonts w:ascii="宋体" w:hAnsi="宋体" w:eastAsia="宋体" w:cs="宋体"/>
      <w:color w:val="000000"/>
      <w:sz w:val="24"/>
      <w:szCs w:val="24"/>
      <w:lang w:val="en-US" w:eastAsia="zh-CN" w:bidi="ar-SA"/>
    </w:rPr>
  </w:style>
  <w:style w:type="paragraph" w:customStyle="1" w:styleId="329">
    <w:name w:val="1"/>
    <w:basedOn w:val="1"/>
    <w:qFormat/>
    <w:uiPriority w:val="0"/>
    <w:rPr>
      <w:kern w:val="1"/>
    </w:rPr>
  </w:style>
  <w:style w:type="paragraph" w:customStyle="1" w:styleId="330">
    <w:name w:val="Char1 Char Char Char Char Char Char Char Char Char"/>
    <w:basedOn w:val="1"/>
    <w:qFormat/>
    <w:uiPriority w:val="0"/>
    <w:pPr>
      <w:widowControl/>
      <w:spacing w:line="400" w:lineRule="exact"/>
      <w:jc w:val="center"/>
    </w:pPr>
    <w:rPr>
      <w:rFonts w:ascii="Verdana" w:hAnsi="Verdana" w:cs="Verdana"/>
      <w:lang w:eastAsia="en-US"/>
    </w:rPr>
  </w:style>
  <w:style w:type="paragraph" w:customStyle="1" w:styleId="331">
    <w:name w:val="符号悬挂缩进"/>
    <w:basedOn w:val="1"/>
    <w:qFormat/>
    <w:uiPriority w:val="0"/>
    <w:pPr>
      <w:numPr>
        <w:ilvl w:val="0"/>
        <w:numId w:val="2"/>
      </w:numPr>
      <w:tabs>
        <w:tab w:val="left" w:pos="0"/>
      </w:tabs>
      <w:spacing w:line="520" w:lineRule="exact"/>
      <w:ind w:firstLine="420"/>
    </w:pPr>
    <w:rPr>
      <w:kern w:val="1"/>
      <w:sz w:val="28"/>
    </w:rPr>
  </w:style>
  <w:style w:type="paragraph" w:customStyle="1" w:styleId="332">
    <w:name w:val="文章总标题"/>
    <w:basedOn w:val="1"/>
    <w:next w:val="333"/>
    <w:qFormat/>
    <w:uiPriority w:val="0"/>
    <w:pPr>
      <w:widowControl/>
      <w:spacing w:before="566" w:after="544" w:line="566" w:lineRule="atLeast"/>
      <w:jc w:val="center"/>
    </w:pPr>
    <w:rPr>
      <w:rFonts w:ascii="Arial" w:hAnsi="Arial" w:eastAsia="黑体"/>
      <w:sz w:val="54"/>
    </w:rPr>
  </w:style>
  <w:style w:type="paragraph" w:customStyle="1" w:styleId="333">
    <w:name w:val="文章附标题"/>
    <w:basedOn w:val="1"/>
    <w:next w:val="334"/>
    <w:qFormat/>
    <w:uiPriority w:val="0"/>
    <w:pPr>
      <w:widowControl/>
      <w:spacing w:before="187" w:after="175" w:line="374" w:lineRule="atLeast"/>
      <w:jc w:val="center"/>
    </w:pPr>
    <w:rPr>
      <w:sz w:val="36"/>
    </w:rPr>
  </w:style>
  <w:style w:type="paragraph" w:customStyle="1" w:styleId="334">
    <w:name w:val="章标题"/>
    <w:basedOn w:val="1"/>
    <w:next w:val="335"/>
    <w:qFormat/>
    <w:uiPriority w:val="0"/>
    <w:pPr>
      <w:widowControl/>
      <w:spacing w:before="158" w:after="153" w:line="323" w:lineRule="atLeast"/>
      <w:jc w:val="center"/>
    </w:pPr>
    <w:rPr>
      <w:rFonts w:ascii="Arial" w:hAnsi="Arial" w:eastAsia="黑体"/>
      <w:sz w:val="31"/>
    </w:rPr>
  </w:style>
  <w:style w:type="paragraph" w:customStyle="1" w:styleId="335">
    <w:name w:val="节标题"/>
    <w:basedOn w:val="1"/>
    <w:next w:val="336"/>
    <w:qFormat/>
    <w:uiPriority w:val="0"/>
    <w:pPr>
      <w:widowControl/>
      <w:spacing w:line="289" w:lineRule="atLeast"/>
      <w:jc w:val="center"/>
    </w:pPr>
    <w:rPr>
      <w:sz w:val="28"/>
    </w:rPr>
  </w:style>
  <w:style w:type="paragraph" w:customStyle="1" w:styleId="336">
    <w:name w:val="小节标题"/>
    <w:basedOn w:val="1"/>
    <w:next w:val="1"/>
    <w:qFormat/>
    <w:uiPriority w:val="0"/>
    <w:pPr>
      <w:widowControl/>
      <w:spacing w:before="175" w:after="102" w:line="351" w:lineRule="atLeast"/>
    </w:pPr>
    <w:rPr>
      <w:rFonts w:eastAsia="黑体"/>
    </w:rPr>
  </w:style>
  <w:style w:type="paragraph" w:customStyle="1" w:styleId="337">
    <w:name w:val="xl90"/>
    <w:basedOn w:val="1"/>
    <w:qFormat/>
    <w:uiPriority w:val="0"/>
    <w:pPr>
      <w:widowControl/>
      <w:pBdr>
        <w:top w:val="single" w:color="000000" w:sz="4" w:space="0"/>
      </w:pBdr>
      <w:spacing w:before="100" w:beforeAutospacing="1" w:after="100" w:afterAutospacing="1"/>
      <w:jc w:val="left"/>
    </w:pPr>
    <w:rPr>
      <w:rFonts w:cs="宋体"/>
      <w:sz w:val="20"/>
    </w:rPr>
  </w:style>
  <w:style w:type="paragraph" w:customStyle="1" w:styleId="338">
    <w:name w:val="Char Char Char Char Char Char Char Char Char Char Char Char Char"/>
    <w:basedOn w:val="1"/>
    <w:qFormat/>
    <w:uiPriority w:val="0"/>
    <w:pPr>
      <w:widowControl/>
      <w:spacing w:after="160" w:line="240" w:lineRule="exact"/>
      <w:jc w:val="left"/>
    </w:pPr>
    <w:rPr>
      <w:rFonts w:hint="eastAsia" w:ascii="Verdana" w:hAnsi="Verdana"/>
      <w:color w:val="auto"/>
      <w:sz w:val="28"/>
      <w:lang w:eastAsia="en-US"/>
    </w:rPr>
  </w:style>
  <w:style w:type="paragraph" w:customStyle="1" w:styleId="339">
    <w:name w:val="Char Char Char Char Char Char11"/>
    <w:basedOn w:val="1"/>
    <w:qFormat/>
    <w:uiPriority w:val="0"/>
    <w:pPr>
      <w:widowControl/>
      <w:spacing w:line="400" w:lineRule="exact"/>
      <w:jc w:val="center"/>
    </w:pPr>
    <w:rPr>
      <w:kern w:val="1"/>
    </w:rPr>
  </w:style>
  <w:style w:type="paragraph" w:customStyle="1" w:styleId="340">
    <w:name w:val="菲页2"/>
    <w:basedOn w:val="5"/>
    <w:qFormat/>
    <w:uiPriority w:val="0"/>
    <w:pPr>
      <w:widowControl/>
      <w:numPr>
        <w:ilvl w:val="2"/>
        <w:numId w:val="3"/>
      </w:numPr>
      <w:tabs>
        <w:tab w:val="left" w:pos="720"/>
      </w:tabs>
      <w:spacing w:beforeLines="0"/>
      <w:ind w:left="720" w:hanging="720"/>
      <w:jc w:val="center"/>
    </w:pPr>
    <w:rPr>
      <w:sz w:val="44"/>
      <w:szCs w:val="20"/>
    </w:rPr>
  </w:style>
  <w:style w:type="paragraph" w:customStyle="1" w:styleId="341">
    <w:name w:val="_Style 3"/>
    <w:basedOn w:val="1"/>
    <w:qFormat/>
    <w:uiPriority w:val="0"/>
    <w:pPr>
      <w:widowControl/>
      <w:ind w:firstLine="420" w:firstLineChars="200"/>
      <w:jc w:val="left"/>
    </w:pPr>
    <w:rPr>
      <w:rFonts w:ascii="Calibri" w:hAnsi="Calibri"/>
      <w:color w:val="auto"/>
      <w:sz w:val="20"/>
      <w:szCs w:val="22"/>
    </w:rPr>
  </w:style>
  <w:style w:type="paragraph" w:customStyle="1" w:styleId="342">
    <w:name w:val="xl74"/>
    <w:basedOn w:val="1"/>
    <w:qFormat/>
    <w:uiPriority w:val="0"/>
    <w:pPr>
      <w:widowControl/>
      <w:pBdr>
        <w:top w:val="single" w:color="000000" w:sz="4" w:space="0"/>
        <w:left w:val="single" w:color="000000" w:sz="4" w:space="0"/>
        <w:bottom w:val="single" w:color="000000" w:sz="4" w:space="0"/>
        <w:right w:val="single" w:color="000000" w:sz="4" w:space="0"/>
      </w:pBdr>
      <w:shd w:val="clear" w:color="000000" w:fill="FFFFFF"/>
      <w:spacing w:before="100" w:beforeAutospacing="1" w:after="100" w:afterAutospacing="1"/>
      <w:jc w:val="left"/>
    </w:pPr>
    <w:rPr>
      <w:rFonts w:cs="宋体"/>
      <w:sz w:val="20"/>
    </w:rPr>
  </w:style>
  <w:style w:type="paragraph" w:customStyle="1" w:styleId="343">
    <w:name w:val="样式 正文缩进 + 首行缩进:  0.85 厘米"/>
    <w:basedOn w:val="9"/>
    <w:qFormat/>
    <w:uiPriority w:val="0"/>
    <w:pPr>
      <w:widowControl/>
      <w:spacing w:after="200" w:line="276" w:lineRule="auto"/>
      <w:ind w:firstLine="454"/>
      <w:jc w:val="left"/>
    </w:pPr>
    <w:rPr>
      <w:rFonts w:hAnsi="Calibri" w:cs="宋体"/>
      <w:color w:val="auto"/>
      <w:kern w:val="0"/>
      <w:sz w:val="22"/>
      <w:lang w:eastAsia="en-US" w:bidi="en-US"/>
    </w:rPr>
  </w:style>
  <w:style w:type="paragraph" w:customStyle="1" w:styleId="344">
    <w:name w:val="CM103"/>
    <w:basedOn w:val="328"/>
    <w:next w:val="328"/>
    <w:qFormat/>
    <w:uiPriority w:val="0"/>
    <w:pPr>
      <w:spacing w:after="1508"/>
    </w:pPr>
    <w:rPr>
      <w:rFonts w:cs="Times New Roman"/>
    </w:rPr>
  </w:style>
  <w:style w:type="paragraph" w:customStyle="1" w:styleId="345">
    <w:name w:val="默认段落字体 Para Char"/>
    <w:basedOn w:val="1"/>
    <w:qFormat/>
    <w:uiPriority w:val="0"/>
    <w:rPr>
      <w:color w:val="auto"/>
      <w:kern w:val="2"/>
    </w:rPr>
  </w:style>
  <w:style w:type="paragraph" w:customStyle="1" w:styleId="346">
    <w:name w:val="空半行"/>
    <w:basedOn w:val="1"/>
    <w:qFormat/>
    <w:uiPriority w:val="0"/>
    <w:pPr>
      <w:adjustRightInd w:val="0"/>
      <w:spacing w:line="120" w:lineRule="exact"/>
      <w:textAlignment w:val="baseline"/>
    </w:pPr>
    <w:rPr>
      <w:rFonts w:hint="eastAsia" w:eastAsia="仿宋_GB2312"/>
      <w:color w:val="FFFFFF"/>
      <w:sz w:val="30"/>
    </w:rPr>
  </w:style>
  <w:style w:type="paragraph" w:customStyle="1" w:styleId="347">
    <w:name w:val="xl78"/>
    <w:basedOn w:val="1"/>
    <w:qFormat/>
    <w:uiPriority w:val="0"/>
    <w:pPr>
      <w:widowControl/>
      <w:pBdr>
        <w:top w:val="single" w:color="000000" w:sz="4" w:space="0"/>
        <w:left w:val="single" w:color="000000" w:sz="4" w:space="0"/>
        <w:bottom w:val="single" w:color="000000" w:sz="4" w:space="0"/>
        <w:right w:val="single" w:color="000000" w:sz="4" w:space="0"/>
      </w:pBdr>
      <w:shd w:val="clear" w:color="000000" w:fill="FFFFFF"/>
      <w:spacing w:before="100" w:beforeAutospacing="1" w:after="100" w:afterAutospacing="1"/>
      <w:jc w:val="center"/>
    </w:pPr>
    <w:rPr>
      <w:rFonts w:cs="宋体"/>
      <w:sz w:val="20"/>
    </w:rPr>
  </w:style>
  <w:style w:type="paragraph" w:customStyle="1" w:styleId="348">
    <w:name w:val="样式 标题 1 + 黑体 三号 非加粗 居中 段前: 6 磅 段后: 6 磅 行距: 固定值 20 磅"/>
    <w:basedOn w:val="3"/>
    <w:qFormat/>
    <w:uiPriority w:val="0"/>
    <w:pPr>
      <w:spacing w:before="120" w:after="120" w:line="400" w:lineRule="exact"/>
      <w:jc w:val="center"/>
    </w:pPr>
    <w:rPr>
      <w:rFonts w:ascii="黑体" w:hAnsi="黑体" w:eastAsia="黑体" w:cs="宋体"/>
      <w:b w:val="0"/>
      <w:sz w:val="32"/>
      <w:szCs w:val="20"/>
    </w:rPr>
  </w:style>
  <w:style w:type="paragraph" w:customStyle="1" w:styleId="349">
    <w:name w:val="pa-37"/>
    <w:basedOn w:val="1"/>
    <w:qFormat/>
    <w:uiPriority w:val="0"/>
    <w:pPr>
      <w:widowControl/>
      <w:spacing w:line="424" w:lineRule="atLeast"/>
      <w:ind w:firstLine="480"/>
    </w:pPr>
    <w:rPr>
      <w:rFonts w:hint="eastAsia" w:cs="宋体"/>
      <w:color w:val="auto"/>
      <w:sz w:val="24"/>
    </w:rPr>
  </w:style>
  <w:style w:type="paragraph" w:customStyle="1" w:styleId="350">
    <w:name w:val="font5"/>
    <w:basedOn w:val="1"/>
    <w:qFormat/>
    <w:uiPriority w:val="0"/>
    <w:pPr>
      <w:widowControl/>
      <w:spacing w:before="100" w:beforeAutospacing="1" w:after="100" w:afterAutospacing="1"/>
      <w:jc w:val="left"/>
    </w:pPr>
    <w:rPr>
      <w:rFonts w:cs="宋体"/>
      <w:sz w:val="18"/>
      <w:szCs w:val="18"/>
    </w:rPr>
  </w:style>
  <w:style w:type="paragraph" w:customStyle="1" w:styleId="351">
    <w:name w:val="无间隔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52">
    <w:name w:val="Char Char1 Char Char Char2"/>
    <w:basedOn w:val="1"/>
    <w:qFormat/>
    <w:uiPriority w:val="0"/>
    <w:rPr>
      <w:sz w:val="20"/>
    </w:rPr>
  </w:style>
  <w:style w:type="paragraph" w:customStyle="1" w:styleId="353">
    <w:name w:val=":|"/>
    <w:qFormat/>
    <w:uiPriority w:val="0"/>
    <w:rPr>
      <w:rFonts w:ascii="Times New Roman" w:hAnsi="Times New Roman" w:eastAsia="宋体" w:cs="Times New Roman"/>
      <w:color w:val="000000"/>
      <w:lang w:val="en-GB" w:eastAsia="zh-CN" w:bidi="ar-SA"/>
    </w:rPr>
  </w:style>
  <w:style w:type="paragraph" w:customStyle="1" w:styleId="354">
    <w:name w:val="Char Char Char Char Char Char1 Char Char Char Char Char Char1"/>
    <w:basedOn w:val="1"/>
    <w:qFormat/>
    <w:uiPriority w:val="0"/>
    <w:pPr>
      <w:widowControl/>
      <w:tabs>
        <w:tab w:val="left" w:pos="427"/>
      </w:tabs>
      <w:spacing w:after="160" w:line="240" w:lineRule="exact"/>
      <w:jc w:val="left"/>
    </w:pPr>
    <w:rPr>
      <w:rFonts w:ascii="Verdana" w:hAnsi="Verdana" w:eastAsia="仿宋" w:cs="Verdana"/>
      <w:sz w:val="24"/>
      <w:lang w:eastAsia="en-US"/>
    </w:rPr>
  </w:style>
  <w:style w:type="paragraph" w:customStyle="1" w:styleId="355">
    <w:name w:val="(1)"/>
    <w:basedOn w:val="1"/>
    <w:qFormat/>
    <w:uiPriority w:val="0"/>
    <w:pPr>
      <w:widowControl/>
      <w:numPr>
        <w:ilvl w:val="0"/>
        <w:numId w:val="4"/>
      </w:numPr>
    </w:pPr>
    <w:rPr>
      <w:rFonts w:ascii="Calibri" w:hAnsi="Calibri" w:eastAsia="Calibri"/>
      <w:color w:val="auto"/>
      <w:sz w:val="20"/>
    </w:rPr>
  </w:style>
  <w:style w:type="paragraph" w:customStyle="1" w:styleId="356">
    <w:name w:val="6'"/>
    <w:basedOn w:val="1"/>
    <w:qFormat/>
    <w:uiPriority w:val="0"/>
    <w:pPr>
      <w:spacing w:line="320" w:lineRule="exact"/>
      <w:jc w:val="center"/>
    </w:pPr>
    <w:rPr>
      <w:spacing w:val="20"/>
    </w:rPr>
  </w:style>
  <w:style w:type="paragraph" w:customStyle="1" w:styleId="357">
    <w:name w:val="标准正文"/>
    <w:basedOn w:val="1"/>
    <w:qFormat/>
    <w:uiPriority w:val="0"/>
    <w:pPr>
      <w:spacing w:line="312" w:lineRule="auto"/>
      <w:ind w:firstLine="482"/>
    </w:pPr>
    <w:rPr>
      <w:kern w:val="1"/>
      <w:sz w:val="24"/>
    </w:rPr>
  </w:style>
  <w:style w:type="paragraph" w:customStyle="1" w:styleId="358">
    <w:name w:val="xl77"/>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cs="宋体"/>
      <w:sz w:val="20"/>
    </w:rPr>
  </w:style>
  <w:style w:type="paragraph" w:customStyle="1" w:styleId="359">
    <w:name w:val="表"/>
    <w:qFormat/>
    <w:uiPriority w:val="0"/>
    <w:pPr>
      <w:spacing w:line="240" w:lineRule="atLeast"/>
      <w:jc w:val="center"/>
    </w:pPr>
    <w:rPr>
      <w:rFonts w:ascii="Times New Roman" w:hAnsi="Times New Roman" w:eastAsia="宋体" w:cs="Times New Roman"/>
      <w:b/>
      <w:color w:val="000000"/>
      <w:sz w:val="21"/>
      <w:lang w:val="en-US" w:eastAsia="zh-CN" w:bidi="ar-SA"/>
    </w:rPr>
  </w:style>
  <w:style w:type="paragraph" w:customStyle="1" w:styleId="360">
    <w:name w:val="p22"/>
    <w:basedOn w:val="1"/>
    <w:qFormat/>
    <w:uiPriority w:val="0"/>
    <w:rPr>
      <w:rFonts w:ascii="Calibri" w:hAnsi="Calibri" w:cs="Calibri"/>
      <w:color w:val="auto"/>
      <w:szCs w:val="21"/>
    </w:rPr>
  </w:style>
  <w:style w:type="paragraph" w:customStyle="1" w:styleId="361">
    <w:name w:val="Char Char Char Char Char Char Char Char Char Char Char Char Char Char Char Char Char Char Char Char Char Char Char Char Char Char Char Char Char Char Char1"/>
    <w:basedOn w:val="1"/>
    <w:qFormat/>
    <w:uiPriority w:val="0"/>
    <w:pPr>
      <w:widowControl/>
      <w:spacing w:after="160" w:line="240" w:lineRule="exact"/>
      <w:jc w:val="left"/>
    </w:pPr>
    <w:rPr>
      <w:rFonts w:ascii="Verdana" w:hAnsi="Verdana" w:cs="Verdana"/>
      <w:sz w:val="20"/>
      <w:lang w:eastAsia="en-US"/>
    </w:rPr>
  </w:style>
  <w:style w:type="paragraph" w:customStyle="1" w:styleId="362">
    <w:name w:val="msolistparagraph"/>
    <w:basedOn w:val="1"/>
    <w:qFormat/>
    <w:uiPriority w:val="0"/>
    <w:pPr>
      <w:ind w:firstLine="420"/>
    </w:pPr>
    <w:rPr>
      <w:kern w:val="1"/>
      <w:szCs w:val="21"/>
    </w:rPr>
  </w:style>
  <w:style w:type="paragraph" w:customStyle="1" w:styleId="363">
    <w:name w:val="xl70"/>
    <w:basedOn w:val="1"/>
    <w:qFormat/>
    <w:uiPriority w:val="0"/>
    <w:pPr>
      <w:widowControl/>
      <w:pBdr>
        <w:top w:val="single" w:color="000000" w:sz="4" w:space="0"/>
        <w:left w:val="single" w:color="000000" w:sz="4" w:space="0"/>
        <w:bottom w:val="single" w:color="000000" w:sz="4" w:space="0"/>
        <w:right w:val="single" w:color="000000" w:sz="4" w:space="0"/>
      </w:pBdr>
      <w:shd w:val="clear" w:color="000000" w:fill="FFFF99"/>
      <w:spacing w:before="100" w:beforeAutospacing="1" w:after="100" w:afterAutospacing="1"/>
      <w:jc w:val="center"/>
    </w:pPr>
    <w:rPr>
      <w:rFonts w:cs="宋体"/>
      <w:b/>
      <w:sz w:val="20"/>
    </w:rPr>
  </w:style>
  <w:style w:type="paragraph" w:customStyle="1" w:styleId="364">
    <w:name w:val="Char1 Char Char1"/>
    <w:basedOn w:val="1"/>
    <w:qFormat/>
    <w:uiPriority w:val="0"/>
    <w:pPr>
      <w:widowControl/>
      <w:spacing w:after="160" w:line="240" w:lineRule="exact"/>
      <w:jc w:val="left"/>
    </w:pPr>
    <w:rPr>
      <w:rFonts w:ascii="Verdana" w:hAnsi="Verdana" w:cs="Verdana"/>
      <w:sz w:val="20"/>
      <w:lang w:eastAsia="en-US"/>
    </w:rPr>
  </w:style>
  <w:style w:type="paragraph" w:customStyle="1" w:styleId="365">
    <w:name w:val="正文5"/>
    <w:qFormat/>
    <w:uiPriority w:val="0"/>
    <w:pPr>
      <w:widowControl w:val="0"/>
      <w:adjustRightInd w:val="0"/>
      <w:spacing w:line="360" w:lineRule="atLeast"/>
    </w:pPr>
    <w:rPr>
      <w:rFonts w:hint="eastAsia" w:ascii="宋体" w:hAnsi="Times New Roman" w:eastAsia="宋体" w:cs="Times New Roman"/>
      <w:sz w:val="28"/>
      <w:lang w:val="en-US" w:eastAsia="zh-CN" w:bidi="ar-SA"/>
    </w:rPr>
  </w:style>
  <w:style w:type="paragraph" w:customStyle="1" w:styleId="366">
    <w:name w:val="表格左对齐"/>
    <w:basedOn w:val="1"/>
    <w:qFormat/>
    <w:uiPriority w:val="0"/>
    <w:pPr>
      <w:jc w:val="left"/>
    </w:pPr>
    <w:rPr>
      <w:rFonts w:ascii="仿宋_GB2312" w:hAnsi="仿宋_GB2312"/>
      <w:kern w:val="1"/>
      <w:sz w:val="24"/>
      <w:szCs w:val="28"/>
    </w:rPr>
  </w:style>
  <w:style w:type="paragraph" w:customStyle="1" w:styleId="367">
    <w:name w:val="CM105"/>
    <w:basedOn w:val="328"/>
    <w:next w:val="328"/>
    <w:qFormat/>
    <w:uiPriority w:val="0"/>
    <w:pPr>
      <w:spacing w:after="1040"/>
    </w:pPr>
    <w:rPr>
      <w:rFonts w:cs="Times New Roman"/>
    </w:rPr>
  </w:style>
  <w:style w:type="paragraph" w:customStyle="1" w:styleId="368">
    <w:name w:val="2"/>
    <w:basedOn w:val="1"/>
    <w:next w:val="32"/>
    <w:qFormat/>
    <w:uiPriority w:val="0"/>
    <w:rPr>
      <w:rFonts w:hAnsi="Courier New"/>
      <w:color w:val="auto"/>
      <w:kern w:val="2"/>
    </w:rPr>
  </w:style>
  <w:style w:type="paragraph" w:customStyle="1" w:styleId="369">
    <w:name w:val="子项"/>
    <w:basedOn w:val="1"/>
    <w:next w:val="1"/>
    <w:qFormat/>
    <w:uiPriority w:val="0"/>
    <w:pPr>
      <w:widowControl/>
      <w:numPr>
        <w:ilvl w:val="0"/>
        <w:numId w:val="5"/>
      </w:numPr>
    </w:pPr>
    <w:rPr>
      <w:rFonts w:ascii="Calibri" w:hAnsi="Calibri" w:eastAsia="Times New Roman"/>
      <w:color w:val="auto"/>
      <w:sz w:val="20"/>
    </w:rPr>
  </w:style>
  <w:style w:type="paragraph" w:customStyle="1" w:styleId="370">
    <w:name w:val="菲页(卷)"/>
    <w:basedOn w:val="3"/>
    <w:next w:val="1"/>
    <w:qFormat/>
    <w:uiPriority w:val="0"/>
    <w:pPr>
      <w:keepLines w:val="0"/>
      <w:widowControl/>
      <w:numPr>
        <w:ilvl w:val="0"/>
        <w:numId w:val="3"/>
      </w:numPr>
      <w:tabs>
        <w:tab w:val="left" w:pos="432"/>
      </w:tabs>
      <w:spacing w:before="0" w:after="0" w:line="240" w:lineRule="auto"/>
      <w:ind w:left="432" w:hanging="432"/>
      <w:jc w:val="center"/>
      <w:outlineLvl w:val="1"/>
    </w:pPr>
    <w:rPr>
      <w:rFonts w:ascii="黑体" w:hAnsi="黑体" w:eastAsia="黑体"/>
      <w:b w:val="0"/>
      <w:sz w:val="52"/>
      <w:szCs w:val="20"/>
    </w:rPr>
  </w:style>
  <w:style w:type="paragraph" w:customStyle="1" w:styleId="371">
    <w:name w:val="列出段落2"/>
    <w:basedOn w:val="1"/>
    <w:qFormat/>
    <w:uiPriority w:val="0"/>
    <w:pPr>
      <w:ind w:firstLine="200" w:firstLineChars="200"/>
    </w:pPr>
    <w:rPr>
      <w:rFonts w:hint="eastAsia" w:ascii="Calibri" w:hAnsi="Calibri"/>
      <w:color w:val="auto"/>
      <w:kern w:val="2"/>
      <w:szCs w:val="22"/>
    </w:rPr>
  </w:style>
  <w:style w:type="paragraph" w:customStyle="1" w:styleId="372">
    <w:name w:val="列表段落1"/>
    <w:basedOn w:val="1"/>
    <w:qFormat/>
    <w:uiPriority w:val="34"/>
    <w:pPr>
      <w:ind w:firstLine="420" w:firstLineChars="200"/>
    </w:pPr>
    <w:rPr>
      <w:rFonts w:ascii="Calibri" w:hAnsi="Calibri"/>
      <w:color w:val="auto"/>
      <w:kern w:val="2"/>
      <w:szCs w:val="22"/>
    </w:rPr>
  </w:style>
  <w:style w:type="paragraph" w:customStyle="1" w:styleId="373">
    <w:name w:val="Char Char Char Char Char Char Char Char Char Char11"/>
    <w:basedOn w:val="1"/>
    <w:qFormat/>
    <w:uiPriority w:val="0"/>
    <w:rPr>
      <w:rFonts w:ascii="Tahoma" w:hAnsi="Tahoma" w:cs="Tahoma"/>
      <w:kern w:val="1"/>
      <w:sz w:val="24"/>
    </w:rPr>
  </w:style>
  <w:style w:type="paragraph" w:customStyle="1" w:styleId="374">
    <w:name w:val="Char Char Char Char Char Char1 Char Char Char Char Char Char2"/>
    <w:basedOn w:val="1"/>
    <w:qFormat/>
    <w:uiPriority w:val="0"/>
    <w:pPr>
      <w:widowControl/>
      <w:tabs>
        <w:tab w:val="left" w:pos="427"/>
      </w:tabs>
      <w:spacing w:after="160" w:line="240" w:lineRule="exact"/>
      <w:jc w:val="left"/>
    </w:pPr>
    <w:rPr>
      <w:rFonts w:ascii="Verdana" w:hAnsi="Verdana" w:eastAsia="仿宋" w:cs="Verdana"/>
      <w:sz w:val="24"/>
      <w:lang w:eastAsia="en-US"/>
    </w:rPr>
  </w:style>
  <w:style w:type="paragraph" w:customStyle="1" w:styleId="375">
    <w:name w:val="小标题"/>
    <w:basedOn w:val="1"/>
    <w:next w:val="9"/>
    <w:qFormat/>
    <w:uiPriority w:val="0"/>
    <w:pPr>
      <w:numPr>
        <w:ilvl w:val="0"/>
        <w:numId w:val="6"/>
      </w:numPr>
      <w:spacing w:before="156" w:after="156" w:line="360" w:lineRule="auto"/>
    </w:pPr>
    <w:rPr>
      <w:rFonts w:ascii="Arial" w:hAnsi="Arial" w:eastAsia="黑体" w:cs="Arial"/>
      <w:b/>
      <w:kern w:val="1"/>
      <w:sz w:val="28"/>
    </w:rPr>
  </w:style>
  <w:style w:type="paragraph" w:customStyle="1" w:styleId="376">
    <w:name w:val="目录1"/>
    <w:basedOn w:val="1"/>
    <w:next w:val="1"/>
    <w:qFormat/>
    <w:uiPriority w:val="0"/>
    <w:pPr>
      <w:widowControl/>
      <w:tabs>
        <w:tab w:val="left" w:leader="dot" w:pos="8305"/>
      </w:tabs>
      <w:spacing w:after="102" w:line="215" w:lineRule="atLeast"/>
      <w:ind w:firstLine="419"/>
      <w:jc w:val="left"/>
    </w:pPr>
  </w:style>
  <w:style w:type="paragraph" w:customStyle="1" w:styleId="377">
    <w:name w:val="公文:1级标题"/>
    <w:basedOn w:val="1"/>
    <w:qFormat/>
    <w:uiPriority w:val="0"/>
    <w:rPr>
      <w:rFonts w:eastAsia="黑体"/>
      <w:color w:val="auto"/>
      <w:kern w:val="2"/>
      <w:sz w:val="32"/>
    </w:rPr>
  </w:style>
  <w:style w:type="paragraph" w:customStyle="1" w:styleId="378">
    <w:name w:val="[基本段落]"/>
    <w:basedOn w:val="1"/>
    <w:qFormat/>
    <w:uiPriority w:val="99"/>
    <w:pPr>
      <w:autoSpaceDE w:val="0"/>
      <w:autoSpaceDN w:val="0"/>
      <w:adjustRightInd w:val="0"/>
      <w:spacing w:line="288" w:lineRule="auto"/>
      <w:textAlignment w:val="center"/>
    </w:pPr>
    <w:rPr>
      <w:rFonts w:cs="宋体"/>
      <w:sz w:val="24"/>
      <w:lang w:val="zh-CN"/>
    </w:rPr>
  </w:style>
  <w:style w:type="paragraph" w:customStyle="1" w:styleId="379">
    <w:name w:val="Blockquote"/>
    <w:basedOn w:val="1"/>
    <w:qFormat/>
    <w:uiPriority w:val="0"/>
    <w:pPr>
      <w:spacing w:before="100" w:after="100"/>
      <w:ind w:left="360" w:right="360"/>
      <w:jc w:val="left"/>
    </w:pPr>
    <w:rPr>
      <w:sz w:val="24"/>
    </w:rPr>
  </w:style>
  <w:style w:type="paragraph" w:customStyle="1" w:styleId="380">
    <w:name w:val="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ascii="Verdana" w:hAnsi="Verdana" w:cs="Verdana"/>
      <w:sz w:val="20"/>
      <w:lang w:eastAsia="en-US"/>
    </w:rPr>
  </w:style>
  <w:style w:type="paragraph" w:customStyle="1" w:styleId="381">
    <w:name w:val="正文缩进3"/>
    <w:basedOn w:val="1"/>
    <w:qFormat/>
    <w:uiPriority w:val="0"/>
    <w:pPr>
      <w:adjustRightInd w:val="0"/>
      <w:spacing w:line="360" w:lineRule="atLeast"/>
      <w:ind w:firstLine="420"/>
    </w:pPr>
    <w:rPr>
      <w:rFonts w:hint="eastAsia"/>
      <w:color w:val="auto"/>
      <w:kern w:val="2"/>
    </w:rPr>
  </w:style>
  <w:style w:type="paragraph" w:customStyle="1" w:styleId="382">
    <w:name w:val="xl89"/>
    <w:basedOn w:val="1"/>
    <w:qFormat/>
    <w:uiPriority w:val="0"/>
    <w:pPr>
      <w:widowControl/>
      <w:spacing w:before="100" w:beforeAutospacing="1" w:after="100" w:afterAutospacing="1"/>
      <w:jc w:val="left"/>
    </w:pPr>
    <w:rPr>
      <w:rFonts w:cs="宋体"/>
      <w:sz w:val="20"/>
    </w:rPr>
  </w:style>
  <w:style w:type="paragraph" w:customStyle="1" w:styleId="383">
    <w:name w:val="CM95"/>
    <w:basedOn w:val="328"/>
    <w:next w:val="328"/>
    <w:qFormat/>
    <w:uiPriority w:val="0"/>
    <w:pPr>
      <w:autoSpaceDE w:val="0"/>
      <w:autoSpaceDN w:val="0"/>
      <w:adjustRightInd w:val="0"/>
      <w:spacing w:after="115"/>
    </w:pPr>
    <w:rPr>
      <w:rFonts w:hAnsi="Times New Roman" w:cs="Times New Roman"/>
      <w:color w:val="auto"/>
      <w:szCs w:val="20"/>
    </w:rPr>
  </w:style>
  <w:style w:type="paragraph" w:customStyle="1" w:styleId="384">
    <w:name w:val="xl75"/>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cs="宋体"/>
      <w:color w:val="FF0000"/>
      <w:sz w:val="20"/>
    </w:rPr>
  </w:style>
  <w:style w:type="paragraph" w:customStyle="1" w:styleId="385">
    <w:name w:val="CM47"/>
    <w:basedOn w:val="328"/>
    <w:next w:val="328"/>
    <w:qFormat/>
    <w:uiPriority w:val="0"/>
    <w:pPr>
      <w:autoSpaceDE w:val="0"/>
      <w:autoSpaceDN w:val="0"/>
      <w:adjustRightInd w:val="0"/>
      <w:spacing w:line="440" w:lineRule="atLeast"/>
    </w:pPr>
    <w:rPr>
      <w:rFonts w:hAnsi="Times New Roman" w:cs="Times New Roman"/>
      <w:color w:val="auto"/>
      <w:szCs w:val="20"/>
    </w:rPr>
  </w:style>
  <w:style w:type="paragraph" w:customStyle="1" w:styleId="386">
    <w:name w:val="Char1 Char Char Char Char Char Char Char Char Char1 Char"/>
    <w:basedOn w:val="1"/>
    <w:qFormat/>
    <w:uiPriority w:val="0"/>
    <w:rPr>
      <w:rFonts w:ascii="Tahoma" w:hAnsi="Tahoma" w:cs="Tahoma"/>
      <w:kern w:val="1"/>
      <w:sz w:val="24"/>
    </w:rPr>
  </w:style>
  <w:style w:type="paragraph" w:customStyle="1" w:styleId="387">
    <w:name w:val="Char12"/>
    <w:basedOn w:val="1"/>
    <w:qFormat/>
    <w:uiPriority w:val="0"/>
    <w:pPr>
      <w:widowControl/>
      <w:spacing w:line="400" w:lineRule="exact"/>
      <w:jc w:val="center"/>
    </w:pPr>
    <w:rPr>
      <w:rFonts w:ascii="Verdana" w:hAnsi="Verdana" w:cs="Verdana"/>
      <w:lang w:eastAsia="en-US"/>
    </w:rPr>
  </w:style>
  <w:style w:type="paragraph" w:customStyle="1" w:styleId="388">
    <w:name w:val="Char Char Char Char Char Char1"/>
    <w:basedOn w:val="1"/>
    <w:qFormat/>
    <w:uiPriority w:val="0"/>
    <w:pPr>
      <w:widowControl/>
      <w:spacing w:line="400" w:lineRule="exact"/>
      <w:jc w:val="center"/>
    </w:pPr>
    <w:rPr>
      <w:kern w:val="1"/>
    </w:rPr>
  </w:style>
  <w:style w:type="paragraph" w:customStyle="1" w:styleId="389">
    <w:name w:val="web"/>
    <w:basedOn w:val="1"/>
    <w:qFormat/>
    <w:uiPriority w:val="0"/>
    <w:pPr>
      <w:widowControl/>
      <w:spacing w:before="100" w:beforeAutospacing="1" w:after="100" w:afterAutospacing="1"/>
      <w:jc w:val="left"/>
    </w:pPr>
    <w:rPr>
      <w:rFonts w:cs="宋体"/>
      <w:sz w:val="24"/>
    </w:rPr>
  </w:style>
  <w:style w:type="paragraph" w:customStyle="1" w:styleId="390">
    <w:name w:val="样式 标题 2 + Times New Roman 四号 非加粗 段前: 5 磅 段后: 0 磅 行距: 固定值 20..."/>
    <w:basedOn w:val="4"/>
    <w:qFormat/>
    <w:uiPriority w:val="0"/>
    <w:pPr>
      <w:spacing w:beforeLines="0" w:line="400" w:lineRule="exact"/>
    </w:pPr>
    <w:rPr>
      <w:rFonts w:ascii="Times New Roman" w:hAnsi="Times New Roman"/>
      <w:szCs w:val="20"/>
    </w:rPr>
  </w:style>
  <w:style w:type="paragraph" w:customStyle="1" w:styleId="391">
    <w:name w:val="Char Char Char Char Char Char1 Char Char Char Char Char Char"/>
    <w:basedOn w:val="1"/>
    <w:qFormat/>
    <w:uiPriority w:val="0"/>
    <w:pPr>
      <w:widowControl/>
      <w:numPr>
        <w:ilvl w:val="0"/>
        <w:numId w:val="7"/>
      </w:numPr>
      <w:tabs>
        <w:tab w:val="left" w:pos="427"/>
      </w:tabs>
      <w:spacing w:after="160" w:line="240" w:lineRule="exact"/>
      <w:jc w:val="left"/>
    </w:pPr>
    <w:rPr>
      <w:rFonts w:ascii="Verdana" w:hAnsi="Verdana" w:eastAsia="仿宋" w:cs="Verdana"/>
      <w:sz w:val="24"/>
      <w:lang w:eastAsia="en-US"/>
    </w:rPr>
  </w:style>
  <w:style w:type="paragraph" w:customStyle="1" w:styleId="392">
    <w:name w:val="普通(网站)1"/>
    <w:basedOn w:val="1"/>
    <w:qFormat/>
    <w:uiPriority w:val="0"/>
    <w:pPr>
      <w:widowControl/>
      <w:spacing w:before="100" w:beforeAutospacing="1" w:after="100" w:afterAutospacing="1"/>
      <w:jc w:val="left"/>
    </w:pPr>
    <w:rPr>
      <w:color w:val="auto"/>
      <w:kern w:val="2"/>
      <w:sz w:val="24"/>
    </w:rPr>
  </w:style>
  <w:style w:type="paragraph" w:customStyle="1" w:styleId="393">
    <w:name w:val="Char Char Char Char Char Char Char Char Char1 Char"/>
    <w:basedOn w:val="1"/>
    <w:qFormat/>
    <w:uiPriority w:val="0"/>
    <w:pPr>
      <w:spacing w:line="360" w:lineRule="auto"/>
      <w:ind w:firstLine="200"/>
    </w:pPr>
    <w:rPr>
      <w:rFonts w:cs="宋体"/>
      <w:kern w:val="1"/>
      <w:sz w:val="24"/>
    </w:rPr>
  </w:style>
  <w:style w:type="paragraph" w:customStyle="1" w:styleId="394">
    <w:name w:val="font6"/>
    <w:basedOn w:val="1"/>
    <w:qFormat/>
    <w:uiPriority w:val="0"/>
    <w:pPr>
      <w:widowControl/>
      <w:spacing w:before="100" w:beforeAutospacing="1" w:after="100" w:afterAutospacing="1"/>
      <w:jc w:val="left"/>
    </w:pPr>
    <w:rPr>
      <w:rFonts w:cs="宋体"/>
      <w:color w:val="auto"/>
      <w:sz w:val="18"/>
      <w:szCs w:val="18"/>
    </w:rPr>
  </w:style>
  <w:style w:type="paragraph" w:customStyle="1" w:styleId="395">
    <w:name w:val="xl35"/>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hint="eastAsia"/>
      <w:color w:val="auto"/>
      <w:szCs w:val="21"/>
    </w:rPr>
  </w:style>
  <w:style w:type="paragraph" w:customStyle="1" w:styleId="396">
    <w:name w:val="样式 宋体 四号 自定义颜(RGB(111)) 左"/>
    <w:basedOn w:val="1"/>
    <w:qFormat/>
    <w:uiPriority w:val="0"/>
    <w:pPr>
      <w:widowControl/>
    </w:pPr>
    <w:rPr>
      <w:color w:val="010101"/>
      <w:sz w:val="28"/>
      <w:szCs w:val="28"/>
    </w:rPr>
  </w:style>
  <w:style w:type="paragraph" w:customStyle="1" w:styleId="397">
    <w:name w:val="Char Char Char Char1"/>
    <w:basedOn w:val="1"/>
    <w:qFormat/>
    <w:uiPriority w:val="0"/>
    <w:rPr>
      <w:rFonts w:ascii="Tahoma" w:hAnsi="Tahoma" w:cs="Tahoma"/>
      <w:kern w:val="1"/>
      <w:sz w:val="24"/>
    </w:rPr>
  </w:style>
  <w:style w:type="paragraph" w:customStyle="1" w:styleId="398">
    <w:name w:val="Char Char Char Char Char Char"/>
    <w:basedOn w:val="1"/>
    <w:qFormat/>
    <w:uiPriority w:val="0"/>
    <w:pPr>
      <w:widowControl/>
      <w:spacing w:line="400" w:lineRule="exact"/>
      <w:jc w:val="center"/>
    </w:pPr>
    <w:rPr>
      <w:kern w:val="1"/>
    </w:rPr>
  </w:style>
  <w:style w:type="paragraph" w:customStyle="1" w:styleId="399">
    <w:name w:val="TOC 标题1"/>
    <w:basedOn w:val="3"/>
    <w:next w:val="1"/>
    <w:qFormat/>
    <w:uiPriority w:val="0"/>
    <w:pPr>
      <w:tabs>
        <w:tab w:val="left" w:pos="1440"/>
      </w:tabs>
      <w:outlineLvl w:val="9"/>
    </w:pPr>
    <w:rPr>
      <w:rFonts w:ascii="Calibri" w:hAnsi="Calibri"/>
      <w:bCs/>
      <w:color w:val="auto"/>
      <w:kern w:val="44"/>
    </w:rPr>
  </w:style>
  <w:style w:type="paragraph" w:customStyle="1" w:styleId="400">
    <w:name w:val="4"/>
    <w:qFormat/>
    <w:uiPriority w:val="0"/>
    <w:pPr>
      <w:widowControl w:val="0"/>
      <w:jc w:val="both"/>
    </w:pPr>
    <w:rPr>
      <w:rFonts w:ascii="Times New Roman" w:hAnsi="Times New Roman" w:eastAsia="宋体" w:cs="Calibri"/>
      <w:color w:val="000000"/>
      <w:kern w:val="1"/>
      <w:sz w:val="21"/>
      <w:szCs w:val="22"/>
      <w:lang w:val="en-US" w:eastAsia="zh-CN" w:bidi="ar-SA"/>
    </w:rPr>
  </w:style>
  <w:style w:type="paragraph" w:customStyle="1" w:styleId="401">
    <w:name w:val="Char Char Char Char Char Char Char Char Char Char Char Char Char Char Char Char Char Char Char Char Char Char Char Char Char Char Char Char Char Char Char2"/>
    <w:basedOn w:val="1"/>
    <w:qFormat/>
    <w:uiPriority w:val="0"/>
    <w:pPr>
      <w:widowControl/>
      <w:spacing w:after="160" w:line="240" w:lineRule="exact"/>
      <w:jc w:val="left"/>
    </w:pPr>
    <w:rPr>
      <w:rFonts w:ascii="Verdana" w:hAnsi="Verdana" w:cs="Verdana"/>
      <w:sz w:val="20"/>
      <w:lang w:eastAsia="en-US"/>
    </w:rPr>
  </w:style>
  <w:style w:type="paragraph" w:customStyle="1" w:styleId="402">
    <w:name w:val="xl85"/>
    <w:basedOn w:val="1"/>
    <w:qFormat/>
    <w:uiPriority w:val="0"/>
    <w:pPr>
      <w:widowControl/>
      <w:pBdr>
        <w:top w:val="single" w:color="000000" w:sz="4" w:space="0"/>
        <w:bottom w:val="single" w:color="000000" w:sz="4" w:space="0"/>
        <w:right w:val="single" w:color="000000" w:sz="4" w:space="0"/>
      </w:pBdr>
      <w:spacing w:before="100" w:beforeAutospacing="1" w:after="100" w:afterAutospacing="1"/>
      <w:jc w:val="center"/>
    </w:pPr>
    <w:rPr>
      <w:rFonts w:cs="宋体"/>
      <w:b/>
      <w:sz w:val="20"/>
    </w:rPr>
  </w:style>
  <w:style w:type="paragraph" w:customStyle="1" w:styleId="403">
    <w:name w:val="Char121"/>
    <w:basedOn w:val="1"/>
    <w:qFormat/>
    <w:uiPriority w:val="0"/>
    <w:pPr>
      <w:tabs>
        <w:tab w:val="left" w:pos="360"/>
      </w:tabs>
    </w:pPr>
    <w:rPr>
      <w:kern w:val="1"/>
      <w:sz w:val="24"/>
    </w:rPr>
  </w:style>
  <w:style w:type="paragraph" w:customStyle="1" w:styleId="404">
    <w:name w:val="CM4"/>
    <w:basedOn w:val="328"/>
    <w:next w:val="328"/>
    <w:qFormat/>
    <w:uiPriority w:val="0"/>
    <w:pPr>
      <w:autoSpaceDE w:val="0"/>
      <w:autoSpaceDN w:val="0"/>
      <w:adjustRightInd w:val="0"/>
    </w:pPr>
    <w:rPr>
      <w:rFonts w:hAnsi="Times New Roman" w:cs="Times New Roman"/>
      <w:color w:val="auto"/>
      <w:szCs w:val="20"/>
    </w:rPr>
  </w:style>
  <w:style w:type="paragraph" w:customStyle="1" w:styleId="405">
    <w:name w:val=":-)"/>
    <w:qFormat/>
    <w:uiPriority w:val="0"/>
    <w:rPr>
      <w:rFonts w:ascii="Times New Roman" w:hAnsi="Times New Roman" w:eastAsia="宋体" w:cs="Times New Roman"/>
      <w:color w:val="000000"/>
      <w:lang w:val="en-GB" w:eastAsia="zh-CN" w:bidi="ar-SA"/>
    </w:rPr>
  </w:style>
  <w:style w:type="paragraph" w:customStyle="1" w:styleId="406">
    <w:name w:val="List Paragraph1"/>
    <w:basedOn w:val="1"/>
    <w:qFormat/>
    <w:uiPriority w:val="99"/>
    <w:pPr>
      <w:ind w:firstLine="420" w:firstLineChars="200"/>
    </w:pPr>
    <w:rPr>
      <w:rFonts w:hint="eastAsia"/>
      <w:color w:val="auto"/>
      <w:kern w:val="2"/>
    </w:rPr>
  </w:style>
  <w:style w:type="paragraph" w:customStyle="1" w:styleId="407">
    <w:name w:val="样式 正文缩进正文（首行缩进两字）特点ALT+Z表正文正文非缩进四号段1Normal Indent Char2...4"/>
    <w:basedOn w:val="25"/>
    <w:qFormat/>
    <w:uiPriority w:val="0"/>
    <w:pPr>
      <w:numPr>
        <w:ilvl w:val="4"/>
        <w:numId w:val="1"/>
      </w:numPr>
      <w:tabs>
        <w:tab w:val="left" w:pos="510"/>
      </w:tabs>
      <w:spacing w:line="300" w:lineRule="auto"/>
      <w:ind w:left="290" w:firstLine="510"/>
    </w:pPr>
    <w:rPr>
      <w:rFonts w:cs="宋体"/>
      <w:kern w:val="0"/>
      <w:sz w:val="24"/>
      <w:szCs w:val="20"/>
    </w:rPr>
  </w:style>
  <w:style w:type="paragraph" w:customStyle="1" w:styleId="408">
    <w:name w:val="myfont9b"/>
    <w:basedOn w:val="1"/>
    <w:qFormat/>
    <w:uiPriority w:val="0"/>
    <w:pPr>
      <w:widowControl/>
      <w:spacing w:before="100" w:beforeAutospacing="1" w:after="100" w:afterAutospacing="1" w:line="300" w:lineRule="atLeast"/>
      <w:jc w:val="left"/>
    </w:pPr>
    <w:rPr>
      <w:rFonts w:hint="eastAsia"/>
      <w:color w:val="auto"/>
      <w:sz w:val="18"/>
      <w:szCs w:val="18"/>
    </w:rPr>
  </w:style>
  <w:style w:type="paragraph" w:customStyle="1" w:styleId="409">
    <w:name w:val="正文缩进5"/>
    <w:basedOn w:val="1"/>
    <w:qFormat/>
    <w:uiPriority w:val="0"/>
    <w:pPr>
      <w:adjustRightInd w:val="0"/>
      <w:spacing w:line="360" w:lineRule="atLeast"/>
      <w:ind w:firstLine="420"/>
    </w:pPr>
    <w:rPr>
      <w:rFonts w:hint="eastAsia"/>
      <w:color w:val="auto"/>
      <w:kern w:val="2"/>
    </w:rPr>
  </w:style>
  <w:style w:type="paragraph" w:customStyle="1" w:styleId="410">
    <w:name w:val="列出段落1"/>
    <w:basedOn w:val="1"/>
    <w:qFormat/>
    <w:uiPriority w:val="0"/>
    <w:pPr>
      <w:ind w:firstLine="200" w:firstLineChars="200"/>
    </w:pPr>
    <w:rPr>
      <w:rFonts w:hint="eastAsia" w:ascii="Calibri" w:hAnsi="Calibri"/>
      <w:color w:val="auto"/>
      <w:kern w:val="2"/>
      <w:szCs w:val="22"/>
    </w:rPr>
  </w:style>
  <w:style w:type="paragraph" w:customStyle="1" w:styleId="411">
    <w:name w:val="表格正文"/>
    <w:basedOn w:val="1"/>
    <w:qFormat/>
    <w:uiPriority w:val="0"/>
    <w:pPr>
      <w:spacing w:line="320" w:lineRule="exact"/>
      <w:jc w:val="left"/>
    </w:pPr>
    <w:rPr>
      <w:rFonts w:cs="宋体"/>
      <w:kern w:val="1"/>
    </w:rPr>
  </w:style>
  <w:style w:type="paragraph" w:customStyle="1" w:styleId="412">
    <w:name w:val="Char1 Char Char2"/>
    <w:basedOn w:val="1"/>
    <w:qFormat/>
    <w:uiPriority w:val="0"/>
    <w:pPr>
      <w:widowControl/>
      <w:spacing w:after="160" w:line="240" w:lineRule="exact"/>
      <w:jc w:val="left"/>
    </w:pPr>
    <w:rPr>
      <w:rFonts w:ascii="Verdana" w:hAnsi="Verdana" w:cs="Verdana"/>
      <w:sz w:val="20"/>
      <w:lang w:eastAsia="en-US"/>
    </w:rPr>
  </w:style>
  <w:style w:type="paragraph" w:customStyle="1" w:styleId="413">
    <w:name w:val="公文:2级标题"/>
    <w:basedOn w:val="1"/>
    <w:qFormat/>
    <w:uiPriority w:val="0"/>
    <w:pPr>
      <w:numPr>
        <w:ilvl w:val="0"/>
        <w:numId w:val="8"/>
      </w:numPr>
    </w:pPr>
    <w:rPr>
      <w:rFonts w:eastAsia="楷体"/>
      <w:color w:val="auto"/>
      <w:kern w:val="2"/>
      <w:sz w:val="32"/>
    </w:rPr>
  </w:style>
  <w:style w:type="paragraph" w:customStyle="1" w:styleId="414">
    <w:name w:val="flNote"/>
    <w:basedOn w:val="1"/>
    <w:qFormat/>
    <w:uiPriority w:val="0"/>
    <w:pPr>
      <w:adjustRightInd w:val="0"/>
      <w:spacing w:before="320" w:after="160" w:line="360" w:lineRule="atLeast"/>
      <w:jc w:val="center"/>
      <w:textAlignment w:val="baseline"/>
    </w:pPr>
    <w:rPr>
      <w:rFonts w:hint="eastAsia" w:ascii="Arial" w:hAnsi="Arial" w:eastAsia="黑体"/>
      <w:color w:val="auto"/>
      <w:sz w:val="30"/>
    </w:rPr>
  </w:style>
  <w:style w:type="paragraph" w:customStyle="1" w:styleId="415">
    <w:name w:val="样式 标题 3 + (中文) 黑体 小四 非加粗 段前: 7.8 磅 段后: 0 磅 行距: 固定值 20 磅"/>
    <w:basedOn w:val="5"/>
    <w:qFormat/>
    <w:uiPriority w:val="0"/>
    <w:pPr>
      <w:spacing w:beforeLines="0" w:line="400" w:lineRule="exact"/>
    </w:pPr>
    <w:rPr>
      <w:sz w:val="24"/>
      <w:szCs w:val="20"/>
    </w:rPr>
  </w:style>
  <w:style w:type="paragraph" w:customStyle="1" w:styleId="416">
    <w:name w:val="Char Char Char Char Char Char Char Char Char Char Char Char Char Char Char Char Char Char Char Char Char Char Char Char Char Char Char Char Char Char Char Char Char Char1"/>
    <w:basedOn w:val="1"/>
    <w:qFormat/>
    <w:uiPriority w:val="0"/>
    <w:pPr>
      <w:widowControl/>
      <w:spacing w:after="160" w:line="240" w:lineRule="exact"/>
      <w:jc w:val="left"/>
    </w:pPr>
    <w:rPr>
      <w:rFonts w:hint="eastAsia" w:ascii="Verdana" w:hAnsi="Verdana"/>
      <w:color w:val="auto"/>
      <w:sz w:val="28"/>
      <w:lang w:eastAsia="en-US"/>
    </w:rPr>
  </w:style>
  <w:style w:type="paragraph" w:customStyle="1" w:styleId="417">
    <w:name w:val="xl69"/>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cs="宋体"/>
      <w:b/>
      <w:sz w:val="20"/>
    </w:rPr>
  </w:style>
  <w:style w:type="paragraph" w:customStyle="1" w:styleId="418">
    <w:name w:val="==&gt;"/>
    <w:qFormat/>
    <w:uiPriority w:val="0"/>
    <w:rPr>
      <w:rFonts w:ascii="Times New Roman" w:hAnsi="Times New Roman" w:eastAsia="宋体" w:cs="Times New Roman"/>
      <w:color w:val="000000"/>
      <w:lang w:val="en-GB" w:eastAsia="zh-CN" w:bidi="ar-SA"/>
    </w:rPr>
  </w:style>
  <w:style w:type="paragraph" w:customStyle="1" w:styleId="419">
    <w:name w:val="xl68"/>
    <w:basedOn w:val="1"/>
    <w:qFormat/>
    <w:uiPriority w:val="0"/>
    <w:pPr>
      <w:widowControl/>
      <w:spacing w:before="100" w:beforeAutospacing="1" w:after="100" w:afterAutospacing="1"/>
      <w:jc w:val="center"/>
    </w:pPr>
    <w:rPr>
      <w:rFonts w:cs="宋体"/>
      <w:sz w:val="24"/>
    </w:rPr>
  </w:style>
  <w:style w:type="paragraph" w:customStyle="1" w:styleId="420">
    <w:name w:val="List Paragraph*"/>
    <w:basedOn w:val="1"/>
    <w:qFormat/>
    <w:uiPriority w:val="0"/>
    <w:pPr>
      <w:widowControl/>
      <w:ind w:firstLine="420"/>
      <w:jc w:val="left"/>
    </w:pPr>
    <w:rPr>
      <w:rFonts w:ascii="Calibri" w:hAnsi="Calibri" w:cs="Calibri"/>
      <w:kern w:val="1"/>
    </w:rPr>
  </w:style>
  <w:style w:type="paragraph" w:customStyle="1" w:styleId="421">
    <w:name w:val="xl87"/>
    <w:basedOn w:val="1"/>
    <w:qFormat/>
    <w:uiPriority w:val="0"/>
    <w:pPr>
      <w:widowControl/>
      <w:pBdr>
        <w:top w:val="single" w:color="000000" w:sz="4" w:space="0"/>
        <w:bottom w:val="single" w:color="000000" w:sz="4" w:space="0"/>
      </w:pBdr>
      <w:spacing w:before="100" w:beforeAutospacing="1" w:after="100" w:afterAutospacing="1"/>
      <w:jc w:val="center"/>
    </w:pPr>
    <w:rPr>
      <w:rFonts w:cs="宋体"/>
      <w:sz w:val="20"/>
    </w:rPr>
  </w:style>
  <w:style w:type="paragraph" w:customStyle="1" w:styleId="422">
    <w:name w:val="font10"/>
    <w:basedOn w:val="1"/>
    <w:qFormat/>
    <w:uiPriority w:val="0"/>
    <w:pPr>
      <w:widowControl/>
      <w:spacing w:before="100" w:beforeAutospacing="1" w:after="100" w:afterAutospacing="1"/>
      <w:jc w:val="left"/>
    </w:pPr>
    <w:rPr>
      <w:rFonts w:cs="宋体"/>
      <w:color w:val="FF0000"/>
      <w:sz w:val="22"/>
      <w:szCs w:val="22"/>
    </w:rPr>
  </w:style>
  <w:style w:type="paragraph" w:customStyle="1" w:styleId="423">
    <w:name w:val="TOC Heading"/>
    <w:basedOn w:val="3"/>
    <w:next w:val="1"/>
    <w:qFormat/>
    <w:uiPriority w:val="39"/>
    <w:pPr>
      <w:widowControl/>
      <w:spacing w:before="480" w:after="0" w:line="276" w:lineRule="auto"/>
      <w:jc w:val="left"/>
      <w:outlineLvl w:val="9"/>
    </w:pPr>
    <w:rPr>
      <w:rFonts w:ascii="Cambria" w:hAnsi="Cambria" w:cs="Cambria"/>
      <w:color w:val="365F91"/>
      <w:sz w:val="28"/>
      <w:szCs w:val="28"/>
    </w:rPr>
  </w:style>
  <w:style w:type="paragraph" w:customStyle="1" w:styleId="424">
    <w:name w:val="样式 段前: 7.8 磅 段后: 7.8 磅 行距: 固定值 35 磅"/>
    <w:basedOn w:val="1"/>
    <w:qFormat/>
    <w:uiPriority w:val="0"/>
    <w:pPr>
      <w:spacing w:line="700" w:lineRule="exact"/>
      <w:jc w:val="center"/>
    </w:pPr>
    <w:rPr>
      <w:rFonts w:cs="宋体"/>
      <w:color w:val="auto"/>
      <w:kern w:val="2"/>
    </w:rPr>
  </w:style>
  <w:style w:type="paragraph" w:customStyle="1" w:styleId="425">
    <w:name w:val="wd4"/>
    <w:basedOn w:val="1"/>
    <w:qFormat/>
    <w:uiPriority w:val="0"/>
    <w:pPr>
      <w:widowControl/>
      <w:spacing w:before="100" w:beforeAutospacing="1" w:after="100" w:afterAutospacing="1"/>
      <w:jc w:val="left"/>
    </w:pPr>
    <w:rPr>
      <w:rFonts w:hint="eastAsia" w:cs="宋体"/>
      <w:color w:val="auto"/>
      <w:sz w:val="24"/>
    </w:rPr>
  </w:style>
  <w:style w:type="paragraph" w:customStyle="1" w:styleId="426">
    <w:name w:val="表格"/>
    <w:basedOn w:val="1"/>
    <w:qFormat/>
    <w:uiPriority w:val="0"/>
    <w:pPr>
      <w:jc w:val="center"/>
    </w:pPr>
    <w:rPr>
      <w:rFonts w:ascii="华文细黑" w:hAnsi="华文细黑" w:cs="华文细黑"/>
    </w:rPr>
  </w:style>
  <w:style w:type="paragraph" w:customStyle="1" w:styleId="427">
    <w:name w:val="pa-35"/>
    <w:basedOn w:val="1"/>
    <w:qFormat/>
    <w:uiPriority w:val="0"/>
    <w:pPr>
      <w:widowControl/>
      <w:spacing w:line="360" w:lineRule="atLeast"/>
      <w:ind w:firstLine="480"/>
      <w:jc w:val="left"/>
    </w:pPr>
    <w:rPr>
      <w:rFonts w:hint="eastAsia" w:cs="宋体"/>
      <w:color w:val="auto"/>
      <w:sz w:val="24"/>
    </w:rPr>
  </w:style>
  <w:style w:type="paragraph" w:customStyle="1" w:styleId="428">
    <w:name w:val="Char Char1 Char Char Char1"/>
    <w:basedOn w:val="1"/>
    <w:qFormat/>
    <w:uiPriority w:val="0"/>
    <w:rPr>
      <w:sz w:val="20"/>
    </w:rPr>
  </w:style>
  <w:style w:type="paragraph" w:customStyle="1" w:styleId="429">
    <w:name w:val="正文4"/>
    <w:qFormat/>
    <w:uiPriority w:val="0"/>
    <w:pPr>
      <w:widowControl w:val="0"/>
      <w:spacing w:line="360" w:lineRule="atLeast"/>
    </w:pPr>
    <w:rPr>
      <w:rFonts w:ascii="宋体" w:hAnsi="宋体" w:eastAsia="宋体" w:cs="Times New Roman"/>
      <w:color w:val="000000"/>
      <w:sz w:val="28"/>
      <w:lang w:val="en-US" w:eastAsia="zh-CN" w:bidi="ar-SA"/>
    </w:rPr>
  </w:style>
  <w:style w:type="paragraph" w:customStyle="1" w:styleId="430">
    <w:name w:val="正文2 Char Char Char Char Char Char Char Char Char Char Char Char1 Char Char Char Char Char Char Char Char1 Char Char Char Char Char Char Char Char Char"/>
    <w:basedOn w:val="1"/>
    <w:qFormat/>
    <w:uiPriority w:val="99"/>
    <w:pPr>
      <w:widowControl/>
      <w:spacing w:line="400" w:lineRule="exact"/>
      <w:jc w:val="center"/>
    </w:pPr>
    <w:rPr>
      <w:rFonts w:ascii="Verdana" w:hAnsi="Verdana" w:cs="Verdana"/>
      <w:lang w:eastAsia="en-US"/>
    </w:rPr>
  </w:style>
  <w:style w:type="paragraph" w:customStyle="1" w:styleId="431">
    <w:name w:val="pa-34"/>
    <w:basedOn w:val="1"/>
    <w:qFormat/>
    <w:uiPriority w:val="0"/>
    <w:pPr>
      <w:widowControl/>
      <w:spacing w:line="360" w:lineRule="atLeast"/>
      <w:ind w:firstLine="540"/>
      <w:jc w:val="left"/>
    </w:pPr>
    <w:rPr>
      <w:rFonts w:hint="eastAsia" w:cs="宋体"/>
      <w:color w:val="auto"/>
      <w:sz w:val="24"/>
    </w:rPr>
  </w:style>
  <w:style w:type="paragraph" w:customStyle="1" w:styleId="432">
    <w:name w:val="样式 样式 样式 首行缩进:  2 字符1 + 首行缩进:  2 字符 + 首行缩进:  2 字符"/>
    <w:basedOn w:val="1"/>
    <w:qFormat/>
    <w:uiPriority w:val="0"/>
    <w:pPr>
      <w:spacing w:before="6" w:after="6" w:line="460" w:lineRule="exact"/>
      <w:ind w:firstLine="440" w:firstLineChars="200"/>
    </w:pPr>
    <w:rPr>
      <w:rFonts w:cs="宋体"/>
      <w:color w:val="auto"/>
      <w:kern w:val="2"/>
      <w:sz w:val="24"/>
    </w:rPr>
  </w:style>
  <w:style w:type="paragraph" w:customStyle="1" w:styleId="433">
    <w:name w:val="公文:正文"/>
    <w:basedOn w:val="1"/>
    <w:qFormat/>
    <w:uiPriority w:val="0"/>
    <w:rPr>
      <w:rFonts w:eastAsia="仿宋"/>
      <w:color w:val="auto"/>
      <w:kern w:val="2"/>
      <w:sz w:val="32"/>
    </w:rPr>
  </w:style>
  <w:style w:type="paragraph" w:customStyle="1" w:styleId="434">
    <w:name w:val="news"/>
    <w:basedOn w:val="1"/>
    <w:qFormat/>
    <w:uiPriority w:val="0"/>
    <w:pPr>
      <w:widowControl/>
      <w:spacing w:before="100" w:beforeAutospacing="1" w:after="100" w:afterAutospacing="1" w:line="360" w:lineRule="auto"/>
      <w:jc w:val="left"/>
    </w:pPr>
    <w:rPr>
      <w:rFonts w:ascii="ˎ̥" w:hAnsi="ˎ̥" w:cs="宋体"/>
      <w:sz w:val="18"/>
      <w:szCs w:val="18"/>
    </w:rPr>
  </w:style>
  <w:style w:type="paragraph" w:customStyle="1" w:styleId="435">
    <w:name w:val="p0"/>
    <w:basedOn w:val="1"/>
    <w:qFormat/>
    <w:uiPriority w:val="0"/>
    <w:pPr>
      <w:widowControl/>
    </w:pPr>
  </w:style>
  <w:style w:type="paragraph" w:customStyle="1" w:styleId="436">
    <w:name w:val="_Style 5"/>
    <w:basedOn w:val="1"/>
    <w:qFormat/>
    <w:uiPriority w:val="0"/>
    <w:pPr>
      <w:widowControl/>
      <w:ind w:firstLine="420"/>
      <w:jc w:val="left"/>
    </w:pPr>
    <w:rPr>
      <w:rFonts w:ascii="Calibri" w:hAnsi="Calibri"/>
      <w:color w:val="auto"/>
      <w:kern w:val="2"/>
      <w:sz w:val="20"/>
      <w:szCs w:val="22"/>
      <w:lang w:val="zh-CN"/>
    </w:rPr>
  </w:style>
  <w:style w:type="paragraph" w:customStyle="1" w:styleId="437">
    <w:name w:val="样式8"/>
    <w:basedOn w:val="1"/>
    <w:qFormat/>
    <w:uiPriority w:val="0"/>
    <w:pPr>
      <w:tabs>
        <w:tab w:val="left" w:pos="907"/>
      </w:tabs>
      <w:adjustRightInd w:val="0"/>
      <w:snapToGrid w:val="0"/>
      <w:spacing w:beforeLines="50" w:afterLines="50" w:line="240" w:lineRule="atLeast"/>
      <w:jc w:val="left"/>
    </w:pPr>
    <w:rPr>
      <w:rFonts w:cs="Arial"/>
      <w:b/>
      <w:snapToGrid w:val="0"/>
      <w:sz w:val="24"/>
      <w:szCs w:val="21"/>
    </w:rPr>
  </w:style>
  <w:style w:type="paragraph" w:customStyle="1" w:styleId="438">
    <w:name w:val="样式 样式2 + 左侧:  0 厘米 悬挂缩进: 2.62 字符"/>
    <w:basedOn w:val="1"/>
    <w:qFormat/>
    <w:uiPriority w:val="0"/>
    <w:pPr>
      <w:ind w:left="262" w:hanging="262"/>
      <w:jc w:val="left"/>
    </w:pPr>
    <w:rPr>
      <w:rFonts w:eastAsia="仿宋" w:cs="宋体"/>
      <w:kern w:val="1"/>
      <w:sz w:val="28"/>
    </w:rPr>
  </w:style>
  <w:style w:type="paragraph" w:customStyle="1" w:styleId="439">
    <w:name w:val="xl34"/>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Arial Unicode MS" w:hAnsi="Arial Unicode MS" w:cs="Arial Unicode MS"/>
      <w:sz w:val="22"/>
    </w:rPr>
  </w:style>
  <w:style w:type="paragraph" w:customStyle="1" w:styleId="440">
    <w:name w:val="标题5"/>
    <w:basedOn w:val="5"/>
    <w:qFormat/>
    <w:uiPriority w:val="0"/>
    <w:pPr>
      <w:spacing w:line="412" w:lineRule="auto"/>
      <w:ind w:firstLine="0"/>
    </w:pPr>
    <w:rPr>
      <w:rFonts w:ascii="Arial" w:hAnsi="Arial" w:eastAsia="Times New Roman"/>
      <w:b/>
      <w:bCs/>
      <w:sz w:val="24"/>
      <w:szCs w:val="32"/>
    </w:rPr>
  </w:style>
  <w:style w:type="paragraph" w:customStyle="1" w:styleId="441">
    <w:name w:val="&lt;=="/>
    <w:qFormat/>
    <w:uiPriority w:val="0"/>
    <w:rPr>
      <w:rFonts w:ascii="Times New Roman" w:hAnsi="Times New Roman" w:eastAsia="宋体" w:cs="Times New Roman"/>
      <w:color w:val="000000"/>
      <w:lang w:val="en-GB" w:eastAsia="zh-CN" w:bidi="ar-SA"/>
    </w:rPr>
  </w:style>
  <w:style w:type="paragraph" w:customStyle="1" w:styleId="442">
    <w:name w:val="font7"/>
    <w:basedOn w:val="1"/>
    <w:qFormat/>
    <w:uiPriority w:val="0"/>
    <w:pPr>
      <w:widowControl/>
      <w:spacing w:before="100" w:beforeAutospacing="1" w:after="100" w:afterAutospacing="1"/>
      <w:jc w:val="left"/>
    </w:pPr>
    <w:rPr>
      <w:rFonts w:cs="宋体"/>
      <w:color w:val="auto"/>
      <w:sz w:val="22"/>
      <w:szCs w:val="22"/>
    </w:rPr>
  </w:style>
  <w:style w:type="paragraph" w:customStyle="1" w:styleId="443">
    <w:name w:val="Char2"/>
    <w:basedOn w:val="1"/>
    <w:qFormat/>
    <w:uiPriority w:val="0"/>
    <w:rPr>
      <w:rFonts w:ascii="Tahoma" w:hAnsi="Tahoma" w:cs="Tahoma"/>
      <w:kern w:val="1"/>
      <w:sz w:val="24"/>
    </w:rPr>
  </w:style>
  <w:style w:type="paragraph" w:customStyle="1" w:styleId="444">
    <w:name w:val="样式 样式2 + 左侧: 0 厘米 悬挂缩进: 2.62 字符"/>
    <w:basedOn w:val="1"/>
    <w:qFormat/>
    <w:uiPriority w:val="0"/>
    <w:pPr>
      <w:ind w:left="262" w:hanging="262"/>
      <w:jc w:val="left"/>
    </w:pPr>
    <w:rPr>
      <w:rFonts w:eastAsia="仿宋"/>
      <w:kern w:val="1"/>
      <w:sz w:val="28"/>
      <w:szCs w:val="28"/>
    </w:rPr>
  </w:style>
  <w:style w:type="paragraph" w:customStyle="1" w:styleId="445">
    <w:name w:val="Char 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hint="eastAsia" w:ascii="Verdana" w:hAnsi="Verdana"/>
      <w:color w:val="auto"/>
      <w:sz w:val="28"/>
      <w:lang w:eastAsia="en-US"/>
    </w:rPr>
  </w:style>
  <w:style w:type="paragraph" w:customStyle="1" w:styleId="446">
    <w:name w:val="目录4"/>
    <w:basedOn w:val="1"/>
    <w:next w:val="1"/>
    <w:qFormat/>
    <w:uiPriority w:val="0"/>
    <w:pPr>
      <w:widowControl/>
      <w:tabs>
        <w:tab w:val="left" w:leader="dot" w:pos="8305"/>
      </w:tabs>
      <w:spacing w:line="317" w:lineRule="atLeast"/>
      <w:ind w:left="419" w:firstLine="629"/>
    </w:pPr>
  </w:style>
  <w:style w:type="paragraph" w:customStyle="1" w:styleId="447">
    <w:name w:val="样式 正文缩进正文（首行缩进两字）特点ALT+Z表正文正文非缩进四号段1Normal Indent Char2...2"/>
    <w:basedOn w:val="5"/>
    <w:qFormat/>
    <w:uiPriority w:val="0"/>
    <w:pPr>
      <w:numPr>
        <w:ilvl w:val="2"/>
        <w:numId w:val="1"/>
      </w:numPr>
      <w:spacing w:beforeLines="0"/>
      <w:ind w:firstLine="510"/>
      <w:jc w:val="center"/>
    </w:pPr>
    <w:rPr>
      <w:b/>
      <w:szCs w:val="20"/>
    </w:rPr>
  </w:style>
  <w:style w:type="paragraph" w:customStyle="1" w:styleId="448">
    <w:name w:val="Char Char Char Char Char Char Char Char Char Char"/>
    <w:basedOn w:val="1"/>
    <w:qFormat/>
    <w:uiPriority w:val="0"/>
    <w:rPr>
      <w:rFonts w:ascii="Tahoma" w:hAnsi="Tahoma" w:cs="Tahoma"/>
      <w:kern w:val="1"/>
      <w:sz w:val="24"/>
    </w:rPr>
  </w:style>
  <w:style w:type="paragraph" w:customStyle="1" w:styleId="449">
    <w:name w:val="Char Char Char Char Char Char Char Char Char Char2"/>
    <w:basedOn w:val="1"/>
    <w:qFormat/>
    <w:uiPriority w:val="0"/>
    <w:rPr>
      <w:rFonts w:ascii="Tahoma" w:hAnsi="Tahoma" w:cs="Tahoma"/>
      <w:kern w:val="1"/>
      <w:sz w:val="24"/>
    </w:rPr>
  </w:style>
  <w:style w:type="paragraph" w:customStyle="1" w:styleId="450">
    <w:name w:val="Char Char Char Char Char Char2"/>
    <w:basedOn w:val="1"/>
    <w:qFormat/>
    <w:uiPriority w:val="0"/>
    <w:pPr>
      <w:widowControl/>
      <w:spacing w:line="400" w:lineRule="exact"/>
      <w:jc w:val="center"/>
    </w:pPr>
    <w:rPr>
      <w:kern w:val="1"/>
    </w:rPr>
  </w:style>
  <w:style w:type="paragraph" w:customStyle="1" w:styleId="451">
    <w:name w:val="Char11"/>
    <w:basedOn w:val="1"/>
    <w:qFormat/>
    <w:uiPriority w:val="0"/>
    <w:pPr>
      <w:widowControl/>
      <w:spacing w:line="400" w:lineRule="exact"/>
      <w:jc w:val="center"/>
    </w:pPr>
    <w:rPr>
      <w:rFonts w:ascii="Verdana" w:hAnsi="Verdana" w:cs="Verdana"/>
      <w:lang w:eastAsia="en-US"/>
    </w:rPr>
  </w:style>
  <w:style w:type="paragraph" w:customStyle="1" w:styleId="452">
    <w:name w:val="Char22"/>
    <w:basedOn w:val="1"/>
    <w:qFormat/>
    <w:uiPriority w:val="0"/>
    <w:rPr>
      <w:rFonts w:ascii="Tahoma" w:hAnsi="Tahoma" w:cs="Tahoma"/>
      <w:kern w:val="1"/>
      <w:sz w:val="24"/>
    </w:rPr>
  </w:style>
  <w:style w:type="paragraph" w:customStyle="1" w:styleId="453">
    <w:name w:val="样式 正文缩进正文（首行缩进两字）特点ALT+Z表正文正文非缩进四号段1Normal Indent Char2...3"/>
    <w:basedOn w:val="6"/>
    <w:next w:val="7"/>
    <w:qFormat/>
    <w:uiPriority w:val="0"/>
    <w:pPr>
      <w:numPr>
        <w:ilvl w:val="3"/>
        <w:numId w:val="1"/>
      </w:numPr>
      <w:spacing w:line="360" w:lineRule="auto"/>
      <w:ind w:firstLine="510"/>
      <w:jc w:val="left"/>
    </w:pPr>
    <w:rPr>
      <w:rFonts w:ascii="宋体" w:hAnsi="宋体" w:eastAsia="宋体" w:cs="宋体"/>
      <w:sz w:val="24"/>
      <w:szCs w:val="20"/>
    </w:rPr>
  </w:style>
  <w:style w:type="paragraph" w:customStyle="1" w:styleId="454">
    <w:name w:val="目录2"/>
    <w:basedOn w:val="1"/>
    <w:next w:val="1"/>
    <w:qFormat/>
    <w:uiPriority w:val="0"/>
    <w:pPr>
      <w:widowControl/>
      <w:tabs>
        <w:tab w:val="left" w:leader="dot" w:pos="8305"/>
      </w:tabs>
      <w:spacing w:line="317" w:lineRule="atLeast"/>
      <w:ind w:left="419" w:firstLine="419"/>
    </w:pPr>
  </w:style>
  <w:style w:type="paragraph" w:customStyle="1" w:styleId="455">
    <w:name w:val="xl72"/>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cs="宋体"/>
      <w:sz w:val="20"/>
    </w:rPr>
  </w:style>
  <w:style w:type="paragraph" w:customStyle="1" w:styleId="456">
    <w:name w:val="Char1"/>
    <w:basedOn w:val="1"/>
    <w:qFormat/>
    <w:uiPriority w:val="0"/>
    <w:rPr>
      <w:rFonts w:ascii="仿宋_GB2312" w:hAnsi="仿宋_GB2312" w:eastAsia="仿宋"/>
      <w:b/>
      <w:kern w:val="1"/>
      <w:sz w:val="32"/>
      <w:szCs w:val="32"/>
    </w:rPr>
  </w:style>
  <w:style w:type="paragraph" w:customStyle="1" w:styleId="457">
    <w:name w:val="公文:3级标题"/>
    <w:basedOn w:val="1"/>
    <w:qFormat/>
    <w:uiPriority w:val="0"/>
    <w:pPr>
      <w:numPr>
        <w:ilvl w:val="0"/>
        <w:numId w:val="9"/>
      </w:numPr>
    </w:pPr>
    <w:rPr>
      <w:rFonts w:eastAsia="仿宋"/>
      <w:color w:val="auto"/>
      <w:kern w:val="2"/>
      <w:sz w:val="32"/>
    </w:rPr>
  </w:style>
  <w:style w:type="paragraph" w:customStyle="1" w:styleId="458">
    <w:name w:val="样式2"/>
    <w:basedOn w:val="5"/>
    <w:qFormat/>
    <w:uiPriority w:val="0"/>
    <w:rPr>
      <w:i/>
    </w:rPr>
  </w:style>
  <w:style w:type="paragraph" w:customStyle="1" w:styleId="459">
    <w:name w:val="目录"/>
    <w:basedOn w:val="1"/>
    <w:qFormat/>
    <w:uiPriority w:val="0"/>
    <w:pPr>
      <w:widowControl/>
      <w:jc w:val="center"/>
    </w:pPr>
    <w:rPr>
      <w:b/>
      <w:sz w:val="36"/>
    </w:rPr>
  </w:style>
  <w:style w:type="paragraph" w:customStyle="1" w:styleId="460">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宋体"/>
      <w:b/>
      <w:bCs/>
      <w:color w:val="auto"/>
      <w:szCs w:val="21"/>
    </w:rPr>
  </w:style>
  <w:style w:type="paragraph" w:customStyle="1" w:styleId="461">
    <w:name w:val="列表项目"/>
    <w:basedOn w:val="1"/>
    <w:qFormat/>
    <w:uiPriority w:val="0"/>
    <w:pPr>
      <w:numPr>
        <w:ilvl w:val="0"/>
        <w:numId w:val="10"/>
      </w:numPr>
      <w:tabs>
        <w:tab w:val="left" w:pos="420"/>
      </w:tabs>
      <w:spacing w:line="288" w:lineRule="auto"/>
      <w:ind w:left="840" w:hanging="1050"/>
    </w:pPr>
    <w:rPr>
      <w:kern w:val="1"/>
    </w:rPr>
  </w:style>
  <w:style w:type="paragraph" w:customStyle="1" w:styleId="462">
    <w:name w:val="Char1 Char Char"/>
    <w:basedOn w:val="1"/>
    <w:qFormat/>
    <w:uiPriority w:val="0"/>
    <w:pPr>
      <w:widowControl/>
      <w:spacing w:after="160" w:line="240" w:lineRule="exact"/>
      <w:jc w:val="left"/>
    </w:pPr>
    <w:rPr>
      <w:rFonts w:ascii="Verdana" w:hAnsi="Verdana" w:cs="Verdana"/>
      <w:sz w:val="20"/>
      <w:lang w:eastAsia="en-US"/>
    </w:rPr>
  </w:style>
  <w:style w:type="paragraph" w:customStyle="1" w:styleId="463">
    <w:name w:val="p26"/>
    <w:basedOn w:val="1"/>
    <w:qFormat/>
    <w:uiPriority w:val="0"/>
    <w:rPr>
      <w:color w:val="auto"/>
      <w:sz w:val="32"/>
      <w:szCs w:val="32"/>
    </w:rPr>
  </w:style>
  <w:style w:type="paragraph" w:customStyle="1" w:styleId="464">
    <w:name w:val="Char Char Char Char Char Char1 Char Char Char Char Char Char21"/>
    <w:basedOn w:val="1"/>
    <w:qFormat/>
    <w:uiPriority w:val="0"/>
    <w:pPr>
      <w:widowControl/>
      <w:numPr>
        <w:ilvl w:val="0"/>
        <w:numId w:val="11"/>
      </w:numPr>
      <w:tabs>
        <w:tab w:val="left" w:pos="902"/>
      </w:tabs>
      <w:spacing w:after="160" w:line="240" w:lineRule="exact"/>
      <w:jc w:val="left"/>
    </w:pPr>
    <w:rPr>
      <w:rFonts w:ascii="Verdana" w:hAnsi="Verdana" w:eastAsia="仿宋" w:cs="Verdana"/>
      <w:sz w:val="24"/>
      <w:lang w:eastAsia="en-US"/>
    </w:rPr>
  </w:style>
  <w:style w:type="paragraph" w:customStyle="1" w:styleId="465">
    <w:name w:val="正文21"/>
    <w:qFormat/>
    <w:uiPriority w:val="0"/>
    <w:pPr>
      <w:widowControl w:val="0"/>
      <w:spacing w:line="360" w:lineRule="atLeast"/>
    </w:pPr>
    <w:rPr>
      <w:rFonts w:ascii="宋体" w:hAnsi="宋体" w:eastAsia="宋体" w:cs="Times New Roman"/>
      <w:color w:val="000000"/>
      <w:sz w:val="28"/>
      <w:lang w:val="en-US" w:eastAsia="zh-CN" w:bidi="ar-SA"/>
    </w:rPr>
  </w:style>
  <w:style w:type="paragraph" w:customStyle="1" w:styleId="466">
    <w:name w:val="引用1"/>
    <w:basedOn w:val="1"/>
    <w:next w:val="1"/>
    <w:qFormat/>
    <w:uiPriority w:val="0"/>
    <w:rPr>
      <w:rFonts w:hint="eastAsia" w:eastAsia="Times New Roman"/>
      <w:i/>
      <w:iCs/>
      <w:kern w:val="2"/>
      <w:szCs w:val="22"/>
    </w:rPr>
  </w:style>
  <w:style w:type="paragraph" w:customStyle="1" w:styleId="467">
    <w:name w:val="目录3"/>
    <w:basedOn w:val="1"/>
    <w:next w:val="1"/>
    <w:qFormat/>
    <w:uiPriority w:val="0"/>
    <w:pPr>
      <w:widowControl/>
      <w:tabs>
        <w:tab w:val="left" w:leader="dot" w:pos="8305"/>
      </w:tabs>
      <w:spacing w:line="317" w:lineRule="atLeast"/>
      <w:ind w:left="419" w:firstLine="419"/>
    </w:pPr>
  </w:style>
  <w:style w:type="paragraph" w:customStyle="1" w:styleId="468">
    <w:name w:val="目录文字"/>
    <w:basedOn w:val="1"/>
    <w:qFormat/>
    <w:uiPriority w:val="0"/>
    <w:pPr>
      <w:widowControl/>
      <w:spacing w:line="480" w:lineRule="auto"/>
      <w:jc w:val="left"/>
    </w:pPr>
    <w:rPr>
      <w:rFonts w:cs="宋体"/>
      <w:sz w:val="24"/>
    </w:rPr>
  </w:style>
  <w:style w:type="paragraph" w:customStyle="1" w:styleId="469">
    <w:name w:val="公文:4级标题"/>
    <w:basedOn w:val="1"/>
    <w:qFormat/>
    <w:uiPriority w:val="0"/>
    <w:rPr>
      <w:rFonts w:eastAsia="仿宋"/>
      <w:color w:val="auto"/>
      <w:kern w:val="2"/>
      <w:sz w:val="32"/>
    </w:rPr>
  </w:style>
  <w:style w:type="paragraph" w:customStyle="1" w:styleId="470">
    <w:name w:val="font8"/>
    <w:basedOn w:val="1"/>
    <w:qFormat/>
    <w:uiPriority w:val="0"/>
    <w:pPr>
      <w:widowControl/>
      <w:spacing w:before="100" w:beforeAutospacing="1" w:after="100" w:afterAutospacing="1"/>
      <w:jc w:val="left"/>
    </w:pPr>
    <w:rPr>
      <w:rFonts w:cs="宋体"/>
      <w:color w:val="auto"/>
      <w:sz w:val="20"/>
    </w:rPr>
  </w:style>
  <w:style w:type="paragraph" w:customStyle="1" w:styleId="471">
    <w:name w:val="xl67"/>
    <w:basedOn w:val="1"/>
    <w:qFormat/>
    <w:uiPriority w:val="0"/>
    <w:pPr>
      <w:widowControl/>
      <w:spacing w:before="100" w:beforeAutospacing="1" w:after="100" w:afterAutospacing="1"/>
      <w:jc w:val="left"/>
    </w:pPr>
    <w:rPr>
      <w:rFonts w:cs="宋体"/>
      <w:sz w:val="24"/>
    </w:rPr>
  </w:style>
  <w:style w:type="paragraph" w:customStyle="1" w:styleId="472">
    <w:name w:val="_Style 2"/>
    <w:basedOn w:val="1"/>
    <w:qFormat/>
    <w:uiPriority w:val="0"/>
    <w:pPr>
      <w:widowControl/>
      <w:ind w:firstLine="420"/>
      <w:jc w:val="left"/>
    </w:pPr>
    <w:rPr>
      <w:rFonts w:ascii="Calibri" w:hAnsi="Calibri"/>
      <w:color w:val="auto"/>
      <w:kern w:val="2"/>
      <w:sz w:val="20"/>
      <w:szCs w:val="22"/>
      <w:lang w:val="zh-CN"/>
    </w:rPr>
  </w:style>
  <w:style w:type="paragraph" w:customStyle="1" w:styleId="473">
    <w:name w:val="字元 字元"/>
    <w:basedOn w:val="1"/>
    <w:qFormat/>
    <w:uiPriority w:val="99"/>
    <w:rPr>
      <w:rFonts w:hint="eastAsia"/>
      <w:color w:val="auto"/>
      <w:kern w:val="2"/>
    </w:rPr>
  </w:style>
  <w:style w:type="paragraph" w:customStyle="1" w:styleId="474">
    <w:name w:val="菲页1"/>
    <w:basedOn w:val="4"/>
    <w:qFormat/>
    <w:uiPriority w:val="0"/>
    <w:pPr>
      <w:keepNext w:val="0"/>
      <w:keepLines w:val="0"/>
      <w:pageBreakBefore/>
      <w:jc w:val="center"/>
    </w:pPr>
    <w:rPr>
      <w:rFonts w:eastAsia="方正姚体"/>
      <w:sz w:val="52"/>
      <w:szCs w:val="44"/>
    </w:rPr>
  </w:style>
  <w:style w:type="paragraph" w:customStyle="1" w:styleId="475">
    <w:name w:val="正文缩进2"/>
    <w:basedOn w:val="1"/>
    <w:qFormat/>
    <w:uiPriority w:val="0"/>
    <w:pPr>
      <w:adjustRightInd w:val="0"/>
      <w:spacing w:line="360" w:lineRule="atLeast"/>
      <w:ind w:firstLine="420"/>
    </w:pPr>
    <w:rPr>
      <w:rFonts w:hint="eastAsia"/>
      <w:color w:val="auto"/>
      <w:kern w:val="2"/>
    </w:rPr>
  </w:style>
  <w:style w:type="paragraph" w:customStyle="1" w:styleId="476">
    <w:name w:val="CM93"/>
    <w:basedOn w:val="328"/>
    <w:next w:val="328"/>
    <w:qFormat/>
    <w:uiPriority w:val="0"/>
    <w:pPr>
      <w:spacing w:after="628"/>
    </w:pPr>
    <w:rPr>
      <w:rFonts w:cs="Times New Roman"/>
      <w:szCs w:val="20"/>
    </w:rPr>
  </w:style>
  <w:style w:type="paragraph" w:customStyle="1" w:styleId="477">
    <w:name w:val="标书·节·二级"/>
    <w:basedOn w:val="5"/>
    <w:qFormat/>
    <w:uiPriority w:val="0"/>
    <w:pPr>
      <w:spacing w:beforeLines="0" w:line="240" w:lineRule="auto"/>
      <w:ind w:firstLine="0"/>
      <w:jc w:val="center"/>
    </w:pPr>
    <w:rPr>
      <w:rFonts w:ascii="Times New Roman" w:hAnsi="Times New Roman"/>
      <w:b/>
      <w:sz w:val="30"/>
      <w:szCs w:val="44"/>
    </w:rPr>
  </w:style>
  <w:style w:type="paragraph" w:customStyle="1" w:styleId="478">
    <w:name w:val="headin"/>
    <w:basedOn w:val="1"/>
    <w:next w:val="1"/>
    <w:qFormat/>
    <w:uiPriority w:val="0"/>
    <w:pPr>
      <w:tabs>
        <w:tab w:val="left" w:pos="720"/>
      </w:tabs>
      <w:spacing w:before="200" w:after="200" w:line="360" w:lineRule="auto"/>
      <w:ind w:left="720" w:hanging="720"/>
      <w:outlineLvl w:val="1"/>
    </w:pPr>
    <w:rPr>
      <w:rFonts w:ascii="Arial" w:hAnsi="Arial" w:cs="Arial"/>
      <w:b/>
      <w:kern w:val="1"/>
      <w:sz w:val="28"/>
      <w:szCs w:val="28"/>
    </w:rPr>
  </w:style>
  <w:style w:type="paragraph" w:customStyle="1" w:styleId="479">
    <w:name w:val="默认段落字体 Char"/>
    <w:basedOn w:val="1"/>
    <w:qFormat/>
    <w:uiPriority w:val="0"/>
    <w:rPr>
      <w:rFonts w:hint="eastAsia"/>
      <w:color w:val="auto"/>
      <w:kern w:val="2"/>
    </w:rPr>
  </w:style>
  <w:style w:type="paragraph" w:customStyle="1" w:styleId="480">
    <w:name w:val="Char4"/>
    <w:basedOn w:val="1"/>
    <w:qFormat/>
    <w:uiPriority w:val="0"/>
    <w:rPr>
      <w:rFonts w:ascii="Tahoma" w:hAnsi="Tahoma" w:cs="Tahoma"/>
      <w:kern w:val="1"/>
      <w:sz w:val="24"/>
    </w:rPr>
  </w:style>
  <w:style w:type="paragraph" w:customStyle="1" w:styleId="481">
    <w:name w:val="CM92"/>
    <w:basedOn w:val="328"/>
    <w:next w:val="328"/>
    <w:qFormat/>
    <w:uiPriority w:val="0"/>
    <w:pPr>
      <w:spacing w:after="530"/>
    </w:pPr>
    <w:rPr>
      <w:rFonts w:cs="Times New Roman"/>
    </w:rPr>
  </w:style>
  <w:style w:type="paragraph" w:customStyle="1" w:styleId="482">
    <w:name w:val="正文3"/>
    <w:qFormat/>
    <w:uiPriority w:val="0"/>
    <w:pPr>
      <w:widowControl w:val="0"/>
      <w:spacing w:line="360" w:lineRule="atLeast"/>
    </w:pPr>
    <w:rPr>
      <w:rFonts w:ascii="宋体" w:hAnsi="宋体" w:eastAsia="宋体" w:cs="Times New Roman"/>
      <w:color w:val="000000"/>
      <w:sz w:val="28"/>
      <w:lang w:val="en-US" w:eastAsia="zh-CN" w:bidi="ar-SA"/>
    </w:rPr>
  </w:style>
  <w:style w:type="paragraph" w:customStyle="1" w:styleId="483">
    <w:name w:val="项目排列"/>
    <w:basedOn w:val="1"/>
    <w:qFormat/>
    <w:uiPriority w:val="0"/>
    <w:pPr>
      <w:numPr>
        <w:ilvl w:val="0"/>
        <w:numId w:val="12"/>
      </w:numPr>
      <w:tabs>
        <w:tab w:val="left" w:pos="3880"/>
      </w:tabs>
      <w:spacing w:before="156" w:after="156" w:line="300" w:lineRule="auto"/>
      <w:ind w:left="350" w:hanging="150"/>
    </w:pPr>
    <w:rPr>
      <w:kern w:val="1"/>
      <w:sz w:val="24"/>
    </w:rPr>
  </w:style>
  <w:style w:type="paragraph" w:customStyle="1" w:styleId="484">
    <w:name w:val="ptdl"/>
    <w:basedOn w:val="1"/>
    <w:qFormat/>
    <w:uiPriority w:val="0"/>
    <w:pPr>
      <w:numPr>
        <w:ilvl w:val="0"/>
        <w:numId w:val="13"/>
      </w:numPr>
      <w:spacing w:after="156"/>
      <w:ind w:firstLine="480"/>
    </w:pPr>
    <w:rPr>
      <w:kern w:val="1"/>
      <w:sz w:val="24"/>
    </w:rPr>
  </w:style>
  <w:style w:type="paragraph" w:customStyle="1" w:styleId="485">
    <w:name w:val="正文段"/>
    <w:basedOn w:val="1"/>
    <w:qFormat/>
    <w:uiPriority w:val="0"/>
    <w:pPr>
      <w:widowControl/>
      <w:spacing w:after="240" w:line="240" w:lineRule="atLeast"/>
      <w:ind w:firstLine="425"/>
    </w:pPr>
    <w:rPr>
      <w:sz w:val="24"/>
    </w:rPr>
  </w:style>
  <w:style w:type="paragraph" w:customStyle="1" w:styleId="486">
    <w:name w:val="修订1"/>
    <w:qFormat/>
    <w:uiPriority w:val="0"/>
    <w:rPr>
      <w:rFonts w:ascii="Times New Roman" w:hAnsi="Times New Roman" w:eastAsia="宋体" w:cs="Calibri"/>
      <w:color w:val="000000"/>
      <w:kern w:val="1"/>
      <w:sz w:val="21"/>
      <w:szCs w:val="22"/>
      <w:lang w:val="en-US" w:eastAsia="zh-CN" w:bidi="ar-SA"/>
    </w:rPr>
  </w:style>
  <w:style w:type="paragraph" w:customStyle="1" w:styleId="487">
    <w:name w:val="明显引用1"/>
    <w:basedOn w:val="1"/>
    <w:next w:val="1"/>
    <w:qFormat/>
    <w:uiPriority w:val="0"/>
    <w:pPr>
      <w:pBdr>
        <w:bottom w:val="single" w:color="4F81BD" w:sz="4" w:space="4"/>
      </w:pBdr>
      <w:spacing w:before="200" w:after="280"/>
      <w:ind w:left="936" w:right="936"/>
    </w:pPr>
    <w:rPr>
      <w:rFonts w:hint="eastAsia" w:eastAsia="Times New Roman"/>
      <w:b/>
      <w:bCs/>
      <w:i/>
      <w:iCs/>
      <w:color w:val="4F81BD"/>
      <w:kern w:val="2"/>
      <w:szCs w:val="22"/>
    </w:rPr>
  </w:style>
  <w:style w:type="paragraph" w:customStyle="1" w:styleId="488">
    <w:name w:val="_Style 282"/>
    <w:basedOn w:val="1"/>
    <w:next w:val="174"/>
    <w:qFormat/>
    <w:uiPriority w:val="34"/>
    <w:pPr>
      <w:ind w:firstLine="420" w:firstLineChars="200"/>
    </w:pPr>
    <w:rPr>
      <w:rFonts w:ascii="Calibri" w:hAnsi="Calibri"/>
      <w:color w:val="auto"/>
      <w:kern w:val="2"/>
      <w:szCs w:val="22"/>
    </w:rPr>
  </w:style>
  <w:style w:type="paragraph" w:customStyle="1" w:styleId="489">
    <w:name w:val="Char"/>
    <w:basedOn w:val="1"/>
    <w:qFormat/>
    <w:uiPriority w:val="0"/>
    <w:rPr>
      <w:kern w:val="1"/>
    </w:rPr>
  </w:style>
  <w:style w:type="paragraph" w:customStyle="1" w:styleId="490">
    <w:name w:val="Char21"/>
    <w:basedOn w:val="1"/>
    <w:qFormat/>
    <w:uiPriority w:val="0"/>
    <w:rPr>
      <w:rFonts w:ascii="Tahoma" w:hAnsi="Tahoma" w:cs="Tahoma"/>
      <w:kern w:val="1"/>
      <w:sz w:val="24"/>
    </w:rPr>
  </w:style>
  <w:style w:type="paragraph" w:customStyle="1" w:styleId="491">
    <w:name w:val="xl83"/>
    <w:basedOn w:val="1"/>
    <w:qFormat/>
    <w:uiPriority w:val="0"/>
    <w:pPr>
      <w:widowControl/>
      <w:pBdr>
        <w:top w:val="single" w:color="000000" w:sz="4" w:space="0"/>
        <w:left w:val="single" w:color="000000" w:sz="4" w:space="0"/>
        <w:bottom w:val="single" w:color="000000" w:sz="4" w:space="0"/>
      </w:pBdr>
      <w:spacing w:before="100" w:beforeAutospacing="1" w:after="100" w:afterAutospacing="1"/>
      <w:jc w:val="center"/>
    </w:pPr>
    <w:rPr>
      <w:rFonts w:cs="宋体"/>
      <w:b/>
      <w:sz w:val="20"/>
    </w:rPr>
  </w:style>
  <w:style w:type="paragraph" w:customStyle="1" w:styleId="492">
    <w:name w:val="xl76"/>
    <w:basedOn w:val="1"/>
    <w:qFormat/>
    <w:uiPriority w:val="0"/>
    <w:pPr>
      <w:widowControl/>
      <w:pBdr>
        <w:top w:val="single" w:color="000000" w:sz="4" w:space="0"/>
        <w:left w:val="single" w:color="000000" w:sz="4" w:space="0"/>
        <w:bottom w:val="single" w:color="000000" w:sz="4" w:space="0"/>
        <w:right w:val="single" w:color="000000" w:sz="4" w:space="0"/>
      </w:pBdr>
      <w:shd w:val="clear" w:color="000000" w:fill="FFFF00"/>
      <w:spacing w:before="100" w:beforeAutospacing="1" w:after="100" w:afterAutospacing="1"/>
      <w:jc w:val="center"/>
    </w:pPr>
    <w:rPr>
      <w:rFonts w:cs="宋体"/>
      <w:sz w:val="20"/>
    </w:rPr>
  </w:style>
  <w:style w:type="paragraph" w:customStyle="1" w:styleId="493">
    <w:name w:val="方案标题4"/>
    <w:basedOn w:val="6"/>
    <w:qFormat/>
    <w:uiPriority w:val="99"/>
    <w:pPr>
      <w:keepNext w:val="0"/>
      <w:keepLines w:val="0"/>
      <w:numPr>
        <w:ilvl w:val="3"/>
        <w:numId w:val="8"/>
      </w:numPr>
      <w:tabs>
        <w:tab w:val="left" w:pos="1920"/>
      </w:tabs>
      <w:adjustRightInd w:val="0"/>
      <w:spacing w:beforeLines="50" w:afterLines="50" w:line="360" w:lineRule="auto"/>
      <w:ind w:left="1920"/>
      <w:jc w:val="left"/>
    </w:pPr>
    <w:rPr>
      <w:rFonts w:eastAsia="宋体"/>
      <w:b w:val="0"/>
      <w:color w:val="auto"/>
      <w:spacing w:val="14"/>
      <w:sz w:val="24"/>
    </w:rPr>
  </w:style>
  <w:style w:type="paragraph" w:customStyle="1" w:styleId="494">
    <w:name w:val="xl26"/>
    <w:basedOn w:val="1"/>
    <w:qFormat/>
    <w:uiPriority w:val="0"/>
    <w:pPr>
      <w:widowControl/>
      <w:pBdr>
        <w:left w:val="single" w:color="000000" w:sz="4" w:space="0"/>
        <w:right w:val="single" w:color="000000" w:sz="4" w:space="0"/>
      </w:pBdr>
      <w:spacing w:before="100" w:beforeAutospacing="1" w:after="100" w:afterAutospacing="1"/>
      <w:jc w:val="center"/>
    </w:pPr>
    <w:rPr>
      <w:rFonts w:cs="宋体"/>
      <w:sz w:val="24"/>
    </w:rPr>
  </w:style>
  <w:style w:type="paragraph" w:customStyle="1" w:styleId="495">
    <w:name w:val="样式 标题 1 + 宋体 居中 段前: 48 磅 段后: 12 磅 行距: 1.5 倍行距"/>
    <w:basedOn w:val="3"/>
    <w:qFormat/>
    <w:uiPriority w:val="0"/>
    <w:pPr>
      <w:spacing w:before="1560" w:after="240" w:line="360" w:lineRule="auto"/>
      <w:jc w:val="center"/>
    </w:pPr>
    <w:rPr>
      <w:rFonts w:ascii="宋体" w:hAnsi="宋体" w:cs="宋体"/>
      <w:kern w:val="1"/>
      <w:szCs w:val="20"/>
    </w:rPr>
  </w:style>
  <w:style w:type="paragraph" w:customStyle="1" w:styleId="496">
    <w:name w:val="xl81"/>
    <w:basedOn w:val="1"/>
    <w:qFormat/>
    <w:uiPriority w:val="0"/>
    <w:pPr>
      <w:widowControl/>
      <w:pBdr>
        <w:top w:val="single" w:color="000000" w:sz="4" w:space="0"/>
        <w:left w:val="single" w:color="000000" w:sz="4" w:space="0"/>
        <w:bottom w:val="single" w:color="000000" w:sz="4" w:space="0"/>
        <w:right w:val="single" w:color="000000" w:sz="4" w:space="0"/>
      </w:pBdr>
      <w:shd w:val="clear" w:color="000000" w:fill="FFFF00"/>
      <w:spacing w:before="100" w:beforeAutospacing="1" w:after="100" w:afterAutospacing="1"/>
      <w:jc w:val="center"/>
    </w:pPr>
    <w:rPr>
      <w:rFonts w:cs="宋体"/>
      <w:sz w:val="20"/>
    </w:rPr>
  </w:style>
  <w:style w:type="paragraph" w:customStyle="1" w:styleId="497">
    <w:name w:val="Fließtext"/>
    <w:basedOn w:val="1"/>
    <w:qFormat/>
    <w:uiPriority w:val="0"/>
    <w:pPr>
      <w:overflowPunct w:val="0"/>
      <w:autoSpaceDE w:val="0"/>
      <w:autoSpaceDN w:val="0"/>
      <w:adjustRightInd w:val="0"/>
      <w:textAlignment w:val="baseline"/>
    </w:pPr>
    <w:rPr>
      <w:color w:val="auto"/>
      <w:kern w:val="28"/>
    </w:rPr>
  </w:style>
  <w:style w:type="paragraph" w:customStyle="1" w:styleId="498">
    <w:name w:val="Char1 Char Char Char Char Char Char Char Char Char1 Char1"/>
    <w:basedOn w:val="1"/>
    <w:qFormat/>
    <w:uiPriority w:val="0"/>
    <w:rPr>
      <w:rFonts w:ascii="Tahoma" w:hAnsi="Tahoma" w:cs="Tahoma"/>
      <w:kern w:val="1"/>
      <w:sz w:val="24"/>
    </w:rPr>
  </w:style>
  <w:style w:type="paragraph" w:customStyle="1" w:styleId="499">
    <w:name w:val="样式 正文缩进正文（首行缩进两字）特点ALT+Z表正文正文非缩进四号段1Normal Indent Char2...1"/>
    <w:basedOn w:val="4"/>
    <w:qFormat/>
    <w:uiPriority w:val="0"/>
    <w:pPr>
      <w:spacing w:beforeLines="0" w:line="300" w:lineRule="auto"/>
      <w:jc w:val="center"/>
    </w:pPr>
    <w:rPr>
      <w:szCs w:val="20"/>
    </w:rPr>
  </w:style>
  <w:style w:type="paragraph" w:customStyle="1" w:styleId="500">
    <w:name w:val="Char Char1 Char Char Char"/>
    <w:basedOn w:val="1"/>
    <w:qFormat/>
    <w:uiPriority w:val="0"/>
    <w:rPr>
      <w:sz w:val="20"/>
    </w:rPr>
  </w:style>
  <w:style w:type="paragraph" w:customStyle="1" w:styleId="501">
    <w:name w:val=":)"/>
    <w:qFormat/>
    <w:uiPriority w:val="0"/>
    <w:rPr>
      <w:rFonts w:ascii="Times New Roman" w:hAnsi="Times New Roman" w:eastAsia="宋体" w:cs="Times New Roman"/>
      <w:color w:val="000000"/>
      <w:lang w:val="en-GB" w:eastAsia="zh-CN" w:bidi="ar-SA"/>
    </w:rPr>
  </w:style>
  <w:style w:type="paragraph" w:customStyle="1" w:styleId="502">
    <w:name w:val="明显引用2"/>
    <w:basedOn w:val="1"/>
    <w:next w:val="1"/>
    <w:qFormat/>
    <w:uiPriority w:val="0"/>
    <w:pPr>
      <w:pBdr>
        <w:bottom w:val="single" w:color="4F81BD" w:sz="4" w:space="4"/>
      </w:pBdr>
      <w:spacing w:before="200" w:after="280"/>
      <w:ind w:left="936" w:right="936"/>
    </w:pPr>
    <w:rPr>
      <w:rFonts w:hint="eastAsia" w:eastAsia="Times New Roman"/>
      <w:b/>
      <w:bCs/>
      <w:i/>
      <w:iCs/>
      <w:color w:val="4F81BD"/>
      <w:kern w:val="2"/>
      <w:szCs w:val="22"/>
    </w:rPr>
  </w:style>
  <w:style w:type="paragraph" w:customStyle="1" w:styleId="503">
    <w:name w:val="普通 (Web)"/>
    <w:basedOn w:val="1"/>
    <w:qFormat/>
    <w:uiPriority w:val="0"/>
    <w:pPr>
      <w:widowControl/>
      <w:spacing w:before="100" w:beforeAutospacing="1" w:after="100" w:afterAutospacing="1"/>
      <w:jc w:val="left"/>
      <w:textAlignment w:val="baseline"/>
    </w:pPr>
    <w:rPr>
      <w:rFonts w:hint="eastAsia" w:ascii="Arial Unicode MS" w:hAnsi="Arial Unicode MS" w:eastAsia="Arial Unicode MS"/>
      <w:color w:val="auto"/>
      <w:sz w:val="24"/>
      <w:szCs w:val="22"/>
    </w:rPr>
  </w:style>
  <w:style w:type="paragraph" w:customStyle="1" w:styleId="504">
    <w:name w:val="Char3"/>
    <w:basedOn w:val="1"/>
    <w:qFormat/>
    <w:uiPriority w:val="0"/>
    <w:rPr>
      <w:rFonts w:ascii="Tahoma" w:hAnsi="Tahoma" w:cs="Tahoma"/>
      <w:kern w:val="1"/>
      <w:sz w:val="24"/>
    </w:rPr>
  </w:style>
  <w:style w:type="paragraph" w:customStyle="1" w:styleId="505">
    <w:name w:val="_Style 1"/>
    <w:basedOn w:val="1"/>
    <w:qFormat/>
    <w:uiPriority w:val="34"/>
    <w:pPr>
      <w:widowControl/>
      <w:ind w:firstLine="420"/>
      <w:jc w:val="left"/>
    </w:pPr>
    <w:rPr>
      <w:rFonts w:ascii="Calibri" w:hAnsi="Calibri"/>
      <w:color w:val="auto"/>
      <w:kern w:val="2"/>
      <w:sz w:val="20"/>
      <w:szCs w:val="22"/>
      <w:lang w:val="zh-CN"/>
    </w:rPr>
  </w:style>
  <w:style w:type="paragraph" w:customStyle="1" w:styleId="506">
    <w:name w:val=":-("/>
    <w:qFormat/>
    <w:uiPriority w:val="0"/>
    <w:rPr>
      <w:rFonts w:ascii="Times New Roman" w:hAnsi="Times New Roman" w:eastAsia="宋体" w:cs="Times New Roman"/>
      <w:color w:val="000000"/>
      <w:lang w:val="en-GB" w:eastAsia="zh-CN" w:bidi="ar-SA"/>
    </w:rPr>
  </w:style>
  <w:style w:type="paragraph" w:customStyle="1" w:styleId="507">
    <w:name w:val="Char1 Char Char Char Char Char Char Char Char Char1 Char11"/>
    <w:basedOn w:val="1"/>
    <w:qFormat/>
    <w:uiPriority w:val="0"/>
    <w:rPr>
      <w:rFonts w:ascii="Tahoma" w:hAnsi="Tahoma" w:cs="Tahoma"/>
      <w:kern w:val="1"/>
      <w:sz w:val="24"/>
    </w:rPr>
  </w:style>
  <w:style w:type="paragraph" w:customStyle="1" w:styleId="508">
    <w:name w:val="正文11"/>
    <w:basedOn w:val="1"/>
    <w:next w:val="1"/>
    <w:qFormat/>
    <w:uiPriority w:val="0"/>
    <w:pPr>
      <w:spacing w:line="312" w:lineRule="atLeast"/>
    </w:pPr>
  </w:style>
  <w:style w:type="paragraph" w:customStyle="1" w:styleId="509">
    <w:name w:val="xl71"/>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cs="宋体"/>
      <w:sz w:val="20"/>
    </w:rPr>
  </w:style>
  <w:style w:type="paragraph" w:customStyle="1" w:styleId="510">
    <w:name w:val="CM98"/>
    <w:basedOn w:val="328"/>
    <w:next w:val="328"/>
    <w:qFormat/>
    <w:uiPriority w:val="0"/>
    <w:pPr>
      <w:spacing w:after="570"/>
    </w:pPr>
    <w:rPr>
      <w:rFonts w:cs="Times New Roman"/>
      <w:szCs w:val="20"/>
    </w:rPr>
  </w:style>
  <w:style w:type="paragraph" w:customStyle="1" w:styleId="511">
    <w:name w:val="样式3"/>
    <w:basedOn w:val="32"/>
    <w:qFormat/>
    <w:uiPriority w:val="0"/>
    <w:pPr>
      <w:spacing w:line="0" w:lineRule="atLeast"/>
      <w:outlineLvl w:val="0"/>
    </w:pPr>
    <w:rPr>
      <w:sz w:val="28"/>
    </w:rPr>
  </w:style>
  <w:style w:type="paragraph" w:customStyle="1" w:styleId="512">
    <w:name w:val="默认段落字体 Para Char Char Char Char Char Char Char"/>
    <w:basedOn w:val="1"/>
    <w:qFormat/>
    <w:uiPriority w:val="0"/>
    <w:pPr>
      <w:spacing w:line="436" w:lineRule="exact"/>
      <w:jc w:val="left"/>
      <w:outlineLvl w:val="3"/>
    </w:pPr>
    <w:rPr>
      <w:rFonts w:ascii="Tahoma" w:hAnsi="Tahoma" w:cs="Tahoma"/>
      <w:b/>
      <w:kern w:val="1"/>
      <w:sz w:val="24"/>
    </w:rPr>
  </w:style>
  <w:style w:type="paragraph" w:customStyle="1" w:styleId="513">
    <w:name w:val="xl82"/>
    <w:basedOn w:val="1"/>
    <w:qFormat/>
    <w:uiPriority w:val="0"/>
    <w:pPr>
      <w:widowControl/>
      <w:spacing w:before="100" w:beforeAutospacing="1" w:after="100" w:afterAutospacing="1"/>
      <w:jc w:val="left"/>
    </w:pPr>
    <w:rPr>
      <w:rFonts w:cs="宋体"/>
      <w:sz w:val="20"/>
    </w:rPr>
  </w:style>
  <w:style w:type="paragraph" w:customStyle="1" w:styleId="514">
    <w:name w:val="Char Char Char Char Char Char Char Char Char Char1"/>
    <w:basedOn w:val="1"/>
    <w:qFormat/>
    <w:uiPriority w:val="99"/>
    <w:rPr>
      <w:rFonts w:ascii="Tahoma" w:hAnsi="Tahoma" w:cs="Tahoma"/>
      <w:kern w:val="1"/>
      <w:sz w:val="24"/>
    </w:rPr>
  </w:style>
  <w:style w:type="paragraph" w:customStyle="1" w:styleId="515">
    <w:name w:val="TOC 标题11"/>
    <w:basedOn w:val="3"/>
    <w:next w:val="1"/>
    <w:qFormat/>
    <w:uiPriority w:val="27"/>
    <w:pPr>
      <w:tabs>
        <w:tab w:val="left" w:pos="1440"/>
      </w:tabs>
      <w:outlineLvl w:val="9"/>
    </w:pPr>
    <w:rPr>
      <w:rFonts w:ascii="Calibri" w:hAnsi="Calibri"/>
      <w:bCs/>
      <w:color w:val="auto"/>
      <w:kern w:val="44"/>
    </w:rPr>
  </w:style>
  <w:style w:type="paragraph" w:customStyle="1" w:styleId="516">
    <w:name w:val="CM102"/>
    <w:basedOn w:val="328"/>
    <w:next w:val="328"/>
    <w:qFormat/>
    <w:uiPriority w:val="0"/>
    <w:pPr>
      <w:spacing w:after="878"/>
    </w:pPr>
    <w:rPr>
      <w:rFonts w:cs="Times New Roman"/>
      <w:szCs w:val="20"/>
    </w:rPr>
  </w:style>
  <w:style w:type="paragraph" w:customStyle="1" w:styleId="517">
    <w:name w:val="Char Char Char Char Char Char Char Char Char1 Char1"/>
    <w:basedOn w:val="1"/>
    <w:qFormat/>
    <w:uiPriority w:val="0"/>
    <w:pPr>
      <w:spacing w:line="360" w:lineRule="auto"/>
      <w:ind w:firstLine="200" w:firstLineChars="200"/>
    </w:pPr>
    <w:rPr>
      <w:rFonts w:hint="eastAsia" w:cs="宋体"/>
      <w:color w:val="auto"/>
      <w:kern w:val="2"/>
      <w:sz w:val="24"/>
    </w:rPr>
  </w:style>
  <w:style w:type="paragraph" w:customStyle="1" w:styleId="518">
    <w:name w:val="明显引用11"/>
    <w:basedOn w:val="1"/>
    <w:next w:val="1"/>
    <w:qFormat/>
    <w:uiPriority w:val="0"/>
    <w:pPr>
      <w:pBdr>
        <w:bottom w:val="single" w:color="4F81BD" w:sz="4" w:space="4"/>
      </w:pBdr>
      <w:spacing w:before="200" w:after="280"/>
      <w:ind w:left="936" w:right="936"/>
    </w:pPr>
    <w:rPr>
      <w:rFonts w:hint="eastAsia" w:eastAsia="Times New Roman"/>
      <w:b/>
      <w:bCs/>
      <w:i/>
      <w:iCs/>
      <w:color w:val="4F81BD"/>
      <w:kern w:val="2"/>
      <w:szCs w:val="22"/>
    </w:rPr>
  </w:style>
  <w:style w:type="paragraph" w:customStyle="1" w:styleId="519">
    <w:name w:val="d"/>
    <w:basedOn w:val="1"/>
    <w:qFormat/>
    <w:uiPriority w:val="0"/>
    <w:pPr>
      <w:spacing w:after="120" w:line="400" w:lineRule="exact"/>
      <w:ind w:firstLine="200" w:firstLineChars="200"/>
    </w:pPr>
    <w:rPr>
      <w:rFonts w:hint="eastAsia"/>
      <w:color w:val="auto"/>
      <w:kern w:val="2"/>
      <w:sz w:val="28"/>
      <w:szCs w:val="28"/>
    </w:rPr>
  </w:style>
  <w:style w:type="paragraph" w:customStyle="1" w:styleId="520">
    <w:name w:val="ggbody"/>
    <w:qFormat/>
    <w:uiPriority w:val="99"/>
    <w:pPr>
      <w:spacing w:before="100" w:beforeAutospacing="1" w:after="100" w:afterAutospacing="1" w:line="400" w:lineRule="atLeast"/>
    </w:pPr>
    <w:rPr>
      <w:rFonts w:ascii="_x000B__x000C_" w:hAnsi="_x000B__x000C_" w:eastAsia="宋体" w:cs="_x000B__x000C_"/>
      <w:color w:val="000000"/>
      <w:sz w:val="21"/>
      <w:szCs w:val="21"/>
      <w:lang w:val="en-US" w:eastAsia="zh-CN" w:bidi="ar-SA"/>
    </w:rPr>
  </w:style>
  <w:style w:type="paragraph" w:customStyle="1" w:styleId="521">
    <w:name w:val="xl73"/>
    <w:basedOn w:val="1"/>
    <w:qFormat/>
    <w:uiPriority w:val="0"/>
    <w:pPr>
      <w:widowControl/>
      <w:pBdr>
        <w:top w:val="single" w:color="000000" w:sz="4" w:space="0"/>
        <w:left w:val="single" w:color="000000" w:sz="4" w:space="0"/>
        <w:bottom w:val="single" w:color="000000" w:sz="4" w:space="0"/>
        <w:right w:val="single" w:color="000000" w:sz="4" w:space="0"/>
      </w:pBdr>
      <w:shd w:val="clear" w:color="000000" w:fill="FFFF99"/>
      <w:spacing w:before="100" w:beforeAutospacing="1" w:after="100" w:afterAutospacing="1"/>
      <w:jc w:val="center"/>
    </w:pPr>
    <w:rPr>
      <w:rFonts w:cs="宋体"/>
      <w:sz w:val="20"/>
    </w:rPr>
  </w:style>
  <w:style w:type="paragraph" w:customStyle="1" w:styleId="522">
    <w:name w:val="CM44"/>
    <w:next w:val="34"/>
    <w:qFormat/>
    <w:uiPriority w:val="0"/>
    <w:pPr>
      <w:widowControl w:val="0"/>
      <w:autoSpaceDE w:val="0"/>
      <w:autoSpaceDN w:val="0"/>
      <w:adjustRightInd w:val="0"/>
      <w:spacing w:line="440" w:lineRule="atLeast"/>
    </w:pPr>
    <w:rPr>
      <w:rFonts w:ascii="宋体" w:hAnsi="Times New Roman" w:eastAsia="宋体" w:cs="Times New Roman"/>
      <w:sz w:val="24"/>
      <w:szCs w:val="24"/>
      <w:lang w:val="en-US" w:eastAsia="zh-CN" w:bidi="ar-SA"/>
    </w:rPr>
  </w:style>
  <w:style w:type="paragraph" w:customStyle="1" w:styleId="523">
    <w:name w:val=":("/>
    <w:qFormat/>
    <w:uiPriority w:val="0"/>
    <w:rPr>
      <w:rFonts w:ascii="Times New Roman" w:hAnsi="Times New Roman" w:eastAsia="宋体" w:cs="Times New Roman"/>
      <w:color w:val="000000"/>
      <w:lang w:val="en-GB" w:eastAsia="zh-CN" w:bidi="ar-SA"/>
    </w:rPr>
  </w:style>
  <w:style w:type="paragraph" w:customStyle="1" w:styleId="524">
    <w:name w:val="纯文本1"/>
    <w:basedOn w:val="1"/>
    <w:qFormat/>
    <w:uiPriority w:val="0"/>
    <w:pPr>
      <w:widowControl/>
      <w:spacing w:line="351" w:lineRule="atLeast"/>
      <w:ind w:firstLine="419"/>
    </w:pPr>
    <w:rPr>
      <w:sz w:val="22"/>
    </w:rPr>
  </w:style>
  <w:style w:type="paragraph" w:customStyle="1" w:styleId="525">
    <w:name w:val="普通(网站)2"/>
    <w:basedOn w:val="1"/>
    <w:qFormat/>
    <w:uiPriority w:val="0"/>
    <w:pPr>
      <w:widowControl/>
      <w:spacing w:before="100" w:beforeAutospacing="1" w:after="100" w:afterAutospacing="1"/>
      <w:jc w:val="left"/>
    </w:pPr>
    <w:rPr>
      <w:color w:val="auto"/>
      <w:kern w:val="2"/>
      <w:sz w:val="24"/>
    </w:rPr>
  </w:style>
  <w:style w:type="paragraph" w:customStyle="1" w:styleId="526">
    <w:name w:val="Char Char1 Char Char Char3"/>
    <w:basedOn w:val="1"/>
    <w:qFormat/>
    <w:uiPriority w:val="0"/>
    <w:rPr>
      <w:sz w:val="20"/>
    </w:rPr>
  </w:style>
  <w:style w:type="paragraph" w:customStyle="1" w:styleId="527">
    <w:name w:val="&lt;--"/>
    <w:qFormat/>
    <w:uiPriority w:val="0"/>
    <w:rPr>
      <w:rFonts w:ascii="Times New Roman" w:hAnsi="Times New Roman" w:eastAsia="宋体" w:cs="Times New Roman"/>
      <w:color w:val="000000"/>
      <w:lang w:val="en-GB" w:eastAsia="zh-CN" w:bidi="ar-SA"/>
    </w:rPr>
  </w:style>
  <w:style w:type="paragraph" w:customStyle="1" w:styleId="528">
    <w:name w:val="xl86"/>
    <w:basedOn w:val="1"/>
    <w:qFormat/>
    <w:uiPriority w:val="0"/>
    <w:pPr>
      <w:widowControl/>
      <w:pBdr>
        <w:top w:val="single" w:color="000000" w:sz="4" w:space="0"/>
        <w:left w:val="single" w:color="000000" w:sz="4" w:space="0"/>
        <w:bottom w:val="single" w:color="000000" w:sz="4" w:space="0"/>
      </w:pBdr>
      <w:spacing w:before="100" w:beforeAutospacing="1" w:after="100" w:afterAutospacing="1"/>
      <w:jc w:val="center"/>
    </w:pPr>
    <w:rPr>
      <w:rFonts w:cs="宋体"/>
      <w:sz w:val="20"/>
    </w:rPr>
  </w:style>
  <w:style w:type="paragraph" w:customStyle="1" w:styleId="529">
    <w:name w:val="Char Char Char Char2"/>
    <w:basedOn w:val="1"/>
    <w:qFormat/>
    <w:uiPriority w:val="0"/>
    <w:rPr>
      <w:rFonts w:ascii="Tahoma" w:hAnsi="Tahoma" w:cs="Tahoma"/>
      <w:kern w:val="1"/>
      <w:sz w:val="24"/>
    </w:rPr>
  </w:style>
  <w:style w:type="paragraph" w:customStyle="1" w:styleId="530">
    <w:name w:val="CM101"/>
    <w:basedOn w:val="328"/>
    <w:next w:val="328"/>
    <w:qFormat/>
    <w:uiPriority w:val="0"/>
    <w:pPr>
      <w:spacing w:after="800"/>
    </w:pPr>
    <w:rPr>
      <w:rFonts w:cs="Times New Roman"/>
    </w:rPr>
  </w:style>
  <w:style w:type="paragraph" w:customStyle="1" w:styleId="531">
    <w:name w:val="目录 51"/>
    <w:basedOn w:val="1"/>
    <w:next w:val="1"/>
    <w:qFormat/>
    <w:uiPriority w:val="39"/>
    <w:pPr>
      <w:spacing w:line="360" w:lineRule="auto"/>
      <w:ind w:left="150" w:leftChars="150"/>
    </w:pPr>
    <w:rPr>
      <w:color w:val="auto"/>
      <w:kern w:val="2"/>
      <w:sz w:val="24"/>
    </w:rPr>
  </w:style>
  <w:style w:type="paragraph" w:customStyle="1" w:styleId="532">
    <w:name w:val="样式 段前: 7.8 磅 段后: 7.8 磅 行距: 固定值 35 磅1"/>
    <w:basedOn w:val="1"/>
    <w:qFormat/>
    <w:uiPriority w:val="0"/>
    <w:pPr>
      <w:spacing w:before="156" w:after="156" w:line="700" w:lineRule="exact"/>
    </w:pPr>
    <w:rPr>
      <w:rFonts w:cs="宋体"/>
      <w:color w:val="auto"/>
      <w:kern w:val="2"/>
    </w:rPr>
  </w:style>
  <w:style w:type="paragraph" w:customStyle="1" w:styleId="533">
    <w:name w:val="公文:小标宋标题"/>
    <w:basedOn w:val="1"/>
    <w:qFormat/>
    <w:uiPriority w:val="0"/>
    <w:pPr>
      <w:jc w:val="center"/>
    </w:pPr>
    <w:rPr>
      <w:rFonts w:eastAsia="方正小标宋_GBK"/>
      <w:color w:val="auto"/>
      <w:kern w:val="2"/>
      <w:sz w:val="44"/>
    </w:rPr>
  </w:style>
  <w:style w:type="paragraph" w:customStyle="1" w:styleId="534">
    <w:name w:val="Char Char Char Char Char Char Char2"/>
    <w:basedOn w:val="1"/>
    <w:qFormat/>
    <w:uiPriority w:val="0"/>
    <w:rPr>
      <w:rFonts w:ascii="Tahoma" w:hAnsi="Tahoma" w:cs="Tahoma"/>
      <w:kern w:val="1"/>
      <w:sz w:val="24"/>
    </w:rPr>
  </w:style>
  <w:style w:type="paragraph" w:customStyle="1" w:styleId="535">
    <w:name w:val="CM99"/>
    <w:basedOn w:val="328"/>
    <w:next w:val="328"/>
    <w:qFormat/>
    <w:uiPriority w:val="0"/>
    <w:pPr>
      <w:spacing w:after="443"/>
    </w:pPr>
    <w:rPr>
      <w:rFonts w:cs="Times New Roman"/>
    </w:rPr>
  </w:style>
  <w:style w:type="paragraph" w:customStyle="1" w:styleId="536">
    <w:name w:val="Revision"/>
    <w:semiHidden/>
    <w:qFormat/>
    <w:uiPriority w:val="99"/>
    <w:rPr>
      <w:rFonts w:ascii="Times New Roman" w:hAnsi="Times New Roman" w:eastAsia="宋体" w:cs="Times New Roman"/>
      <w:kern w:val="2"/>
      <w:sz w:val="21"/>
      <w:szCs w:val="22"/>
      <w:lang w:val="en-US" w:eastAsia="zh-CN" w:bidi="ar-SA"/>
    </w:rPr>
  </w:style>
  <w:style w:type="paragraph" w:customStyle="1" w:styleId="537">
    <w:name w:val="CM48"/>
    <w:basedOn w:val="328"/>
    <w:next w:val="328"/>
    <w:qFormat/>
    <w:uiPriority w:val="0"/>
    <w:pPr>
      <w:autoSpaceDE w:val="0"/>
      <w:autoSpaceDN w:val="0"/>
      <w:adjustRightInd w:val="0"/>
      <w:spacing w:line="540" w:lineRule="atLeast"/>
    </w:pPr>
    <w:rPr>
      <w:rFonts w:hAnsi="Times New Roman" w:cs="Times New Roman"/>
      <w:color w:val="auto"/>
      <w:szCs w:val="20"/>
    </w:rPr>
  </w:style>
  <w:style w:type="paragraph" w:customStyle="1" w:styleId="538">
    <w:name w:val="修订2"/>
    <w:qFormat/>
    <w:uiPriority w:val="0"/>
    <w:rPr>
      <w:rFonts w:ascii="Times New Roman" w:hAnsi="Times New Roman" w:eastAsia="宋体" w:cs="Times New Roman"/>
      <w:color w:val="000000"/>
      <w:kern w:val="1"/>
      <w:sz w:val="21"/>
      <w:szCs w:val="24"/>
      <w:lang w:val="en-US" w:eastAsia="zh-CN" w:bidi="ar-SA"/>
    </w:rPr>
  </w:style>
  <w:style w:type="paragraph" w:customStyle="1" w:styleId="539">
    <w:name w:val="图片 居中"/>
    <w:basedOn w:val="1"/>
    <w:qFormat/>
    <w:uiPriority w:val="0"/>
    <w:pPr>
      <w:jc w:val="center"/>
    </w:pPr>
    <w:rPr>
      <w:rFonts w:cs="宋体"/>
      <w:sz w:val="44"/>
      <w:szCs w:val="44"/>
    </w:rPr>
  </w:style>
  <w:style w:type="paragraph" w:customStyle="1" w:styleId="540">
    <w:name w:val="公文:黑体标题"/>
    <w:basedOn w:val="1"/>
    <w:qFormat/>
    <w:uiPriority w:val="0"/>
    <w:pPr>
      <w:jc w:val="center"/>
    </w:pPr>
    <w:rPr>
      <w:rFonts w:eastAsia="黑体"/>
      <w:color w:val="auto"/>
      <w:kern w:val="2"/>
      <w:sz w:val="44"/>
    </w:rPr>
  </w:style>
  <w:style w:type="paragraph" w:customStyle="1" w:styleId="541">
    <w:name w:val="Char Char Char Char Char Char Char Char Char Char Char Char Char1"/>
    <w:basedOn w:val="1"/>
    <w:qFormat/>
    <w:uiPriority w:val="0"/>
    <w:pPr>
      <w:widowControl/>
      <w:tabs>
        <w:tab w:val="left" w:pos="0"/>
      </w:tabs>
      <w:spacing w:after="160" w:line="240" w:lineRule="exact"/>
      <w:jc w:val="left"/>
    </w:pPr>
    <w:rPr>
      <w:rFonts w:hint="eastAsia" w:ascii="Verdana" w:hAnsi="Verdana"/>
      <w:color w:val="auto"/>
      <w:sz w:val="28"/>
      <w:lang w:eastAsia="en-US"/>
    </w:rPr>
  </w:style>
  <w:style w:type="paragraph" w:customStyle="1" w:styleId="542">
    <w:name w:val="引用11"/>
    <w:basedOn w:val="1"/>
    <w:next w:val="1"/>
    <w:qFormat/>
    <w:uiPriority w:val="0"/>
    <w:rPr>
      <w:rFonts w:hint="eastAsia" w:eastAsia="Times New Roman"/>
      <w:i/>
      <w:iCs/>
      <w:kern w:val="2"/>
      <w:szCs w:val="22"/>
    </w:rPr>
  </w:style>
  <w:style w:type="paragraph" w:customStyle="1" w:styleId="543">
    <w:name w:val="xl80"/>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cs="宋体"/>
      <w:sz w:val="20"/>
    </w:rPr>
  </w:style>
  <w:style w:type="paragraph" w:customStyle="1" w:styleId="544">
    <w:name w:val="无间隔1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45">
    <w:name w:val="Table Paragraph"/>
    <w:basedOn w:val="1"/>
    <w:qFormat/>
    <w:uiPriority w:val="0"/>
    <w:pPr>
      <w:jc w:val="left"/>
    </w:pPr>
    <w:rPr>
      <w:rFonts w:ascii="Calibri" w:hAnsi="Calibri"/>
      <w:color w:val="auto"/>
      <w:sz w:val="22"/>
      <w:szCs w:val="22"/>
      <w:lang w:eastAsia="en-US"/>
    </w:rPr>
  </w:style>
  <w:style w:type="paragraph" w:customStyle="1" w:styleId="546">
    <w:name w:val="样式5"/>
    <w:basedOn w:val="1"/>
    <w:qFormat/>
    <w:uiPriority w:val="0"/>
    <w:rPr>
      <w:rFonts w:hint="eastAsia"/>
      <w:color w:val="auto"/>
      <w:kern w:val="2"/>
      <w:sz w:val="24"/>
    </w:rPr>
  </w:style>
  <w:style w:type="paragraph" w:customStyle="1" w:styleId="547">
    <w:name w:val="CM104"/>
    <w:basedOn w:val="328"/>
    <w:next w:val="328"/>
    <w:qFormat/>
    <w:uiPriority w:val="0"/>
    <w:pPr>
      <w:autoSpaceDE w:val="0"/>
      <w:autoSpaceDN w:val="0"/>
      <w:adjustRightInd w:val="0"/>
      <w:spacing w:after="1318"/>
    </w:pPr>
    <w:rPr>
      <w:rFonts w:hAnsi="Times New Roman" w:cs="Times New Roman"/>
      <w:color w:val="auto"/>
      <w:szCs w:val="20"/>
    </w:rPr>
  </w:style>
  <w:style w:type="paragraph" w:customStyle="1" w:styleId="548">
    <w:name w:val="Char Char Char Char Char Char Char1"/>
    <w:basedOn w:val="1"/>
    <w:qFormat/>
    <w:uiPriority w:val="0"/>
    <w:rPr>
      <w:rFonts w:ascii="Tahoma" w:hAnsi="Tahoma" w:cs="Tahoma"/>
      <w:kern w:val="1"/>
      <w:sz w:val="24"/>
    </w:rPr>
  </w:style>
  <w:style w:type="paragraph" w:customStyle="1" w:styleId="549">
    <w:name w:val="&lt;=&gt;"/>
    <w:qFormat/>
    <w:uiPriority w:val="0"/>
    <w:rPr>
      <w:rFonts w:ascii="Times New Roman" w:hAnsi="Times New Roman" w:eastAsia="宋体" w:cs="Times New Roman"/>
      <w:color w:val="000000"/>
      <w:lang w:val="en-GB" w:eastAsia="zh-CN" w:bidi="ar-SA"/>
    </w:rPr>
  </w:style>
  <w:style w:type="paragraph" w:customStyle="1" w:styleId="550">
    <w:name w:val="pa-22"/>
    <w:basedOn w:val="1"/>
    <w:qFormat/>
    <w:uiPriority w:val="0"/>
    <w:pPr>
      <w:widowControl/>
      <w:spacing w:line="360" w:lineRule="atLeast"/>
      <w:ind w:firstLine="480"/>
    </w:pPr>
    <w:rPr>
      <w:rFonts w:hint="eastAsia" w:cs="宋体"/>
      <w:color w:val="auto"/>
      <w:sz w:val="24"/>
    </w:rPr>
  </w:style>
  <w:style w:type="paragraph" w:customStyle="1" w:styleId="551">
    <w:name w:val="xl88"/>
    <w:basedOn w:val="1"/>
    <w:qFormat/>
    <w:uiPriority w:val="0"/>
    <w:pPr>
      <w:widowControl/>
      <w:pBdr>
        <w:top w:val="single" w:color="000000" w:sz="4" w:space="0"/>
        <w:bottom w:val="single" w:color="000000" w:sz="4" w:space="0"/>
        <w:right w:val="single" w:color="000000" w:sz="4" w:space="0"/>
      </w:pBdr>
      <w:spacing w:before="100" w:beforeAutospacing="1" w:after="100" w:afterAutospacing="1"/>
      <w:jc w:val="center"/>
    </w:pPr>
    <w:rPr>
      <w:rFonts w:cs="宋体"/>
      <w:sz w:val="20"/>
    </w:rPr>
  </w:style>
  <w:style w:type="paragraph" w:customStyle="1" w:styleId="552">
    <w:name w:val="Subtitle 2"/>
    <w:basedOn w:val="38"/>
    <w:qFormat/>
    <w:uiPriority w:val="0"/>
    <w:pPr>
      <w:widowControl/>
      <w:tabs>
        <w:tab w:val="center" w:pos="4752"/>
        <w:tab w:val="clear" w:pos="4153"/>
        <w:tab w:val="clear" w:pos="8305"/>
      </w:tabs>
      <w:spacing w:before="240" w:after="240"/>
      <w:jc w:val="center"/>
      <w:outlineLvl w:val="1"/>
    </w:pPr>
    <w:rPr>
      <w:b/>
      <w:kern w:val="0"/>
      <w:sz w:val="32"/>
      <w:szCs w:val="20"/>
      <w:lang w:eastAsia="en-US"/>
    </w:rPr>
  </w:style>
  <w:style w:type="paragraph" w:styleId="553">
    <w:name w:val="No Spacing"/>
    <w:qFormat/>
    <w:uiPriority w:val="5"/>
    <w:pPr>
      <w:jc w:val="both"/>
    </w:pPr>
    <w:rPr>
      <w:rFonts w:ascii="Times New Roman" w:hAnsi="Times New Roman" w:eastAsia="Times New Roman" w:cs="Times New Roman"/>
      <w:sz w:val="21"/>
      <w:szCs w:val="21"/>
      <w:lang w:val="en-US" w:eastAsia="zh-CN" w:bidi="ar-SA"/>
    </w:rPr>
  </w:style>
  <w:style w:type="paragraph" w:customStyle="1" w:styleId="554">
    <w:name w:val="Char5"/>
    <w:basedOn w:val="1"/>
    <w:qFormat/>
    <w:uiPriority w:val="0"/>
    <w:pPr>
      <w:tabs>
        <w:tab w:val="left" w:pos="360"/>
      </w:tabs>
    </w:pPr>
    <w:rPr>
      <w:kern w:val="1"/>
      <w:sz w:val="24"/>
    </w:rPr>
  </w:style>
  <w:style w:type="paragraph" w:customStyle="1" w:styleId="555">
    <w:name w:val="xl84"/>
    <w:basedOn w:val="1"/>
    <w:qFormat/>
    <w:uiPriority w:val="0"/>
    <w:pPr>
      <w:widowControl/>
      <w:pBdr>
        <w:top w:val="single" w:color="000000" w:sz="4" w:space="0"/>
        <w:bottom w:val="single" w:color="000000" w:sz="4" w:space="0"/>
      </w:pBdr>
      <w:spacing w:before="100" w:beforeAutospacing="1" w:after="100" w:afterAutospacing="1"/>
      <w:jc w:val="center"/>
    </w:pPr>
    <w:rPr>
      <w:rFonts w:cs="宋体"/>
      <w:b/>
      <w:sz w:val="20"/>
    </w:rPr>
  </w:style>
  <w:style w:type="paragraph" w:customStyle="1" w:styleId="556">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305"/>
        <w:tab w:val="left" w:pos="9590"/>
      </w:tabs>
      <w:jc w:val="left"/>
    </w:pPr>
    <w:rPr>
      <w:rFonts w:ascii="Courier New" w:hAnsi="Courier New" w:cs="Courier New"/>
      <w:sz w:val="20"/>
    </w:rPr>
  </w:style>
  <w:style w:type="paragraph" w:customStyle="1" w:styleId="557">
    <w:name w:val="目录标题"/>
    <w:basedOn w:val="1"/>
    <w:next w:val="1"/>
    <w:qFormat/>
    <w:uiPriority w:val="0"/>
    <w:pPr>
      <w:widowControl/>
      <w:spacing w:before="215" w:after="419" w:line="436" w:lineRule="atLeast"/>
      <w:ind w:firstLine="419"/>
      <w:jc w:val="center"/>
    </w:pPr>
    <w:rPr>
      <w:rFonts w:ascii="Arial" w:hAnsi="Arial" w:eastAsia="黑体"/>
      <w:spacing w:val="282"/>
      <w:sz w:val="42"/>
    </w:rPr>
  </w:style>
  <w:style w:type="paragraph" w:customStyle="1" w:styleId="558">
    <w:name w:val="小项"/>
    <w:next w:val="1"/>
    <w:qFormat/>
    <w:uiPriority w:val="0"/>
    <w:pPr>
      <w:ind w:left="1552"/>
      <w:textAlignment w:val="baseline"/>
    </w:pPr>
    <w:rPr>
      <w:rFonts w:ascii="Times New Roman" w:hAnsi="Times New Roman" w:eastAsia="Times New Roman" w:cs="Times New Roman"/>
      <w:lang w:val="en-US" w:eastAsia="zh-CN" w:bidi="ar-SA"/>
    </w:rPr>
  </w:style>
  <w:style w:type="paragraph" w:customStyle="1" w:styleId="559">
    <w:name w:val="Char Char Char1"/>
    <w:basedOn w:val="1"/>
    <w:qFormat/>
    <w:uiPriority w:val="0"/>
    <w:pPr>
      <w:widowControl/>
      <w:spacing w:after="160" w:line="240" w:lineRule="exact"/>
      <w:jc w:val="left"/>
    </w:pPr>
    <w:rPr>
      <w:rFonts w:hint="eastAsia" w:ascii="Verdana" w:hAnsi="Verdana"/>
      <w:color w:val="auto"/>
      <w:sz w:val="28"/>
      <w:lang w:eastAsia="en-US"/>
    </w:rPr>
  </w:style>
  <w:style w:type="paragraph" w:customStyle="1" w:styleId="560">
    <w:name w:val="样式1"/>
    <w:basedOn w:val="1"/>
    <w:next w:val="6"/>
    <w:qFormat/>
    <w:uiPriority w:val="0"/>
    <w:pPr>
      <w:spacing w:line="360" w:lineRule="auto"/>
      <w:ind w:firstLine="420"/>
    </w:pPr>
    <w:rPr>
      <w:rFonts w:cs="宋体"/>
      <w:kern w:val="1"/>
      <w:szCs w:val="21"/>
    </w:rPr>
  </w:style>
  <w:style w:type="paragraph" w:customStyle="1" w:styleId="561">
    <w:name w:val="CM91"/>
    <w:basedOn w:val="328"/>
    <w:next w:val="328"/>
    <w:qFormat/>
    <w:uiPriority w:val="0"/>
    <w:pPr>
      <w:spacing w:after="160"/>
    </w:pPr>
    <w:rPr>
      <w:rFonts w:cs="Times New Roman"/>
    </w:rPr>
  </w:style>
  <w:style w:type="paragraph" w:customStyle="1" w:styleId="562">
    <w:name w:val="Style0"/>
    <w:qFormat/>
    <w:uiPriority w:val="0"/>
    <w:pPr>
      <w:widowControl w:val="0"/>
    </w:pPr>
    <w:rPr>
      <w:rFonts w:ascii="五" w:hAnsi="五" w:eastAsia="黑体" w:cs="Times New Roman"/>
      <w:color w:val="000000"/>
      <w:sz w:val="24"/>
      <w:lang w:val="en-US" w:eastAsia="zh-CN" w:bidi="ar-SA"/>
    </w:rPr>
  </w:style>
  <w:style w:type="paragraph" w:customStyle="1" w:styleId="563">
    <w:name w:val="表格文字"/>
    <w:basedOn w:val="1"/>
    <w:qFormat/>
    <w:uiPriority w:val="0"/>
    <w:pPr>
      <w:spacing w:line="420" w:lineRule="atLeast"/>
      <w:jc w:val="left"/>
    </w:pPr>
  </w:style>
  <w:style w:type="paragraph" w:customStyle="1" w:styleId="564">
    <w:name w:val="_Style 283"/>
    <w:basedOn w:val="1"/>
    <w:next w:val="174"/>
    <w:qFormat/>
    <w:uiPriority w:val="34"/>
    <w:pPr>
      <w:ind w:firstLine="420" w:firstLineChars="200"/>
    </w:pPr>
    <w:rPr>
      <w:rFonts w:ascii="Calibri" w:hAnsi="Calibri"/>
      <w:color w:val="auto"/>
      <w:kern w:val="2"/>
      <w:szCs w:val="22"/>
    </w:rPr>
  </w:style>
  <w:style w:type="paragraph" w:customStyle="1" w:styleId="565">
    <w:name w:val=":-|"/>
    <w:qFormat/>
    <w:uiPriority w:val="0"/>
    <w:rPr>
      <w:rFonts w:ascii="Times New Roman" w:hAnsi="Times New Roman" w:eastAsia="宋体" w:cs="Times New Roman"/>
      <w:color w:val="000000"/>
      <w:lang w:val="en-GB" w:eastAsia="zh-CN" w:bidi="ar-SA"/>
    </w:rPr>
  </w:style>
  <w:style w:type="paragraph" w:customStyle="1" w:styleId="566">
    <w:name w:val="Char Char Char"/>
    <w:basedOn w:val="1"/>
    <w:qFormat/>
    <w:uiPriority w:val="0"/>
    <w:pPr>
      <w:widowControl/>
      <w:spacing w:after="160" w:line="240" w:lineRule="exact"/>
      <w:jc w:val="left"/>
    </w:pPr>
    <w:rPr>
      <w:rFonts w:hint="eastAsia" w:ascii="Verdana" w:hAnsi="Verdana"/>
      <w:color w:val="auto"/>
      <w:sz w:val="28"/>
      <w:lang w:eastAsia="en-US"/>
    </w:rPr>
  </w:style>
  <w:style w:type="paragraph" w:customStyle="1" w:styleId="567">
    <w:name w:val="缩进小标题4（一页纸）"/>
    <w:basedOn w:val="1"/>
    <w:qFormat/>
    <w:uiPriority w:val="0"/>
    <w:pPr>
      <w:widowControl/>
      <w:numPr>
        <w:ilvl w:val="0"/>
        <w:numId w:val="14"/>
      </w:numPr>
      <w:tabs>
        <w:tab w:val="left" w:pos="0"/>
      </w:tabs>
      <w:spacing w:line="360" w:lineRule="auto"/>
      <w:ind w:left="420"/>
    </w:pPr>
    <w:rPr>
      <w:rFonts w:ascii="Arial" w:hAnsi="Arial" w:eastAsia="微软雅黑" w:cs="Arial"/>
      <w:sz w:val="18"/>
      <w:lang w:val="zh-CN"/>
    </w:rPr>
  </w:style>
  <w:style w:type="paragraph" w:customStyle="1" w:styleId="568">
    <w:name w:val="Char1 Char Char Char Char Char Char Char Char Char1"/>
    <w:basedOn w:val="1"/>
    <w:qFormat/>
    <w:uiPriority w:val="0"/>
    <w:pPr>
      <w:widowControl/>
      <w:spacing w:line="400" w:lineRule="exact"/>
      <w:jc w:val="center"/>
    </w:pPr>
    <w:rPr>
      <w:rFonts w:ascii="Verdana" w:hAnsi="Verdana" w:cs="Verdana"/>
      <w:lang w:eastAsia="en-US"/>
    </w:rPr>
  </w:style>
  <w:style w:type="paragraph" w:customStyle="1" w:styleId="569">
    <w:name w:val="font9"/>
    <w:basedOn w:val="1"/>
    <w:qFormat/>
    <w:uiPriority w:val="0"/>
    <w:pPr>
      <w:widowControl/>
      <w:spacing w:before="100" w:beforeAutospacing="1" w:after="100" w:afterAutospacing="1"/>
      <w:jc w:val="left"/>
    </w:pPr>
    <w:rPr>
      <w:rFonts w:cs="宋体"/>
      <w:color w:val="auto"/>
      <w:sz w:val="22"/>
      <w:szCs w:val="22"/>
    </w:rPr>
  </w:style>
  <w:style w:type="paragraph" w:customStyle="1" w:styleId="570">
    <w:name w:val="xl6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宋体"/>
      <w:color w:val="auto"/>
      <w:szCs w:val="21"/>
    </w:rPr>
  </w:style>
  <w:style w:type="paragraph" w:customStyle="1" w:styleId="571">
    <w:name w:val="_Style 276"/>
    <w:basedOn w:val="1"/>
    <w:next w:val="174"/>
    <w:qFormat/>
    <w:uiPriority w:val="34"/>
    <w:pPr>
      <w:ind w:firstLine="420" w:firstLineChars="200"/>
    </w:pPr>
    <w:rPr>
      <w:rFonts w:ascii="Calibri" w:hAnsi="Calibri"/>
      <w:color w:val="auto"/>
      <w:kern w:val="2"/>
      <w:szCs w:val="22"/>
    </w:rPr>
  </w:style>
  <w:style w:type="paragraph" w:customStyle="1" w:styleId="572">
    <w:name w:val="CM97"/>
    <w:basedOn w:val="328"/>
    <w:next w:val="328"/>
    <w:qFormat/>
    <w:uiPriority w:val="0"/>
    <w:pPr>
      <w:spacing w:after="373"/>
    </w:pPr>
    <w:rPr>
      <w:rFonts w:cs="Times New Roman"/>
    </w:rPr>
  </w:style>
  <w:style w:type="paragraph" w:customStyle="1" w:styleId="573">
    <w:name w:val="彩色列表 - 强调文字颜色 1111"/>
    <w:basedOn w:val="1"/>
    <w:qFormat/>
    <w:uiPriority w:val="34"/>
    <w:pPr>
      <w:ind w:firstLine="420" w:firstLineChars="200"/>
    </w:pPr>
    <w:rPr>
      <w:sz w:val="21"/>
    </w:rPr>
  </w:style>
  <w:style w:type="paragraph" w:customStyle="1" w:styleId="574">
    <w:name w:val="段落正文 Char"/>
    <w:basedOn w:val="1"/>
    <w:qFormat/>
    <w:uiPriority w:val="0"/>
    <w:pPr>
      <w:spacing w:line="360" w:lineRule="auto"/>
      <w:ind w:firstLine="461" w:firstLineChars="192"/>
    </w:pPr>
    <w:rPr>
      <w:rFonts w:ascii="宋体" w:hAnsi="宋体"/>
      <w:szCs w:val="24"/>
    </w:rPr>
  </w:style>
  <w:style w:type="paragraph" w:customStyle="1" w:styleId="575">
    <w:name w:val="中等深浅网格 21"/>
    <w:qFormat/>
    <w:uiPriority w:val="0"/>
    <w:pPr>
      <w:widowControl w:val="0"/>
      <w:autoSpaceDE w:val="0"/>
      <w:autoSpaceDN w:val="0"/>
      <w:adjustRightInd w:val="0"/>
    </w:pPr>
    <w:rPr>
      <w:rFonts w:ascii="System" w:hAnsi="Times New Roman" w:eastAsia="System" w:cs="Times New Roman"/>
      <w:sz w:val="24"/>
      <w:lang w:val="en-US" w:eastAsia="zh-CN" w:bidi="ar-SA"/>
    </w:rPr>
  </w:style>
  <w:style w:type="paragraph" w:customStyle="1" w:styleId="576">
    <w:name w:val="彩色列表 - 强调文字颜色 111"/>
    <w:basedOn w:val="1"/>
    <w:qFormat/>
    <w:uiPriority w:val="34"/>
    <w:pPr>
      <w:adjustRightInd w:val="0"/>
      <w:spacing w:line="360" w:lineRule="atLeast"/>
      <w:ind w:firstLine="420" w:firstLineChars="200"/>
      <w:textAlignment w:val="baseline"/>
    </w:pPr>
    <w:rPr>
      <w:kern w:val="0"/>
      <w:sz w:val="21"/>
    </w:rPr>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3.png"/><Relationship Id="rId14" Type="http://schemas.openxmlformats.org/officeDocument/2006/relationships/image" Target="media/image2.png"/><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313</Pages>
  <Words>207735</Words>
  <Characters>217705</Characters>
  <Lines>1502</Lines>
  <Paragraphs>423</Paragraphs>
  <TotalTime>17</TotalTime>
  <ScaleCrop>false</ScaleCrop>
  <LinksUpToDate>false</LinksUpToDate>
  <CharactersWithSpaces>229797</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2023-03-31T08:54:00Z</dcterms:created>
  <dc:creator>1</dc:creator>
  <cp:lastModifiedBy>蒸蒸酱</cp:lastModifiedBy>
  <cp:lastPrinted>2022-10-17T16:42:00Z</cp:lastPrinted>
  <dcterms:modified xsi:type="dcterms:W3CDTF">2024-07-15T09:22:22Z</dcterms:modified>
  <dc:title>中华人民共和国</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659EBC8BB45047D9B63FCA1919E95A0E_13</vt:lpwstr>
  </property>
</Properties>
</file>